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nt10-q.htm"/>
      <w:bookmarkStart w:id="1" w:name="ksformnt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1070"/>
        <w:gridCol w:w="1160"/>
        <w:gridCol w:w="1160"/>
        <w:gridCol w:w="1340"/>
        <w:gridCol w:w="1340"/>
      </w:tblGrid>
      <w:tr>
        <w:trPr/>
        <w:tc>
          <w:tcPr>
            <w:tcW w:w="107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tc>
        <w:tc>
          <w:tcPr>
            <w:tcW w:w="116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w:t>
            </w:r>
          </w:p>
        </w:tc>
        <w:tc>
          <w:tcPr>
            <w:tcW w:w="116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w:t>
            </w:r>
          </w:p>
        </w:tc>
        <w:tc>
          <w:tcPr>
            <w:tcW w:w="134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11-K</w:t>
            </w:r>
          </w:p>
        </w:tc>
        <w:tc>
          <w:tcPr>
            <w:tcW w:w="13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10-Q</w:t>
            </w:r>
          </w:p>
        </w:tc>
        <w:tc>
          <w:tcPr>
            <w:tcW w:w="116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10-D</w:t>
            </w:r>
          </w:p>
        </w:tc>
        <w:tc>
          <w:tcPr>
            <w:tcW w:w="134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N-CEN</w:t>
            </w:r>
          </w:p>
        </w:tc>
        <w:tc>
          <w:tcPr>
            <w:tcW w:w="134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N-CSR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June 30, 2026</w:t>
      </w:r>
    </w:p>
    <w:p>
      <w:pPr>
        <w:pStyle w:val="TextBody"/>
        <w:bidi w:val="0"/>
        <w:spacing w:before="0" w:after="0"/>
        <w:ind w:left="0" w:right="0" w:hanging="0"/>
        <w:jc w:val="center"/>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30"/>
        <w:gridCol w:w="2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20-F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11-K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10-Q</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Read Instruction (on back page) Before Preparing Form. Please Print or Type.</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Nothing in this Form shall be construed to imply that the Commission has verified any information contained herein.</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Venture, Suite 220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92618</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(the “Company”) has determined that it is unable, without unreasonable effort or expense, to file its Quarterly Report on Form 10-Q for the quarter ended June 30, 2026 (the “Form 10-Q”) by the prescribed due date because the Company needs additional time, in part due to certain financing transactions executed late in the quarter and to turnover within the Company’s accounting department, to finalize review of the Company’s financial statements and evaluation of disclosure controls and procedures to be included in its Form 10-Q. The Company expects to file the quarterly report within the extension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center"/>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4110" w:type="dxa"/>
        <w:jc w:val="left"/>
        <w:tblInd w:w="0" w:type="dxa"/>
        <w:tblLayout w:type="fixed"/>
        <w:tblCellMar>
          <w:top w:w="0" w:type="dxa"/>
          <w:left w:w="0" w:type="dxa"/>
          <w:bottom w:w="28" w:type="dxa"/>
          <w:right w:w="0" w:type="dxa"/>
        </w:tblCellMar>
      </w:tblPr>
      <w:tblGrid>
        <w:gridCol w:w="1280"/>
        <w:gridCol w:w="60"/>
        <w:gridCol w:w="995"/>
        <w:gridCol w:w="60"/>
        <w:gridCol w:w="1715"/>
      </w:tblGrid>
      <w:tr>
        <w:trPr/>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808-8888</w:t>
            </w:r>
          </w:p>
        </w:tc>
      </w:tr>
      <w:tr>
        <w:trPr/>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for the quarter ended June 30, 2026 will reflect significant changes from the quarter ended June 30, 2025. While the Company is still reviewing and finalizing its financial results, it is able to provide certain preliminary results. The Company expects to report the following for the quarter ended June 30, 2026: (i) net revenues of approximately $0.8 million, as compared to net revenues of $2.4 million for the quarter ended June 30, 2025; (ii) loss from operations of approximately $7.4 million, as compared to loss from operations of $8.1 million for the quarter ended June 30, 2025; and (iii) net loss of approximately $16.8 million, as compared to net loss of $8.3 million for the quarter ended June 30, 2025. The Company’s financial statements for the quarter ended June 30, 2026 will continue to reflect there is substantial doubt about the Company’s ability to continue as a going concern for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preliminary results based on current expectations and are still under review and subject to change. Actual results may differ.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12b-25 includes information that constitutes forward-looking statements within the meaning of the Private Securities Litigation Reform Act of 1995. These forward-looking statements are based on the Registrant’s current beliefs, assumptions and expectations regarding future events, which in turn are based on information currently available to the Registrant. Such forward-looking statements include statements regarding the anticipated timing of completion of the Company’s financial results for the quarter ended June 30, 2026, and the Company’s expectations with respect to its results of operations for the quarter ended June 30, 2026.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risk that additional or different information may become known prior to the expected filing of the periodic report described herein. Other risks affecting the Company are discussed in the Company’s filings with the SEC, including its most recent Annual Report on Form 10-K and subsequent Quarterly Reports on Form 10-Q. The Company undertakes no obligation to publicly update or revise any forward-looking statement, whether as a result of new information, future events or otherwise, except to the extent required by applicable laws.</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605"/>
      </w:tblGrid>
      <w:tr>
        <w:trPr/>
        <w:tc>
          <w:tcPr>
            <w:tcW w:w="605" w:type="dxa"/>
            <w:tcBorders/>
            <w:vAlign w:val="center"/>
          </w:tcPr>
          <w:p>
            <w:pPr>
              <w:pStyle w:val="TableContents"/>
              <w:bidi w:val="0"/>
              <w:spacing w:before="0" w:after="283"/>
              <w:jc w:val="center"/>
              <w:rPr/>
            </w:pPr>
            <w:r>
              <w:rPr/>
              <w:t>2 of 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410"/>
        <w:gridCol w:w="1370"/>
        <w:gridCol w:w="60"/>
        <w:gridCol w:w="260"/>
        <w:gridCol w:w="1505"/>
      </w:tblGrid>
      <w:tr>
        <w:trPr/>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ind w:left="0" w:right="0" w:hanging="0"/>
        <w:jc w:val="center"/>
        <w:rPr>
          <w:caps w:val="false"/>
          <w:smallCaps w:val="false"/>
        </w:rPr>
      </w:pPr>
      <w:r>
        <w:rPr>
          <w:caps w:val="false"/>
          <w:smallCaps w:val="false"/>
        </w:rPr>
        <w:t> </w:t>
      </w:r>
    </w:p>
    <w:tbl>
      <w:tblPr>
        <w:tblW w:w="8958" w:type="dxa"/>
        <w:jc w:val="left"/>
        <w:tblInd w:w="0" w:type="dxa"/>
        <w:tblLayout w:type="fixed"/>
        <w:tblCellMar>
          <w:top w:w="0" w:type="dxa"/>
          <w:left w:w="0" w:type="dxa"/>
          <w:bottom w:w="28" w:type="dxa"/>
          <w:right w:w="0" w:type="dxa"/>
        </w:tblCellMar>
      </w:tblPr>
      <w:tblGrid>
        <w:gridCol w:w="537"/>
        <w:gridCol w:w="7884"/>
        <w:gridCol w:w="537"/>
      </w:tblGrid>
      <w:tr>
        <w:trPr/>
        <w:tc>
          <w:tcPr>
            <w:tcW w:w="537"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884" w:type="dxa"/>
            <w:vMerge w:val="restart"/>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537"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left w:val="single" w:sz="8" w:space="0" w:color="000000"/>
            </w:tcBorders>
            <w:tcMar>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7884" w:type="dxa"/>
            <w:vMerge w:val="continue"/>
            <w:tcBorders/>
            <w:tcMar>
              <w:bottom w:w="0" w:type="dxa"/>
            </w:tcMar>
            <w:vAlign w:val="center"/>
          </w:tcPr>
          <w:p>
            <w:pPr>
              <w:pStyle w:val="Normal"/>
              <w:bidi w:val="0"/>
              <w:jc w:val="left"/>
              <w:rPr/>
            </w:pPr>
            <w:r>
              <w:rPr/>
            </w:r>
          </w:p>
        </w:tc>
        <w:tc>
          <w:tcPr>
            <w:tcW w:w="537" w:type="dxa"/>
            <w:tcBorders>
              <w:right w:val="single" w:sz="8" w:space="0" w:color="000000"/>
            </w:tcBorders>
            <w:tcMar>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58" w:type="dxa"/>
            <w:gridSpan w:val="3"/>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 misstatements or omissions of fact constitute Federal Criminal Violations (See 18 U.S.C. 1001).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INSTRUCTIONS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required by Rule 12b-25 (17 CFR 240.12b-25) of the General Rules and Regulations under the Securities Exchange Act of 1934.</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manually signed copy of the Form and amendments thereto shall be filed with each national securities exchange on which any class of securities of the registrant is registered.</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notifications must also be filed on Form 12b-25 but need not restate information that has been correctly furnished. The Form shall be clearly identified as an amended notification.</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filers. This form shall not be used by electronic filers unable to timely file a report solely due to electronic difficulties. Filers unable to submit a report within the time period prescribed due to difficulties in electronic filing should comply with either Rule 201 or Rule 202 of Regulation S-T (§232.201 or §232.202 of this chapter) or apply for an adjustment in filing date pursuant to Rule 13(b) of Regulation S-T (§232.13(b) of this Chapter).</w:t>
            </w:r>
          </w:p>
        </w:tc>
      </w:tr>
      <w:tr>
        <w:trPr/>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100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Interactive data submissions</w:t>
            </w:r>
            <w:r>
              <w:rPr>
                <w:rFonts w:ascii="Times New Roman;Times;Serif" w:hAnsi="Times New Roman;Times;Serif"/>
                <w:b w:val="false"/>
                <w:i w:val="false"/>
                <w:caps w:val="false"/>
                <w:smallCaps w:val="false"/>
                <w:sz w:val="20"/>
              </w:rPr>
              <w:t>. This Form shall not be used by electronic filers with respect to the submission or posting of an Interactive Data File (§232.11 of this chapter). Electronic filers unable to submit or post an Interactive Data File within the time period prescribed should comply with either Rule 201 or 202 of Regulation S-T (§232.201 and §232.202 of this chapter).</w:t>
            </w:r>
          </w:p>
        </w:tc>
      </w:tr>
    </w:tbl>
    <w:p>
      <w:pPr>
        <w:pStyle w:val="TextBody"/>
        <w:bidi w:val="0"/>
        <w:spacing w:before="0" w:after="0"/>
        <w:ind w:left="0" w:right="0" w:hanging="0"/>
        <w:jc w:val="center"/>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605"/>
      </w:tblGrid>
      <w:tr>
        <w:trPr/>
        <w:tc>
          <w:tcPr>
            <w:tcW w:w="605" w:type="dxa"/>
            <w:tcBorders/>
            <w:vAlign w:val="center"/>
          </w:tcPr>
          <w:p>
            <w:pPr>
              <w:pStyle w:val="TableContents"/>
              <w:bidi w:val="0"/>
              <w:spacing w:before="0" w:after="283"/>
              <w:jc w:val="center"/>
              <w:rPr/>
            </w:pPr>
            <w:r>
              <w:rPr/>
              <w:t>3 of 3</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1419</Words>
  <Characters>7468</Characters>
  <CharactersWithSpaces>8891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