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 and Rule 424(c)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333-290247</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22,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156845</wp:posOffset>
            </wp:positionV>
            <wp:extent cx="240030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 TO 2,412,711 SHARES OF CLASS A COMMON STOCK</w:t>
      </w:r>
    </w:p>
    <w:p>
      <w:pPr>
        <w:spacing w:after="0" w:line="207"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amends the prospectus dated March 12, 2026 (as supplemented to date, the “Prospectus”) of Mobix Labs, Inc. a Delaware corporation (the “Company”), which forms a part of the Company’s Registration Statement on Form S-1, as amended (No. 333-290247). This prospectus supplement is being filed to update and supplement the information included or incorporated by reference in the Prospectus with the information contained in the Current Report on Form 8-K filed with the Securities and Exchange Commission (the “SEC”) on May 19, 2026 and the information contained in the Quarterly Report on Form 10-Q filed with the SEC on May 20, 2026, as set forth below. This prospectus supplement should be read in conjunction with the Prospectus, which is to be delivered with this prospectus supplement.</w:t>
      </w:r>
    </w:p>
    <w:p>
      <w:pPr>
        <w:spacing w:after="0" w:line="18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are listed on the Nasdaq Stock Market LLC (“Nasdaq”) under the symbol “MOBX”. On May 21, 2026, the closing price of our Class A Common Stock was $1.90.</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 Company’s Class A Common Stock involves risks. See “Risk Factors” beginning on page 5 of the Prospectus and under similar headings in any amendments or supplements to the Prospectus.</w:t>
      </w:r>
    </w:p>
    <w:p>
      <w:pPr>
        <w:spacing w:after="0" w:line="155"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regulatory body has approved or disapproved of these securities or passed upon the adequacy or accuracy of this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No. 3 is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001-40621</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187"/>
        </w:trPr>
        <w:tc>
          <w:tcPr>
            <w:tcW w:w="3220" w:type="dxa"/>
            <w:vAlign w:val="bottom"/>
            <w:tcBorders>
              <w:top w:val="single" w:sz="8" w:color="auto"/>
            </w:tcBorders>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4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2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2"/>
        </w:trPr>
        <w:tc>
          <w:tcPr>
            <w:tcW w:w="8200" w:type="dxa"/>
            <w:vAlign w:val="bottom"/>
            <w:gridSpan w:val="6"/>
          </w:tcPr>
          <w:p>
            <w:pPr>
              <w:ind w:left="2240"/>
              <w:spacing w:after="0"/>
              <w:rPr>
                <w:sz w:val="20"/>
                <w:szCs w:val="20"/>
                <w:color w:val="auto"/>
              </w:rPr>
            </w:pPr>
            <w:r>
              <w:rPr>
                <w:rFonts w:ascii="Times New Roman" w:cs="Times New Roman" w:eastAsia="Times New Roman" w:hAnsi="Times New Roman"/>
                <w:sz w:val="18"/>
                <w:szCs w:val="18"/>
                <w:b w:val="1"/>
                <w:bCs w:val="1"/>
                <w:color w:val="auto"/>
              </w:rPr>
              <w:t>1 Venture, Suite 220, Irvine, California</w:t>
            </w:r>
          </w:p>
        </w:tc>
        <w:tc>
          <w:tcPr>
            <w:tcW w:w="304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32"/>
        </w:trPr>
        <w:tc>
          <w:tcPr>
            <w:tcW w:w="7440" w:type="dxa"/>
            <w:vAlign w:val="bottom"/>
            <w:tcBorders>
              <w:top w:val="single" w:sz="8" w:color="auto"/>
            </w:tcBorders>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220" w:type="dxa"/>
            <w:vAlign w:val="bottom"/>
          </w:tcPr>
          <w:p>
            <w:pPr>
              <w:spacing w:after="0"/>
              <w:rPr>
                <w:sz w:val="24"/>
                <w:szCs w:val="24"/>
                <w:color w:val="auto"/>
              </w:rPr>
            </w:pPr>
          </w:p>
        </w:tc>
        <w:tc>
          <w:tcPr>
            <w:tcW w:w="42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(949) 808-8888</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8"/>
        </w:trPr>
        <w:tc>
          <w:tcPr>
            <w:tcW w:w="3220" w:type="dxa"/>
            <w:vAlign w:val="bottom"/>
          </w:tcPr>
          <w:p>
            <w:pPr>
              <w:spacing w:after="0"/>
              <w:rPr>
                <w:sz w:val="20"/>
                <w:szCs w:val="20"/>
                <w:color w:val="auto"/>
              </w:rPr>
            </w:pPr>
          </w:p>
        </w:tc>
        <w:tc>
          <w:tcPr>
            <w:tcW w:w="49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4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w:t>
            </w:r>
          </w:p>
        </w:tc>
        <w:tc>
          <w:tcPr>
            <w:tcW w:w="24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MOBXW</w:t>
            </w:r>
          </w:p>
        </w:tc>
        <w:tc>
          <w:tcPr>
            <w:tcW w:w="220" w:type="dxa"/>
            <w:vAlign w:val="bottom"/>
          </w:tcPr>
          <w:p>
            <w:pPr>
              <w:spacing w:after="0"/>
              <w:rPr>
                <w:sz w:val="17"/>
                <w:szCs w:val="17"/>
                <w:color w:val="auto"/>
              </w:rPr>
            </w:pP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Securities Purchase Agreement and Convertible Note and Investor Rights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13, 2026, Mobix Labs, Inc. (the “Company”) entered into a first amendment to the securities purchase agreement and senior secured convertible promissory note (the “First Amendment”), with Leviston Resources, LLC (“Leviston”), amending the senior secured convertible note originally issued on March 31, 2026 (the “Original Note”) to increase the principal amount from $3 million to $4 million in exchange for an additional cash advance of $833,333 to the Company. The material terms of the Original Note, including its variable conversion price formula, were previously disclosed in our Current Report on Form 8-K filed with the SEC on April 3,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on May 13, 2026, we entered into the Investor Rights Agreement (the “Investor Rights Agreement”) that grants Leviston the right, but not the obligation, to acquire, over a seven-month period, additional secured convertible notes of up to $4.0 million in aggregate principal amount on terms substantially similar to the Original Note and secured on a pari passu basis.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First Amendment and the Investor Rights Agreement are qualified in their entirety by reference to the full text of those agreements, copies of which will be filed as exhibits to the Company’s Quarterly Report on Form 10-Q for the quarterly period ended March 31,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$4 million of principal under the Original Note has since been satisfied in full through conversion into shares of the Company’s Class A Common Stock (the “Common Stock”), all of which have been resold by Leviston pursuant to the Company’s effective Registration Statement on Form S-1 (see Item 1.02 below). Leviston at no time beneficially owned in excess of 4.99% of the outstanding shares of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18, 2026, the Company satisfied in full the entire $4 million of outstanding principal under the Original Note, together with all accrued interest thereon, through the conversion of such amounts into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Items 1.01 and 1.02 of this Current Report on Form 8-K is incorporated herein by reference.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Between May 12, 2026 and May 18, 2026, Leviston converted the entire $4 million of outstanding principal under the Original Note, as amended, together with all accrued interest thereon, into an aggregate of 2,500,000 shares of Common Stock (the “Shares”), satisfying the Original Note in full. The issuance of the Shares was exempt from registration under Section 3(a)(9) of the Securities Act of 1933, as amended (the “Securities Act”). Any shares issuable pursuant to the Investor Rights Agreement upon conversion of additional secured convertible notes will be effected in reliance upon Section 3(a)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of the Securities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35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Keyvan Samini</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34"/>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19,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0"/>
          <w:szCs w:val="20"/>
          <w:color w:val="auto"/>
        </w:rPr>
      </w:pPr>
    </w:p>
    <w:p>
      <w:pPr>
        <w:jc w:val="center"/>
        <w:ind w:left="3820" w:right="940" w:hanging="2872"/>
        <w:spacing w:after="0" w:line="479" w:lineRule="auto"/>
        <w:tabs>
          <w:tab w:leader="none" w:pos="1163"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7" w:lineRule="exact"/>
        <w:rPr>
          <w:rFonts w:ascii="MS PGothic" w:cs="MS PGothic" w:eastAsia="MS PGothic" w:hAnsi="MS PGothic"/>
          <w:sz w:val="18"/>
          <w:szCs w:val="18"/>
          <w:color w:val="auto"/>
        </w:rPr>
      </w:pPr>
    </w:p>
    <w:p>
      <w:pPr>
        <w:jc w:val="center"/>
        <w:ind w:left="3060" w:right="940" w:hanging="2119"/>
        <w:spacing w:after="0" w:line="500" w:lineRule="auto"/>
        <w:tabs>
          <w:tab w:leader="none" w:pos="114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001-40621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98-1591717</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1 Venture, Suite 220</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Irvine, California 92618</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(949) 808-8888</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198"/>
        </w:trPr>
        <w:tc>
          <w:tcPr>
            <w:tcW w:w="49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 share of</w:t>
            </w:r>
          </w:p>
        </w:tc>
        <w:tc>
          <w:tcPr>
            <w:tcW w:w="224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MOBXW</w:t>
            </w:r>
          </w:p>
        </w:tc>
        <w:tc>
          <w:tcPr>
            <w:tcW w:w="4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Nasdaq Capital Market</w:t>
            </w:r>
          </w:p>
        </w:tc>
      </w:tr>
      <w:tr>
        <w:trPr>
          <w:trHeight w:val="234"/>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Class A Common Stock</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3" w:right="339" w:bottom="951"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900" w:space="720"/>
            <w:col w:w="5620"/>
          </w:cols>
          <w:pgMar w:left="320" w:top="983" w:right="339" w:bottom="951" w:gutter="0" w:footer="0" w:header="0"/>
          <w:type w:val="continuous"/>
        </w:sectPr>
      </w:pPr>
    </w:p>
    <w:p>
      <w:pPr>
        <w:spacing w:after="0" w:line="1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Class A Common Stock and Class B Common Stock outstanding as of May 15, 2026 was 13,237,406 and 200,491,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3" w:right="339" w:bottom="951"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20" w:type="dxa"/>
            <w:vAlign w:val="bottom"/>
            <w:gridSpan w:val="4"/>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MOBIX LABS, INC.</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20" w:type="dxa"/>
            <w:vAlign w:val="bottom"/>
            <w:gridSpan w:val="4"/>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26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EE"/>
              </w:rPr>
              <w:t>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432"/>
        </w:trPr>
        <w:tc>
          <w:tcPr>
            <w:tcW w:w="6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2"/>
          </w:tcPr>
          <w:p>
            <w:pPr>
              <w:jc w:val="center"/>
              <w:ind w:right="436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for Mobix Labs, Inc. (the “Company”, “we”, “us” or “our”) contains “forward-looking statements,” as defined in Section 27A of the Securities Act of 1933, as amended (the “Securities Act”), and Section 21E of the Securities Exchange Act of 1934, as amended (the “Exchange Act”). Forward-looking statements are statements other than historical information or statements of current condition and relate to future events or our future financial performance.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In this Quarterly Report on Form 10-Q, forward-looking statements include, but are not limited to, any statements regarding:</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pursue acquisitions of companies and technologies and the impact of such acquisitions on our business and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forecasts, projected costs, prospects and plans;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our ability to continue as a going concern and ability to obtain sufficient liquidity to meet our operating needs and satisfy our obligations;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our products and technology in the wireless and connectivity markets and in potential new categories for expansion;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the drivers of that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opportunities and strategies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in a cost-effective manner and maintain and expand our manufacturing and supply chain relationships;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we will incur substantial expenses and continuing losses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assumptions underlying our critical accounting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Accordingly, forward-looking statements should not be relied upon as representing our views as of any subsequent date, and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62"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Nasdaq listing requirements, including the $1.00 minimum bid price requirement and the minimum $35 million market value of listed securities;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future capital requirements and the risk that we will be unable to raise additional capital in the future on attractive terms or at all, as well as the dilutive impact that may have on our stockholders;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unable to successfully commercialize our products and solutions, or experience significant delays in doing so;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generate sufficient income from operations to sustain ourselves;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concerning 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consummate planned strategic acquisitions, or fully realize anticipated benefits from past or future acquisitions or investments;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litigation may be commenced against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patent applications may not be approved or may take longer than expected, and we may incur substantial costs in enforcing and protecting our intellectual property;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grow our customer base;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price of our securities may be volatile due to a variety of factors, including changes caused by ongoing conflict in the Middle East and the implementation of tariffs in the United States as well as any impact that either may have on laws and regulations, changes in the competitive industries in which we operate, variations in performance across competitors, the global supply chain, and macro-economic and social environments affecting our business and changes in our capital structure.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the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herein and in our annual report on Form 10-K for our fiscal year ended September 30, 2025, filed with the Securities and Exchange Commission on January 13,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40" w:type="dxa"/>
            <w:vAlign w:val="bottom"/>
            <w:gridSpan w:val="6"/>
          </w:tcPr>
          <w:p>
            <w:pPr>
              <w:ind w:left="28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560" w:type="dxa"/>
            <w:vAlign w:val="bottom"/>
          </w:tcPr>
          <w:p>
            <w:pPr>
              <w:spacing w:after="0"/>
              <w:rPr>
                <w:sz w:val="24"/>
                <w:szCs w:val="24"/>
                <w:color w:val="auto"/>
              </w:rPr>
            </w:pPr>
          </w:p>
        </w:tc>
      </w:tr>
      <w:tr>
        <w:trPr>
          <w:trHeight w:val="410"/>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Mobix Labs, Inc.</w:t>
            </w:r>
          </w:p>
        </w:tc>
        <w:tc>
          <w:tcPr>
            <w:tcW w:w="560" w:type="dxa"/>
            <w:vAlign w:val="bottom"/>
          </w:tcPr>
          <w:p>
            <w:pPr>
              <w:spacing w:after="0"/>
              <w:rPr>
                <w:sz w:val="24"/>
                <w:szCs w:val="24"/>
                <w:color w:val="auto"/>
              </w:rPr>
            </w:pPr>
          </w:p>
        </w:tc>
      </w:tr>
      <w:tr>
        <w:trPr>
          <w:trHeight w:val="216"/>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560" w:type="dxa"/>
            <w:vAlign w:val="bottom"/>
          </w:tcPr>
          <w:p>
            <w:pPr>
              <w:spacing w:after="0"/>
              <w:rPr>
                <w:sz w:val="18"/>
                <w:szCs w:val="18"/>
                <w:color w:val="auto"/>
              </w:rPr>
            </w:pPr>
          </w:p>
        </w:tc>
      </w:tr>
      <w:tr>
        <w:trPr>
          <w:trHeight w:val="238"/>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March 31, 2026 and 2025</w:t>
            </w:r>
          </w:p>
        </w:tc>
        <w:tc>
          <w:tcPr>
            <w:tcW w:w="5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76"/>
        </w:trPr>
        <w:tc>
          <w:tcPr>
            <w:tcW w:w="106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September 30, 2025 (unaudited)</w:t>
            </w:r>
          </w:p>
        </w:tc>
        <w:tc>
          <w:tcPr>
            <w:tcW w:w="560" w:type="dxa"/>
            <w:vAlign w:val="bottom"/>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8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and six months ended March 31, 2026 and</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10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56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06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months and six months ended March 31, 2026 and 2025</w:t>
            </w:r>
          </w:p>
        </w:tc>
        <w:tc>
          <w:tcPr>
            <w:tcW w:w="56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962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76"/>
        </w:trPr>
        <w:tc>
          <w:tcPr>
            <w:tcW w:w="106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March 31, 2026 and 2025 (unaudited)</w:t>
            </w:r>
          </w:p>
        </w:tc>
        <w:tc>
          <w:tcPr>
            <w:tcW w:w="56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80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432"/>
        </w:trPr>
        <w:tc>
          <w:tcPr>
            <w:tcW w:w="7180" w:type="dxa"/>
            <w:vAlign w:val="bottom"/>
            <w:tcBorders>
              <w:bottom w:val="single" w:sz="8" w:color="auto"/>
            </w:tcBorders>
            <w:gridSpan w:val="4"/>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8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682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3,273</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593</w:t>
            </w:r>
          </w:p>
        </w:tc>
      </w:tr>
      <w:tr>
        <w:trPr>
          <w:trHeight w:val="209"/>
        </w:trPr>
        <w:tc>
          <w:tcPr>
            <w:tcW w:w="68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13,519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16,066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w:t>
            </w:r>
          </w:p>
        </w:tc>
      </w:tr>
      <w:tr>
        <w:trPr>
          <w:trHeight w:val="263"/>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tcBorders>
              <w:bottom w:val="single" w:sz="8" w:color="CCEEFF"/>
            </w:tcBorders>
          </w:tcPr>
          <w:p>
            <w:pPr>
              <w:spacing w:after="0"/>
              <w:rPr>
                <w:sz w:val="22"/>
                <w:szCs w:val="22"/>
                <w:color w:val="auto"/>
              </w:rPr>
            </w:pPr>
          </w:p>
        </w:tc>
      </w:tr>
      <w:tr>
        <w:trPr>
          <w:trHeight w:val="197"/>
        </w:trPr>
        <w:tc>
          <w:tcPr>
            <w:tcW w:w="6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8,981</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11,122</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purchase consideration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3,934</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 related parties, current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1,152</w:t>
            </w: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274</w:t>
            </w:r>
          </w:p>
        </w:tc>
      </w:tr>
      <w:tr>
        <w:trPr>
          <w:trHeight w:val="20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noncurrent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related parties, noncurrent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6,859</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$0.00001 par value, 285,000,000 shares authorized; 10,355,525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5,883,842 shares issued and outstanding at March 31, 2026 and September 30, 2025,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$0.00001 par value, 5,000,000 shares authorized; 200,491 shares</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March 31, 2026 and September 30, 2025</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175,411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150,252</w:t>
            </w:r>
          </w:p>
        </w:tc>
      </w:tr>
      <w:tr>
        <w:trPr>
          <w:trHeight w:val="230"/>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(166,566)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(150,588)</w:t>
            </w:r>
          </w:p>
        </w:tc>
      </w:tr>
      <w:tr>
        <w:trPr>
          <w:trHeight w:val="209"/>
        </w:trPr>
        <w:tc>
          <w:tcPr>
            <w:tcW w:w="6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669</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1,457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2,004</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2,272</w:t>
            </w:r>
          </w:p>
        </w:tc>
        <w:tc>
          <w:tcPr>
            <w:tcW w:w="0" w:type="dxa"/>
            <w:vAlign w:val="bottom"/>
          </w:tcPr>
          <w:p>
            <w:pPr>
              <w:spacing w:after="0"/>
              <w:rPr>
                <w:sz w:val="1"/>
                <w:szCs w:val="1"/>
                <w:color w:val="auto"/>
              </w:rPr>
            </w:pPr>
          </w:p>
        </w:tc>
      </w:tr>
      <w:tr>
        <w:trPr>
          <w:trHeight w:val="21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5,847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8,129</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14,819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23,835</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2,769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(2,220)</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(3,283)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(gains) losses, net</w:t>
            </w:r>
          </w:p>
        </w:tc>
        <w:tc>
          <w:tcPr>
            <w:tcW w:w="28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Class A and Class B Common Stock:</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(0.59)</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(1.98)</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197"/>
        </w:trPr>
        <w:tc>
          <w:tcPr>
            <w:tcW w:w="47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9,838,724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4,023,381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8,058,263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3,932,012</w:t>
            </w:r>
          </w:p>
        </w:tc>
        <w:tc>
          <w:tcPr>
            <w:tcW w:w="0" w:type="dxa"/>
            <w:vAlign w:val="bottom"/>
          </w:tcPr>
          <w:p>
            <w:pPr>
              <w:spacing w:after="0"/>
              <w:rPr>
                <w:sz w:val="1"/>
                <w:szCs w:val="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9,838,724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4,023,381</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8,058,263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3,932,012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6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52"/>
        </w:trPr>
        <w:tc>
          <w:tcPr>
            <w:tcW w:w="3700" w:type="dxa"/>
            <w:vAlign w:val="bottom"/>
          </w:tcPr>
          <w:p>
            <w:pPr>
              <w:spacing w:after="0"/>
              <w:rPr>
                <w:sz w:val="21"/>
                <w:szCs w:val="21"/>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5,883,842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200,491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150,252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226,450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settlement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warrants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6,665,325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200,491</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165,380</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(160,713)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4,667</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settlement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426,878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2,218</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5,360</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(5,853)</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10,355,525</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200,491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175,411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(166,566)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8,845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3,282,423</w:t>
            </w:r>
          </w:p>
        </w:tc>
        <w:tc>
          <w:tcPr>
            <w:tcW w:w="6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212,991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109,987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(104,457)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5,530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Common Stock to Class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 Common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w:t>
            </w:r>
          </w:p>
        </w:tc>
        <w:tc>
          <w:tcPr>
            <w:tcW w:w="54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notes payable to Class A Common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63,180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(19,839)</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3,465,277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200,491</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121,257</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(124,296)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(3,039)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settlement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7"/>
                <w:szCs w:val="17"/>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RaGE earnout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174,819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8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3,758,465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200,491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126,929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(126,587)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780" w:type="dxa"/>
            <w:vAlign w:val="bottom"/>
            <w:gridSpan w:val="15"/>
          </w:tcPr>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(15,978)</w:t>
            </w:r>
          </w:p>
        </w:tc>
        <w:tc>
          <w:tcPr>
            <w:tcW w:w="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(22,130)</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expense for warrants issued</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13,154</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non-cash items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r>
      <w:tr>
        <w:trPr>
          <w:trHeight w:val="216"/>
        </w:trPr>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6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w:t>
            </w:r>
          </w:p>
        </w:tc>
      </w:tr>
      <w:tr>
        <w:trPr>
          <w:trHeight w:val="229"/>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r>
      <w:tr>
        <w:trPr>
          <w:trHeight w:val="209"/>
        </w:trPr>
        <w:tc>
          <w:tcPr>
            <w:tcW w:w="62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p>
      <w:pPr>
        <w:spacing w:after="0" w:line="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2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3"/>
              </w:rPr>
              <w:t>(16)</w:t>
            </w:r>
          </w:p>
        </w:tc>
      </w:tr>
      <w:tr>
        <w:trPr>
          <w:trHeight w:val="228"/>
        </w:trPr>
        <w:tc>
          <w:tcPr>
            <w:tcW w:w="192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920" w:type="dxa"/>
            <w:vAlign w:val="bottom"/>
            <w:tcBorders>
              <w:top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w w:val="73"/>
              </w:rPr>
              <w:t>(16)</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-439420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-156845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in public offering</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notes payable - related parties</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consideration paid for acquisition of business</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58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6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12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22"/>
                <w:szCs w:val="22"/>
                <w:color w:val="auto"/>
              </w:rPr>
            </w:pPr>
          </w:p>
        </w:tc>
      </w:tr>
      <w:tr>
        <w:trPr>
          <w:trHeight w:val="196"/>
        </w:trPr>
        <w:tc>
          <w:tcPr>
            <w:tcW w:w="5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1,357</w:t>
            </w:r>
          </w:p>
        </w:tc>
        <w:tc>
          <w:tcPr>
            <w:tcW w:w="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notes payable and other liabilities in common stock</w:t>
            </w:r>
          </w:p>
        </w:tc>
        <w:tc>
          <w:tcPr>
            <w:tcW w:w="19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4,439</w:t>
            </w:r>
          </w:p>
        </w:tc>
        <w:tc>
          <w:tcPr>
            <w:tcW w:w="9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Class A Common Stock for RaGE earnout</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 — Company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The Company’s Class A Common Stock and its Public Warrants are traded on the Nasdaq Capital Market under the symbols “MOBX” and “MOBXW,”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$14,924 for the six months ended March 31, 2026 and incurred losses from operations of $37,693 and $46,395 for the years ended September 30, 2025 and 2024, respectively. Additionally, the Company had negative cash flows from operations of $9,017 for the six months ended March 31, 2026 and negative cash flows from operations of $10,113 and $18,388 for the years ended September 30, 2025 and 2024, respectively. As of March 31, 2026, the Company had cash on hand of $2,563 and an accumulated deficit of $166,566.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March 31, 2026 and its condensed consolidated results of operations and cash flows for the periods ended March 31, 2026 and 2025. The condensed consolidated results of operations for the three months and six months ended March 31, 2026 are not necessarily indicative of the results to be expected for the fiscal year ending September 30, 2026 or for any other future annual or interim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spacing w:after="0" w:line="1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stock-based compensation awards;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assessments of goodwill and long-lived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liabilities carried at fair value, including the earnout liability and liability-classified warrants;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 and tax uncertainties.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six months ended March 31, 2026, aside from those outlined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six months ended March 31, 2026 and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six months ended March 31, 2026 and 2025. There were no changes in the carrying amount of goodwill during the six months ended March 31, 2026 and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Warrants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the end of each subsequent reporting period while the warrants are outstanding.</w:t>
      </w:r>
    </w:p>
    <w:p>
      <w:pPr>
        <w:sectPr>
          <w:pgSz w:w="11900" w:h="16838" w:orient="portrait"/>
          <w:cols w:equalWidth="0" w:num="1">
            <w:col w:w="11240"/>
          </w:cols>
          <w:pgMar w:left="320" w:top="686" w:right="3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Inventory</w:t>
      </w:r>
    </w:p>
    <w:p>
      <w:pPr>
        <w:spacing w:after="0" w:line="22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140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21"/>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-462280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-179070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60" w:space="720"/>
            <w:col w:w="5660"/>
          </w:cols>
          <w:pgMar w:left="320" w:top="686"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5420" w:type="dxa"/>
            <w:vAlign w:val="bottom"/>
          </w:tcPr>
          <w:p>
            <w:pPr>
              <w:spacing w:after="0"/>
              <w:rPr>
                <w:sz w:val="24"/>
                <w:szCs w:val="24"/>
                <w:color w:val="auto"/>
              </w:rPr>
            </w:pP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18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420" w:type="dxa"/>
            <w:vAlign w:val="bottom"/>
          </w:tcPr>
          <w:p>
            <w:pPr>
              <w:spacing w:after="0"/>
              <w:rPr>
                <w:sz w:val="20"/>
                <w:szCs w:val="20"/>
                <w:color w:val="auto"/>
              </w:rPr>
            </w:pP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4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furniture</w:t>
            </w:r>
          </w:p>
        </w:tc>
        <w:tc>
          <w:tcPr>
            <w:tcW w:w="27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5 - 7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7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r>
      <w:tr>
        <w:trPr>
          <w:trHeight w:val="198"/>
        </w:trPr>
        <w:tc>
          <w:tcPr>
            <w:tcW w:w="54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Shorter of estimated useful life or</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lease term</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$29 and $123, respectively. Depreciation expense for the six months ended March 31, 2026 and 2025 was $78 and $246,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20" w:type="dxa"/>
            <w:vAlign w:val="bottom"/>
          </w:tcPr>
          <w:p>
            <w:pPr>
              <w:spacing w:after="0"/>
              <w:rPr>
                <w:sz w:val="21"/>
                <w:szCs w:val="21"/>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1"/>
        </w:trPr>
        <w:tc>
          <w:tcPr>
            <w:tcW w:w="1320" w:type="dxa"/>
            <w:vAlign w:val="bottom"/>
          </w:tcPr>
          <w:p>
            <w:pPr>
              <w:spacing w:after="0"/>
              <w:rPr>
                <w:sz w:val="17"/>
                <w:szCs w:val="17"/>
                <w:color w:val="auto"/>
              </w:rPr>
            </w:pPr>
          </w:p>
        </w:tc>
        <w:tc>
          <w:tcPr>
            <w:tcW w:w="1520" w:type="dxa"/>
            <w:vAlign w:val="bottom"/>
            <w:gridSpan w:val="3"/>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2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361"/>
              <w:spacing w:after="0" w:line="201"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8"/>
        </w:trPr>
        <w:tc>
          <w:tcPr>
            <w:tcW w:w="1320" w:type="dxa"/>
            <w:vAlign w:val="bottom"/>
          </w:tcPr>
          <w:p>
            <w:pPr>
              <w:spacing w:after="0"/>
              <w:rPr>
                <w:sz w:val="20"/>
                <w:szCs w:val="20"/>
                <w:color w:val="auto"/>
              </w:rPr>
            </w:pPr>
          </w:p>
        </w:tc>
        <w:tc>
          <w:tcPr>
            <w:tcW w:w="8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3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4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78"/>
        </w:trPr>
        <w:tc>
          <w:tcPr>
            <w:tcW w:w="13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Developed</w:t>
            </w:r>
          </w:p>
        </w:tc>
        <w:tc>
          <w:tcPr>
            <w:tcW w:w="8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 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(3,089)</w:t>
            </w:r>
          </w:p>
        </w:tc>
        <w:tc>
          <w:tcPr>
            <w:tcW w:w="4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2,600</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2,891</w:t>
            </w:r>
          </w:p>
        </w:tc>
        <w:tc>
          <w:tcPr>
            <w:tcW w:w="40" w:type="dxa"/>
            <w:vAlign w:val="bottom"/>
            <w:shd w:val="clear" w:color="auto" w:fill="CCEEFF"/>
          </w:tcPr>
          <w:p>
            <w:pPr>
              <w:spacing w:after="0"/>
              <w:rPr>
                <w:sz w:val="20"/>
                <w:szCs w:val="20"/>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 15</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(1,833)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10,067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10,526</w:t>
            </w:r>
          </w:p>
        </w:tc>
        <w:tc>
          <w:tcPr>
            <w:tcW w:w="40" w:type="dxa"/>
            <w:vAlign w:val="bottom"/>
          </w:tcPr>
          <w:p>
            <w:pPr>
              <w:spacing w:after="0"/>
              <w:rPr>
                <w:sz w:val="20"/>
                <w:szCs w:val="20"/>
                <w:color w:val="auto"/>
              </w:rPr>
            </w:pPr>
          </w:p>
        </w:tc>
      </w:tr>
      <w:tr>
        <w:trPr>
          <w:trHeight w:val="23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 – 2.5</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19"/>
                <w:szCs w:val="19"/>
                <w:color w:val="auto"/>
              </w:rPr>
            </w:pPr>
          </w:p>
        </w:tc>
      </w:tr>
      <w:tr>
        <w:trPr>
          <w:trHeight w:val="223"/>
        </w:trPr>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13,519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for the three months ended March 31, 2026 and 2025 was $395 and $407, respectively. Amortization expense related to intangible assets for the six months ended March 31, 2026 and 2025 was $801 and $878, respectively. The weighted-average remaining lives of intangible assets as of March 31, 2026 were developed technology 4.5 years; customer relationships 11.1 years; and trade names 0.6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by fiscal year as of March 31, 2026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ending September 30,</w:t>
            </w:r>
          </w:p>
        </w:tc>
        <w:tc>
          <w:tcPr>
            <w:tcW w:w="50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 (remaining six months)</w:t>
            </w:r>
          </w:p>
        </w:tc>
        <w:tc>
          <w:tcPr>
            <w:tcW w:w="50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5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5,969</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08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Current Liabilities</w:t>
            </w: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Committed equity facility fees</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Unpaid Merger-related transaction costs</w:t>
            </w: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RaGE Earnout</w:t>
            </w: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consists of the following:</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2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2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4,752</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7% promissory notes – related parties</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7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classified as current</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portion</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Financings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13,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Between February 23, 2026 and March 31, 2026, the Company entered into three securities purchase agreements providing for the issuance of convertible notes. 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 The third agreement, entered into on March 31, 2026, with Leviston Resources, LLC (“Leviston”), provided for a senior secured convertible note with a principal amount of $3,000.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 The Company intends to use the proceeds for working capital and general corporate purposes.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63" w:gutter="0" w:footer="0" w:header="0"/>
        </w:sectPr>
      </w:pPr>
    </w:p>
    <w:bookmarkStart w:id="18" w:name="page19"/>
    <w:bookmarkEnd w:id="1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15, 2026, the Company amended an existing loan and security agreement, dated August 13, 2025, pursuant to which the Company was provided with a closed-end commercial loan in the original principal amount of $600. Under the amendment, the Company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six months ended March 31, 2026, the Company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the Company recognized a loss on extinguishment of debt of $144, which was recorded in other non-operating (gains) losses, net in the condensed consolidated statements of operations and comprehensive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March 31,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(the “Future Receipts Purchased Amount”) for net proceeds to the Company of $480. Under the agreement, the Company granted the buyer a security interest in all of the Company’s present and future accounts receivable in an amount not to exceed the Future Receipts Purchased Amount.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2025, the Company entered into a $200 note payable with a bank for net proceeds of $195. The note has an eighteen month term and requires weekly payments totaling $282, including finance charges. The note is secured by substantially all of the Company’s assets and is guaranteed by an officer and director of the Company.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2025, the Company entered into two agreements for the purchase and sale of future receipts with unrelated buyers, pursuant to which the Company agreed to sell to the buyer certain future trade receipts in the aggregate amount of $2,139 (the “Future Receipts Purchased Amount”) for net proceeds to the Company of $1,430.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November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2025, the Company and the holders of two notes agreed to settle the outstanding principal and accrued interest, totaling $545, for 63,180 shares of the Company’s Class A Common Stock. The Company recognized a loss on the extinguishment of debt of $283, which is included in “Other non-operating (gains) losses, net” in the condensed consolidated statements of operations and comprehensive loss.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and 2025, the Company made principal payments on notes payable of $2,533 and $119, respectively. As of March 31, 2026, notes payable having an aggregate remaining principal balance of $4,752 were outstanding and are included in “Notes payable” and “Notes payable, noncurrent” in the condensed consolidated balance sheet.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Promissory Notes — Related Parties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two outstanding promissory notes with related parties which bear interest at 7% per annum and are unsecured. One 7% promissory note, having a principal balance of $518 as of March 31, 2026, is payable in monthly payments of varying amounts through September 2026. The other 7% promissory note, having a principal balance of $1,168 as of March 31,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March 31, 2026. During the six months ended March 31, 2026 and 2025, the Company made principal payments of $565 and $0, respectively, on the 7% promissory notes.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operating leases for office space. The leases have remaining terms ranging from eight months to 1.3 years and expire at various dates through July 2027. The leases do not contain residual value guarantees or restrictive covenants. The following lease costs are included in the condensed consolidated statements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for the six months ended March 31, 2026 and 2025 was $171 and $378, respectively. As of March 31, 2026, the weighted-average remaining lease term was 1.2 years, and the weighted-average discount rate was 15.6%. There are no other leases that had not yet commenced as of March 31, 2026 that will create significant additional rights and obligations for the Company. The following table reconciles the undiscounted cash flows to the operating lease liabilities recorded on the condensed consolidated balance sheet as of March 31,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September 30,</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 (remaining six months)</w:t>
            </w:r>
          </w:p>
        </w:tc>
        <w:tc>
          <w:tcPr>
            <w:tcW w:w="84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r>
      <w:tr>
        <w:trPr>
          <w:trHeight w:val="20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gridSpan w:val="2"/>
          </w:tcPr>
          <w:p>
            <w:pPr>
              <w:spacing w:after="0"/>
              <w:rPr>
                <w:sz w:val="18"/>
                <w:szCs w:val="18"/>
                <w:color w:val="auto"/>
              </w:rPr>
            </w:pPr>
          </w:p>
        </w:tc>
      </w:tr>
      <w:tr>
        <w:trPr>
          <w:trHeight w:val="23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gridSpan w:val="2"/>
          </w:tcPr>
          <w:p>
            <w:pPr>
              <w:spacing w:after="0"/>
              <w:rPr>
                <w:sz w:val="18"/>
                <w:szCs w:val="18"/>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intends to move to compel arbitration and to defend the matter vigorously. The Company is unable to predict final outcome of this matter, but it does not currently believe that it will have a material adverse effect on its results of operation or financial position.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March 31, 2026 or September 30,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provision of $3 and an income tax benefit of $5 for the three months ended March 31, 2026 and 2025, respectively, and an income tax benefit of $21 and $7 for the six months ended March 31,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Equity</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preferred stock, Class A Common Stock and Class B Common Stock. As of March 31, 2026, the board of directors had not designated any series of preferred stock, and no shares of preferred stock were issued or outstanding.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March 31,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six months ended March 31, 2025, holders of 12,500 shares of the Company’s Class B Common Stock elected to convert such shares into the same number of shares of the Company’s Class A Common Stock.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Class A Common Stock</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At the Market Offering Agreement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ATM Agreement, sales of the Common Stock, if any, will be made under the Company’s Registration Statement on Form S-3 (File No. 333-284351)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2026, the Company sold 191,449 shares of its Class A Common Stock under the ATM Agreement, for net proceeds (after commissions) of $1,254. The amount and timing of future proceeds the Company may receive from the sale of its Class A Common Stock pursuant to the ATM Agreement, if any, will depend on a number of factors, including that the Company is eligible to use the Registration Statement on Form S-3 to sell shares to the Manager, the number of shares the Company may elect to sell, the timing of such sales and the future market price of the Company’s Class A Common stock. As of the date of this Form 10-Q, the Company is unable to sell shares pursuant to the ATM Agreement due to restrictions on the use of the Registration Statement on Form S-3.</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number of shares of Class A Common Stock available for issuance under the Company’s amended and restated articles of incorporation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number of shares of Class A Common Stock</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285,000,000</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outstanding</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10,355,525</w:t>
            </w: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conversion of Class B Common Stock</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200,491</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exercise of common stock warrants</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2,608,568</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Earnout shares</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 and RSUs</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987,398</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available for grant under 2023 Equity Incentive Plan</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94,209</w:t>
            </w:r>
          </w:p>
        </w:tc>
      </w:tr>
      <w:tr>
        <w:trPr>
          <w:trHeight w:val="230"/>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available for grant under 2023 Employee Stock Purchase Plan</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68,705</w:t>
            </w: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available for issuance</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270,335,104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never declared or paid any dividends on any class of its equity securities and does not expect to do so in the near future.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Warrants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warrants consist of the following:</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 Per Share:</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 and Private Warrants - $57.90</w:t>
            </w:r>
          </w:p>
        </w:tc>
        <w:tc>
          <w:tcPr>
            <w:tcW w:w="2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Warrants: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$0.10</w:t>
            </w:r>
          </w:p>
        </w:tc>
        <w:tc>
          <w:tcPr>
            <w:tcW w:w="46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$8.20 to $9.60</w:t>
            </w:r>
          </w:p>
        </w:tc>
        <w:tc>
          <w:tcPr>
            <w:tcW w:w="4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632,857</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632,857</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$10.80 to $11.80</w:t>
            </w:r>
          </w:p>
        </w:tc>
        <w:tc>
          <w:tcPr>
            <w:tcW w:w="46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1,002,075</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902,075</w:t>
            </w:r>
          </w:p>
        </w:tc>
      </w:tr>
      <w:tr>
        <w:trPr>
          <w:trHeight w:val="22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$17.38 to $20.00</w:t>
            </w:r>
          </w:p>
        </w:tc>
        <w:tc>
          <w:tcPr>
            <w:tcW w:w="4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35,636</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35,636</w:t>
            </w:r>
          </w:p>
        </w:tc>
      </w:tr>
      <w:tr>
        <w:trPr>
          <w:trHeight w:val="210"/>
        </w:trPr>
        <w:tc>
          <w:tcPr>
            <w:tcW w:w="4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2,608,568</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2,508,568</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4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model. The Company subsequently adjusts the carrying amount of the liability for each warrant to its estimated fair value as of the end of each reporting period (or through the warrants’ respective dates of exercise or modification, if earlier).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six months ended March 31, 2026.</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changes in the fair value of liability-classified warrants outstanding during the periods, for the six months ended March 31, 2026 and 2025, the Company recognized net non-cash losses of $428 and net non-cash gains of $625, respectively, which are included in “Change in fair value of warrants” in the condensed consolidated statements of operations and comprehensive loss. As of March 31, 2026 and September 30, 2025, the related liabilities of $375 and $6,859, respectively, are included in “Liability-classified warrants”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March 31, 2026, 94,209 shares of the Company’s Class A Common Stock are available for the grant of awards under the 2023 Equity Incentive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six months ended March 31, 2025 the Company recognized additional stock-based compensation expense of $6,917.</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activity in the Company’s RSUs for the six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Unit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29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112,326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5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(486,415)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94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15</w:t>
            </w: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vMerge w:val="continue"/>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23" w:name="page24"/>
    <w:bookmarkEnd w:id="2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RSUs was $7,796 as of March 31, 2026 and is expected to be recognized over a weighted-average period of 1.6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activity in the Company’s RSAs for the six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6980" w:type="dxa"/>
            <w:vAlign w:val="bottom"/>
          </w:tcPr>
          <w:p>
            <w:pPr>
              <w:spacing w:after="0"/>
              <w:rPr>
                <w:sz w:val="18"/>
                <w:szCs w:val="18"/>
                <w:color w:val="auto"/>
              </w:rPr>
            </w:pPr>
          </w:p>
        </w:tc>
        <w:tc>
          <w:tcPr>
            <w:tcW w:w="2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6980" w:type="dxa"/>
            <w:vAlign w:val="bottom"/>
          </w:tcPr>
          <w:p>
            <w:pPr>
              <w:spacing w:after="0"/>
              <w:rPr>
                <w:sz w:val="20"/>
                <w:szCs w:val="20"/>
                <w:color w:val="auto"/>
              </w:rPr>
            </w:pPr>
          </w:p>
        </w:tc>
        <w:tc>
          <w:tcPr>
            <w:tcW w:w="21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0"/>
        </w:trPr>
        <w:tc>
          <w:tcPr>
            <w:tcW w:w="69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487,250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RSAs was $1,912 as of March 31, 2026 and is expected to be recognized over a weighted-average period of 1.7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activity for the six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2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26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2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(32,353)</w:t>
            </w:r>
          </w:p>
        </w:tc>
        <w:tc>
          <w:tcPr>
            <w:tcW w:w="16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68.40</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2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tcPr>
          <w:p>
            <w:pPr>
              <w:spacing w:after="0"/>
              <w:rPr>
                <w:sz w:val="19"/>
                <w:szCs w:val="19"/>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50.60</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55.59</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55.29</w:t>
            </w:r>
          </w:p>
        </w:tc>
        <w:tc>
          <w:tcPr>
            <w:tcW w:w="2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205,448</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Unrecognized stock-based compensation expense related to stock options, totaling $237 as of March 31, 2026, is expected to be recognized over a weighted-average period of 0.6 months. The aggregate intrinsic value of stock options outstanding and stock options exercisable as of March 31, 2026 was $53 and $53, respectively. The total intrinsic value of options exercised during the six months ended March 31, 2026 and 2025 was $165 and $0, respectively. The total fair value of options that vested during the six months ended March 31, 2026 and 2025 was $224 and $342, respectively. No stock options were granted during the six months ended March 31, 2026 and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condensed consolidated statements of operations and comprehensive loss include stock-based compensation expense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product</w:t>
            </w:r>
          </w:p>
        </w:tc>
        <w:tc>
          <w:tcPr>
            <w:tcW w:w="16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70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services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0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2,351</w:t>
            </w:r>
          </w:p>
        </w:tc>
        <w:tc>
          <w:tcPr>
            <w:tcW w:w="10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3,245</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12,950</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cash, accounts receivable and accounts payable approximate their fair value due to the short-term nature of these instruments. The Company believes the aggregate carrying value of debt approximates its fair value as of March 31, 2026 and September 30, 2025 because the notes payable, the 7% promissory notes - related parties and the notes payable - related parties each mature within one to two years of the respective balance sheet 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Liabilities measured at fair value on a recurring basis as of March 31, 2026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r>
      <w:tr>
        <w:trPr>
          <w:trHeight w:val="210"/>
        </w:trPr>
        <w:tc>
          <w:tcPr>
            <w:tcW w:w="3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the earnout liability and the liability-classified warrants as Level 3 financial instruments due to the judgment required to develop the assumptions used and the significance of those assumptions to the fair value measurement. No financial instruments were transferred between levels of the fair value hierarchy during the six months ended March 31, 2026 or 2025. The following table provides a reconciliation of the balance of financial instruments measured at fair value on a recurring basis using Level 3 inputs:</w:t>
      </w:r>
    </w:p>
    <w:p>
      <w:pPr>
        <w:sectPr>
          <w:pgSz w:w="11900" w:h="16838" w:orient="portrait"/>
          <w:cols w:equalWidth="0" w:num="1">
            <w:col w:w="11240"/>
          </w:cols>
          <w:pgMar w:left="320" w:top="684" w:right="3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March 31,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September 30,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included in net loss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March 31, 2026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Earnout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Liability Classified</w:t>
            </w: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191"/>
        </w:trPr>
        <w:tc>
          <w:tcPr>
            <w:tcW w:w="2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6,859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48"/>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-471170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-753745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Earnout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Liability Classified</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March 31, 2025:</w:t>
            </w:r>
          </w:p>
        </w:tc>
        <w:tc>
          <w:tcPr>
            <w:tcW w:w="2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included in net loss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6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w:t>
            </w: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liability-classified warrants consist of the Private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six months ended March 31, 2026—using the Black-Scholes option pricing model. The following table summarizes the significant assumptions used in estimating the fair value of liability-classified warrants under the Black-Scholes option pricing model: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346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w:t>
            </w:r>
          </w:p>
        </w:tc>
        <w:tc>
          <w:tcPr>
            <w:tcW w:w="5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 – 4.9 years</w:t>
            </w:r>
          </w:p>
        </w:tc>
      </w:tr>
      <w:tr>
        <w:trPr>
          <w:trHeight w:val="414"/>
        </w:trPr>
        <w:tc>
          <w:tcPr>
            <w:tcW w:w="34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jc w:val="right"/>
              <w:ind w:right="337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Earnout Liability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9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w:t>
            </w:r>
          </w:p>
        </w:tc>
        <w:tc>
          <w:tcPr>
            <w:tcW w:w="32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 years</w:t>
            </w:r>
          </w:p>
        </w:tc>
        <w:tc>
          <w:tcPr>
            <w:tcW w:w="240" w:type="dxa"/>
            <w:vAlign w:val="bottom"/>
          </w:tcPr>
          <w:p>
            <w:pPr>
              <w:spacing w:after="0"/>
              <w:rPr>
                <w:sz w:val="20"/>
                <w:szCs w:val="20"/>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Net Loss Per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9"/>
                <w:szCs w:val="19"/>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19"/>
                <w:szCs w:val="19"/>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(5,734)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(2,177)</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9,638,233</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200,491</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3,822,890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200,491</w:t>
            </w:r>
          </w:p>
        </w:tc>
      </w:tr>
      <w:tr>
        <w:trPr>
          <w:trHeight w:val="263"/>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(5,734)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(2,177)</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198"/>
        </w:trPr>
        <w:tc>
          <w:tcPr>
            <w:tcW w:w="4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Reallocation of net loss as a result of conversion of</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to Class A Common Stock</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Number of shares used in basic earnings per share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calculation</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9,638,233</w:t>
            </w:r>
          </w:p>
        </w:tc>
        <w:tc>
          <w:tcPr>
            <w:tcW w:w="2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200,491</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3,822,890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200,491</w:t>
            </w:r>
          </w:p>
        </w:tc>
      </w:tr>
      <w:tr>
        <w:trPr>
          <w:trHeight w:val="23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200,491</w:t>
            </w:r>
          </w:p>
        </w:tc>
        <w:tc>
          <w:tcPr>
            <w:tcW w:w="260" w:type="dxa"/>
            <w:vAlign w:val="bottom"/>
          </w:tcPr>
          <w:p>
            <w:pPr>
              <w:spacing w:after="0"/>
              <w:rPr>
                <w:sz w:val="19"/>
                <w:szCs w:val="19"/>
                <w:color w:val="auto"/>
              </w:rPr>
            </w:pP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200,491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9,838,724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4,023,381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300" w:type="dxa"/>
            <w:vAlign w:val="bottom"/>
          </w:tcPr>
          <w:p>
            <w:pPr>
              <w:spacing w:after="0"/>
              <w:rPr>
                <w:sz w:val="19"/>
                <w:szCs w:val="19"/>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gridSpan w:val="2"/>
          </w:tcPr>
          <w:p>
            <w:pPr>
              <w:spacing w:after="0"/>
              <w:rPr>
                <w:sz w:val="19"/>
                <w:szCs w:val="19"/>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(15,580)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(20,974)</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7,857,772</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200,491</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3,726,645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205,367</w:t>
            </w:r>
          </w:p>
        </w:tc>
        <w:tc>
          <w:tcPr>
            <w:tcW w:w="80" w:type="dxa"/>
            <w:vAlign w:val="bottom"/>
            <w:shd w:val="clear" w:color="auto" w:fill="CCEEFF"/>
          </w:tcPr>
          <w:p>
            <w:pPr>
              <w:spacing w:after="0"/>
              <w:rPr>
                <w:sz w:val="19"/>
                <w:szCs w:val="19"/>
                <w:color w:val="auto"/>
              </w:rPr>
            </w:pPr>
          </w:p>
        </w:tc>
      </w:tr>
      <w:tr>
        <w:trPr>
          <w:trHeight w:val="263"/>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(15,580)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(20,974)</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r>
      <w:tr>
        <w:trPr>
          <w:trHeight w:val="198"/>
        </w:trPr>
        <w:tc>
          <w:tcPr>
            <w:tcW w:w="4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Reallocation of net loss as a result of conversion of</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to Class A Common Stock</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(1,156)</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net loss</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3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4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gridSpan w:val="2"/>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1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Number of shares used in basic earnings per share</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calculation</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7,857,772</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200,491</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3,726,645</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205,367</w:t>
            </w:r>
          </w:p>
        </w:tc>
        <w:tc>
          <w:tcPr>
            <w:tcW w:w="80" w:type="dxa"/>
            <w:vAlign w:val="bottom"/>
            <w:shd w:val="clear" w:color="auto" w:fill="CCEEFF"/>
          </w:tcPr>
          <w:p>
            <w:pPr>
              <w:spacing w:after="0"/>
              <w:rPr>
                <w:sz w:val="20"/>
                <w:szCs w:val="20"/>
                <w:color w:val="auto"/>
              </w:rPr>
            </w:pPr>
          </w:p>
        </w:tc>
      </w:tr>
      <w:tr>
        <w:trPr>
          <w:trHeight w:val="229"/>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Class B to Class A Common Stock</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200,491</w:t>
            </w:r>
          </w:p>
        </w:tc>
        <w:tc>
          <w:tcPr>
            <w:tcW w:w="300" w:type="dxa"/>
            <w:vAlign w:val="bottom"/>
          </w:tcPr>
          <w:p>
            <w:pPr>
              <w:spacing w:after="0"/>
              <w:rPr>
                <w:sz w:val="19"/>
                <w:szCs w:val="19"/>
                <w:color w:val="auto"/>
              </w:rPr>
            </w:pPr>
          </w:p>
        </w:tc>
        <w:tc>
          <w:tcPr>
            <w:tcW w:w="15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205,367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8,058,263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3,932,012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applying the if converted method or treasury stock method for calculating diluted earnings per share, Warrants, RSAs, RSUs and stock options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Class A Common Stock that were excluded from the computation of diluted net loss per share for the periods presented because including them would have an antidilutive effect were as follows:</w:t>
      </w:r>
    </w:p>
    <w:p>
      <w:pPr>
        <w:spacing w:after="0" w:line="15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2,608,568</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potentially issuable under earnout arrangements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350,000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414,281</w:t>
            </w:r>
          </w:p>
        </w:tc>
        <w:tc>
          <w:tcPr>
            <w:tcW w:w="8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RSAs</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416,250</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559,732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622,824</w:t>
            </w:r>
          </w:p>
        </w:tc>
        <w:tc>
          <w:tcPr>
            <w:tcW w:w="80" w:type="dxa"/>
            <w:vAlign w:val="bottom"/>
          </w:tcPr>
          <w:p>
            <w:pPr>
              <w:spacing w:after="0"/>
              <w:rPr>
                <w:sz w:val="18"/>
                <w:szCs w:val="18"/>
                <w:color w:val="auto"/>
              </w:rPr>
            </w:pPr>
          </w:p>
        </w:tc>
      </w:tr>
      <w:tr>
        <w:trPr>
          <w:trHeight w:val="23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210,321</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262,480</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4,144,871</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2,851,463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Concentrations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three customers accounted for 42% of the Company’s net revenue. For the three months ended March 31, 2025, one customer accounted for 60% of the Company’s net revenue. For the six months ended March 31, 2026, three customers accounted for 41% of the Company’s net revenue. For the six months ended March 31, 2025, one customer accounted for 64% of the Company’s net revenue. No other customer accounted for more than 10% of net revenue in the respective periods.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two customers had balances due that represented 34% of the Company’s total accounts receivable. As of September 30, 2025, two customers had balances due that represented 30% of the Company’s total accounts receivable.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sheets as total assets. The CODM does not review segment assets at a level other than that presented in the Company’s condensed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Region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revenue by geographic region, based on ship-to location,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2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927</w:t>
            </w:r>
          </w:p>
        </w:tc>
        <w:tc>
          <w:tcPr>
            <w:tcW w:w="86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2,647</w:t>
            </w:r>
          </w:p>
        </w:tc>
        <w:tc>
          <w:tcPr>
            <w:tcW w:w="8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5,313</w:t>
            </w: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4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r>
      <w:tr>
        <w:trPr>
          <w:trHeight w:val="223"/>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April 2, 2026, the Company’s board of directors approved a reverse stock split of its Class A common stock and Class B common stock at a ratio of 1-for-10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13, 2026, the Company entered into a First Amendment to the Securities Purchase Agreement and Senior Secured Convertible Note (the “First Amendment”) with Leviston Resources, LLC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 The Company intends to use the proceeds for working capital and general corporate purposes.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the Company ranking pari passu with, and secured by the same collateral as, the Original Note. The Company intends to use any proceeds from exercises of the Investment Right for working capital and general corporate purposes.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19, 2026, the Company entered into a Securities Purchase Agreement (the “Kips Purchase Agreement”) with Kips Bay Select, LP (“Kips”), pursuant to which the Company agreed to sell to Kips (i) 2,000 shares of Series A 10% Convertible Preferred Stock (the “Preferred Shares”) for aggregate gross proceeds of $2,400, and (ii) a Preferred Stock Purchase Warrant (the “Warrant”) to purchase up to an additional 6,000 shares of Series A 10% Convertible Preferred Stock at an exercise price of $1,000 per share. Kips funded $2,000, reflecting an original issue discount of $400, and $25 was</w:t>
      </w:r>
    </w:p>
    <w:p>
      <w:pPr>
        <w:sectPr>
          <w:pgSz w:w="11900" w:h="16838" w:orient="portrait"/>
          <w:cols w:equalWidth="0" w:num="1">
            <w:col w:w="11240"/>
          </w:cols>
          <w:pgMar w:left="320" w:top="684" w:right="339" w:bottom="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withheld for legal fees, resulting in net proceeds to the Company of $1,975. Dividends are payable in cash, or at the Company’s option, Preferred Shares. The Preferred Shares and any shares issued upon exercise of the Warrant are convertible into shares of our Class A Common Stock in accordance with the terms of the Certificate of Designation of Preferences, Rights and Limitations of Series A 10% Convertible Preferred Stock (the “COD”). In connection with the transaction, on May 19, 2026, we also entered into a Registration Rights Agreement with Kips (the “Registration Rights Agreement”) pursuant to which we agreed to register the resale of shares of Class A Common Stock issuable upon conversion of the Preferred Shares and upon exercise of the Warrant.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condensed consolidated financial statements included in Part I, Item 1 of this Quarterly Report on Form 10-Q.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You should carefully read the Cautionary Note Regarding Forward-Looking Statements as well as the risk factors set forth in our annual report on Form 10-K for the year ended September 30, 2025 and our other SEC filings to gain an understanding of the important factors that could cause actual results to differ materially from our forward-looking statements.</w:t>
      </w:r>
    </w:p>
    <w:p>
      <w:pPr>
        <w:spacing w:after="0" w:line="18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amounts in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i w:val="1"/>
          <w:iCs w:val="1"/>
          <w:color w:val="auto"/>
        </w:rPr>
        <w:t xml:space="preserve"> “Management’s Discussion and Analysis of Financial Condition and Results of Operations” are in thousands, except numbers of shares and per share amounts.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design, develop and sell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 Our Class A Common Stock and our public warrants are traded on the Nasdaq Capital Market under the symbols “MOBX” and “MOBXW,” respectively.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2026 Reverse Stock Split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 2026, our board of directors approved a reverse stock split of our Class A common stock and Class B common stock at a ratio of 1-for-10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The Reverse Stock Split became effective at 4:00 p.m. Eastern Time on April 6, 2026, and our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Financings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13, 2026, we issued an aggregate of 206,876 shares of Class A Common Stock to three of our creditors in exchange for satisfaction of the Company’s debt owed to such creditors in the aggregate amount of $3,000.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February 23, 2026 and March 16, 2026, we issued convertible bridge promissory notes with an aggregate principal amount of $554. These bridge notes mature on December 30, 2026 and January 15, 2027 and require aggregate scheduled payments of $621.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Convertible Promissory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31, 2026, we entered into a securities purchase agreement (the “Securities Purchase Agreement”) with Leviston Resources, LLC (“Leviston”), pursuant to which we agreed to issue a convertible promissory note (the “Promissory Note”). The $3,000 principal amount of the Promissory Note will be payable with interest on July 31, 2026. We intend to use the net proceeds from the sale of the Promissory Note for working capital and general corporate purposes. The Promissory Note bears an interest rate of 10% per annum.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(the “Conversion Price”). If at any time the market price is lower than the Conversion Price, the principal of the Promissory Note is subject to adjustment in accordance with the terms of the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Senior Secured Convertible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13, 2026, we entered into a First Amendment to the Securities Purchase Agreement and Promissory Note (the “First Amendment”) with Leviston, amending the Promissory Note originally issued on March 31, 2026 (the “Original Note”). Pursuant to the First Amendment, Leviston advanced an additional $833 to us,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18, 2026, we satisfied in full the entire $4,000 of outstanding principal under the Original Note, together with all accrued interest thereon, through the conversion of such amounts into 2,500,000 shares of Class A Common Stock. Upon such full satisfaction, the Original Note, the Securities Purchase Agreement (as amended by the First Amendment), and the Registration Rights Agreement, dated March 31, 2026, between the Company and Leviston, terminated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Leviston Investor Rights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May 13, 2026, we entered into an Investor Rights Agreement (the “IRA”) with Leviston, in connection with the Promissory note originally entered into on March 31, 2026 and amended pursuant to the First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our Class A Common Stock at a price equal to the lesser of (i) the closing price of the Common Stock on the applicable issuance date and (ii) 85% of the lowest 8-day volume-weighted average price immediately prior to and including the date of the applicable conversion notice. Any Additional Notes issued under the IRA will constitute senior secured indebtedness of us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and secured by the same collateral as, the Original Note. We intend to use any proceeds from exercises of the Investment Right for working capital and general corporate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Kips Financing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19, 2026, we entered into a Securities Purchase Agreement (the “Kips Purchase Agreement”) with Kips Bay Select, LP (“Kips”), pursuant to which we agreed to sell to Kips (i) 2,000 shares of Series A 10% Convertible Preferred Stock (the “Preferred Shares”) for aggregate gross proceeds of $2,400, and (ii) a Preferred Stock Purchase Warrant (the “Warrant”) to purchase up to an additional 6,000 shares of Series A 10% Convertible Preferred Stock at an exercise price of $1,000 per share. Dividends are payable in cash, or at our option, Preferred Shares. The Preferred Shares and any shares issued upon exercise of the Warrant are convertible into shares of our Class A Common Stock in accordance with the terms of the Certificate of Designation of Preferences, Rights and Limitations of Series A 10% Convertible Preferred Stock (the “COD”). In connection with the transaction, on May 19, 2026, we</w:t>
      </w:r>
    </w:p>
    <w:p>
      <w:pPr>
        <w:sectPr>
          <w:pgSz w:w="11900" w:h="16838" w:orient="portrait"/>
          <w:cols w:equalWidth="0" w:num="1">
            <w:col w:w="11240"/>
          </w:cols>
          <w:pgMar w:left="320" w:top="684" w:right="339" w:bottom="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also entered into a Registration Rights Agreement with Kips (the “Registration Rights Agreement”) pursuant to which we agreed to register the resale of shares of Class A Common Stock issuable upon conversion of the Preferred Shares and upon exercise of the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 Settlement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15, 2026, we amended an existing loan and security agreement, dated August 13, 2025, pursuant to which we were provided with a closed-end commercial loan in the original principal amount of $600. Under the amendment, we agreed to cure a prior payment default,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our timely payment of the required cash amounts.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2026, we settled the remaining outstanding indebtedness under the arrangement. In connection with the settlement, indebtedness of $232, consisting of principal of $140 and accrued interest of $92, was settled through the issuance or delivery of 169,375 shares of the Company’s Class A Common Stock. Based on the fair value of the shares issued or delivered at the time of settlement of $376, or $2.22 per share, we recognized a loss on extinguishment of debt of $144, which was recorded in other non-operating (gains) losses, net in the condensed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Class A Common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6, 2026, we entered into certain securities purchase agreements with unrelated investors relating to a public offering of 3,000,000 shares of our Class A Common Stock at a price to the public of $2.00 per share (the “Offering”). In connection with the Offering, we entered into a placement agency agreement, pursuant to which we agreed to pay the placement agent a cash placement fee equal to 8.0% of the aggregate gross proceeds raised in the Offering. Subject to certain conditions, we also agreed to reimburse the placement agent up to 1.0% of the gross proceeds raised in the Offering for non-accountable expenses and up to $100 for fees and expenses of legal counsel and other out-of-pocket expenses. We also agreed to indemnify the placement agent against certain liabilities, including liabilities under the Securities Act of 1933, as amended, or to contribute to payments that the placement agent may be required to make in respect of those liabilities. The net proceeds to us from the Offering were approximately $5,360, after deducting placement agent fees and commissions and other estimated offering expenses payable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21, 2025, we entered into an At The Market Offering Agreement (the “ATM Agreement”) with Roth Capital Partners, LLC (“Manager”) under which we may offer and sell, from time to time at our sole discretion, up to $15,800 in shares of our Class A Common Stock through the Manager acting in its capacity as our sales agent.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ATM Agreement, sales of the Common Stock, if any, will be made under our Registration Statement on Form S-3 (File No. 333-284351)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us (including any price, time or size limits or other customary parameters or conditions we may impose). We will pay the Manager a commission of three percent of the gross sales proceeds of any Common Stock sold through the Manager under the ATM Agreement, and we have also provided the Manager with customary indemnification rights. We intend to use the net proceeds from the sales of our Common Stock under the ATM Agreement for working capital purposes.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2026, we sold 191,449 shares of our Class A Common Stock under the ATM Agreement, for net proceeds (after commissions) of $1,254. The amount and timing of the proceeds we may receive from sales of our Class A Common Stock pursuant to the ATM Agreement, if any, will depend on a number of factors, including that we are eligible to use the Registration Statement on Form S-3 to sell the shares to the Manager, the numbers of shares we may elect to sell, the timing of such sales and the future market price of our Class A Common stock. As of the date of this Form 10-Q, we are unable to sell shares pursuant to the ATM Agreement due to restrictions on the use of the Registration Statement on Form S-3.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Intent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submitted a non-binding letter of intent to acquire a drone technology and manufacturing company. The letter of intent has not been counter-signed, and discussions are ongoing. There can be no assurance the letter of intent will be counter-signed or that any acquisition will be consummated.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940" w:type="dxa"/>
            <w:vAlign w:val="bottom"/>
          </w:tcPr>
          <w:p>
            <w:pPr>
              <w:spacing w:after="0"/>
              <w:rPr>
                <w:sz w:val="20"/>
                <w:szCs w:val="20"/>
                <w:color w:val="auto"/>
              </w:rPr>
            </w:pPr>
          </w:p>
        </w:tc>
        <w:tc>
          <w:tcPr>
            <w:tcW w:w="17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(788)</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1,054</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(753)</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1,067</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424</w:t>
            </w:r>
          </w:p>
        </w:tc>
        <w:tc>
          <w:tcPr>
            <w:tcW w:w="3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42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719</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5,847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8,129</w:t>
            </w:r>
          </w:p>
        </w:tc>
        <w:tc>
          <w:tcPr>
            <w:tcW w:w="3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(2,282)</w:t>
            </w: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4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(7,828)</w:t>
            </w:r>
          </w:p>
        </w:tc>
        <w:tc>
          <w:tcPr>
            <w:tcW w:w="3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1,737</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w:t>
            </w:r>
          </w:p>
        </w:tc>
        <w:tc>
          <w:tcPr>
            <w:tcW w:w="3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1,115</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(2,220)</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2,220</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(3,283)</w:t>
            </w:r>
          </w:p>
        </w:tc>
        <w:tc>
          <w:tcPr>
            <w:tcW w:w="3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3,388</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net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(303)</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(1,432)</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(2,296)</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(3,554)</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9"/>
        </w:trPr>
        <w:tc>
          <w:tcPr>
            <w:tcW w:w="4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(5,853)</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(3,562)</w:t>
            </w:r>
          </w:p>
        </w:tc>
        <w:tc>
          <w:tcPr>
            <w:tcW w:w="3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2026 and 2025</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500" w:type="dxa"/>
            <w:vAlign w:val="bottom"/>
          </w:tcPr>
          <w:p>
            <w:pPr>
              <w:spacing w:after="0"/>
              <w:rPr>
                <w:sz w:val="20"/>
                <w:szCs w:val="20"/>
                <w:color w:val="auto"/>
              </w:rPr>
            </w:pPr>
          </w:p>
        </w:tc>
        <w:tc>
          <w:tcPr>
            <w:tcW w:w="18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2,004</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(1,404)</w:t>
            </w:r>
          </w:p>
        </w:tc>
        <w:tc>
          <w:tcPr>
            <w:tcW w:w="3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2,272</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(1,431)</w:t>
            </w: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2,257</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716</w:t>
            </w:r>
          </w:p>
        </w:tc>
        <w:tc>
          <w:tcPr>
            <w:tcW w:w="3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42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1,330</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23,835</w:t>
            </w:r>
          </w:p>
        </w:tc>
        <w:tc>
          <w:tcPr>
            <w:tcW w:w="3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(9,016)</w:t>
            </w:r>
          </w:p>
        </w:tc>
        <w:tc>
          <w:tcPr>
            <w:tcW w:w="3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4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(22,458)</w:t>
            </w:r>
          </w:p>
        </w:tc>
        <w:tc>
          <w:tcPr>
            <w:tcW w:w="3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7,534</w:t>
            </w:r>
          </w:p>
        </w:tc>
        <w:tc>
          <w:tcPr>
            <w:tcW w:w="3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2,284</w:t>
            </w:r>
          </w:p>
        </w:tc>
        <w:tc>
          <w:tcPr>
            <w:tcW w:w="3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w:t>
            </w:r>
          </w:p>
        </w:tc>
        <w:tc>
          <w:tcPr>
            <w:tcW w:w="3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1,053</w:t>
            </w:r>
          </w:p>
        </w:tc>
        <w:tc>
          <w:tcPr>
            <w:tcW w:w="3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gains (losses), net</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(1,261)</w:t>
            </w:r>
          </w:p>
        </w:tc>
        <w:tc>
          <w:tcPr>
            <w:tcW w:w="3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(22,137)</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6,138</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4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4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(15,978)</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(22,130)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6,152</w:t>
            </w:r>
          </w:p>
        </w:tc>
        <w:tc>
          <w:tcPr>
            <w:tcW w:w="3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six months ended March 31,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revenue fluctuates based on a variety of factors, including the timing of the receipt of product orders or contracts from our customers, product mix, competition, global economic conditions, and other factors.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Product revenue was $669 for the three months ended March 31, 2026 compared to $1,457 for the three months ended March 31, 2025, a decrease of $788 or 54%. The change is principally driven by a temporary delay in shipments of our radar and imaging sensor products within our wireless systems solutions segment, which we expect to resume in the second half of calendar year 2026, as well as lower shipments of our interconnect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2026, product revenue was $2,004 compared to $3,408 for the six months ended March 31, 2025, a decrease of $1,404 or 41%. The change reflects a temporary delay in shipments of our radar and imaging sensor products, which we expect to resume in the second half of calendar year 2026, partially offset by an increase in shipments of our interconnect products.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Services revenue was $301 for the three months ended March 31, 2026 compared to $1,054 for the three months ended March 31, 2025, a decrease of $753 or 71%. Our services revenues are subject to routine fluctuations based on the timing of our receipt of contracts from customers, and our performance thereunder. The change in service revenues is the result of the timing of customer contracts.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March 31, 2026, services revenue was $841 compared to $2,272 for the six months ended March 31, 2025, a decrease of $1,431 or 63%. Our services revenues are subject to routine fluctuations based on the timing of our receipt of contracts from customers, and our performance thereunder. The change in service revenues is the result of the timing of customer contracts.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services revenue principally consists of employee compensation and benefits of employees engaged in the delivery of engineering services, along with any related materials, equipment, supplies or other costs to perform a contract.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product revenue was $456 for the three months ended March 31, 2026 compared to $1,067 for the three months ended March 31, 2025, a decrease of $611 or 57%. The change principally reflects the lower shipments of our wireless systems solutions products noted above.</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service revenue was $330 for the three months ended March 31, 2026 compared to $424 for the three months ended March 31, 2025, a decrease of $94 or 22%.</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product revenue was $1,405 for the six months ended March 31, 2026 compared to $2,257 for the six months ended March 31, 2025, a decrease of $852 or 38%. The change principally reflects the lower shipments of our wireless systems solutions products noted above.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service revenue was $675 for the six months ended March 31, 2026 compared to $716 for the six months ended March 31, 2025, a decrease of $41 or 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$428 for the three months ended March 31, 2026 compared to $719 for the three months ended March 31, 2025, a decrease of $291 or 40%. The decrease reflects lower costs for employee compensation and benefits and other costs as part of the Company’s ongoing cost management efforts.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$870 for the six months ended March 31, 2026 compared to $1,330 for the six months ended March 31, 2025, a decrease of $460 or 35%. The decrease reflects lower costs for employee compensation and benefits and other costs as part of the Company’s ongoing cost management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$5,847 for the three months ended March 31, 2026 compared to $8,129 for the three months ended March 31, 2025, a decrease of $2,282 or 28%. The change principally reflects a decrease in stock-based compensation expense as well as lower costs under the RaGE Earnout, lower costs for outside legal and accounting services and lower insurance cost.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$14,819 for the six months ended March 31, 2026 compared to $23,835 for the six months ended March 31, 2025, a decrease of $9,016 or 38%. The change principally reflects a decrease in stock-based compensation expense as well as lower costs under the RaGE Earnout, lower costs for outside legal and accounting services and lower insurance cost.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cash and non-cash interest related to our related and unrelated party promissory notes, notes payable and convertible notes.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Interest expense was $1,389 for the three months ended March 31, 2026 compared to $274 for the three months ended March 31, 2025, an increase of $1,115 or 407%. The increase reflects higher outstanding borrowings and higher interest rates on borrowings during the three months ended March 31, 2026.</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$2,769 for the six months ended March 31, 2026 compared to $485 for the six months ended March 31, 2025, an increase of $2,284 or 471%. The increase reflects higher outstanding borrowings and higher interest rates on borrowings during the six months ended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Earnout Liability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$2,220 for the three months ended March 31, 2026 and 2025, respectively, and non-cash gains of $960 and $280 for the six months ended March 31, 2026 and 2025,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7" w:name="page38"/>
    <w:bookmarkEnd w:id="3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six months ended March 31, 2026.</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changes in the fair value of liability-classified warrants outstanding during the periods, for the three months ended March 31, 2026 and 2025, we recognized net non-cash losses of $105 and net non-cash gains of $3,283, respectively. For the six months ended March 31, 2026 and 2025, we recognized net non-cash losses of $428 and net non-cash gains of $625, respectively, which are included in “Change in fair value of warrants” in the condensed consolidated statements of operations and comprehensive loss.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September 30, 2025, the related liabilities of $375 and $6,859, respectively, are included in “Liability-classified warrants” in the condensed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(Gains) Losses, Net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other non-operating gains, net of $1,735 principally consist of gains on the settlements of certain notes payable and certain other liabilities in shares of our Class A Common Stock. For the six months ended March 31, 2026, other non-operating gains, net of $1,162 principally consist of the $514 fair value of the additional warrants issued in connection with amendments to certain warrants and gains on the settlements of certain notes payable and certain other liabilities in shares of our Class A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other non-operating gains, net of $303 principally consist of a gain from the decrease in the fair value of a derivative liability and gains on the conversion of certain accounts payable into shares of our Class A Common Stock. For the six months ended March 31, 2025, other non-operating losses, net of $99 principally consist of a loss recognized upon the conversion of the outstanding principal balance of a note payable and accrued interest thereon into shares of our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 Benefit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and six months ended March 31, 2026, and for the three months ended March 31,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use of cash is to fund operating expenses, working capital requirements, debt service obligations, capital expenditures and other investments.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cash flows for the six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6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4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Pr>
          <w:p>
            <w:pPr>
              <w:spacing w:after="0"/>
              <w:rPr>
                <w:sz w:val="18"/>
                <w:szCs w:val="18"/>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8,307</w:t>
            </w:r>
          </w:p>
        </w:tc>
        <w:tc>
          <w:tcPr>
            <w:tcW w:w="1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2,047</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6,260</w:t>
            </w: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beginning of period</w:t>
            </w:r>
          </w:p>
        </w:tc>
        <w:tc>
          <w:tcPr>
            <w:tcW w:w="1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3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six months ended March 31, 2026, net cash used in operating activities was $9,017, which included the impact of our net loss of $15,978 and a net increase in working capital items of $1,094, offset by net non-cash charges of $8,055. The net non-cash charges principally consisted of stock-based compensation expense of $7,592 for restricted stock units and stock options, $879 of depreciation and amortization expense and charges of $428 for the issuance or change in fair value of warrants, partly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March 31, 2025, net cash used in operating activities was $1,516, which included the impact of our net loss of $22,130, offset by net non-cash charges of $14,028 and net decreases in working capital items of $6,586. The net non-cash charges principally consisted of stock-based compensation expense of $13,154 for stock options and restricted stock units and $1,124 of depreciation and amortization expense. The net working capital decrease principally consisted of increases in accounts payable and accrued expenses together with decreases in accounts receivable and inventory.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March 31, 2026 was $0.</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$16 for the six months ended March 31, 2025 consisted of payments for the acquisition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March 31, 2026 of $8,307 principally consisted of $5,360 in proceeds from our public offering, $1,254 in proceeds from the sale of common stock, $4,736 in borrowings under notes payable and agreements for the purchase and sale of future receipts and proceeds of $55 from the exercise of stock options. These amounts were partially offset by principal payments on notes payable of $3,098 (including payments of $565 on notes payable—related parties).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March 31, 2025 of $2,047 consisted of $600 in proceeds from the issuance of common stock, and $1,725 in proceeds under agreements for the purchase and sale of future receipts and the issuance of a note payable and proceeds of $15 from the exercise of warrants to purchase shares of the Company’s Class A Common Stock. These amounts were partially offset by principal payments on notes payable of $119 and the payment of deferred consideration of $174 for the acquisition of a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our cash balance was $2,563 compared to $3,273 at September 30, 2025. We had a working capital deficit of $18,540 as of March 31, 2026 compared to a working capital deficit of $21,071 at September 30,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our debt consists of notes payable with an aggregate amount of $4,752 and 7% promissory notes—related parties with an aggregate principal amount of $1,686. Of these amounts, one note having a principal amount of $125 has reached its maturity date and is currently due. The remainder require weekly or monthly payments in varying amounts through July 2027.</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total liabilities as of March 31, 2026 were $26,009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six months ended March 31, 2026, a decrease in accounts payable of $2,747, and a decrease in accrued expenses and other current liabilities of $1,289.</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commitments include (i) non-cancelable operating leases for equipment, office facilities and other property containing future minimum lease payments totaling $235 payable over the next 1.2 years, (ii) unpaid commitment and other fees of $1,478 payable in connection with the committed equity facility, (iii) deferred purchase consideration of $2,323 related to acquisitions which is currently due, and (iv) $2,000 currently payable under an earnout arrangement related to the acquisition of a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incurred a loss from operations of $14,924 for the six months ended March 31, 2026 and we incurred losses from operations of $37,693 and $46,395 for the years ended September 30, 2025 and 2024, respectively. Additionally, we had negative cash flows from operations of $9,017 for the six months ended March 31, 2026 and negative cash flows from operations of $10,113 and $18,388 for the years ended September 30, 2025 and 2024, respectively. As of March 31, 2026, we had cash on hand of $2,563 and an accumulated deficit of $166,566.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and the related notes thereto included elsewhere in this Quarterly Report on Form 10-Q are prepared in accordance with U.S. GAAP. The preparation of condensed consolidated financial statements also requires us to make estimates and assumptions that affect the reported amounts of assets, liabilities, revenue, costs and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To the extent that there are differences between our estimates and actual results, our future financial position, results of operations, and cash flows may be affected.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2026, there were no significant changes to our critical accounting policies and estimates compared to those previously disclosed in “Critical Accounting Policies and Estimates” included in Part II, Item 7. “Management’s Discussion and Analysis of Financial Condition and Results of Operations” included in our Annual Report on Form 10-K for the year ended September 30, 2025, filed with the SEC on January 13,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no longer be an “emerging growth company” effective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Securities Exchange Act of 1934, as amended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pursuant to Rule 13a-15(b) of the Exchange Act, as of March 31, 2026. We identified material weaknesses in our internal control over financial reporting as described below, and, as a result, our chief executive officer and chief financial officer concluded that our disclosure controls and procedures were not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176" w:lineRule="exact"/>
        <w:rPr>
          <w:sz w:val="20"/>
          <w:szCs w:val="20"/>
          <w:color w:val="auto"/>
        </w:rPr>
      </w:pPr>
    </w:p>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our insufficient complement of personnel resulted in an inability to consistently establish appropriate authorities and responsibilities in pursuit of financial reporting objectives, as demonstrated by, among other things, insufficient segregation of duties in our finance and accounting functions.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risk assessment process at a precise enough level to identify new and evolving risks of material misstatement in our financial statements. Specifically, changes to existing controls or the implementation of new controls have not been sufficient to respond to changes to our risks of material misstatement to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material weaknesses contributed to the following additional material weaknesses: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our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our financial statements and to ensure revenue transactions are recorded in the correct period.</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our financing arrangements.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verify transactions are properly authorized, executed, and accounted for, including transactions related to incentive compensation arrangements.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our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spacing w:after="0" w:line="189"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our financial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substantially all of our accounts or disclosures that would result in a material misstatement to our annual or interim financial statements that would not be prevented or detected.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begun an implementation plan to remediate these material weaknesses, which we expect will result in significant future costs for us.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Those remediation measures will include (i) hiring additional accounting and IT personnel to enhance our financial reporting, accounting and IT capabilities; (ii) designing and implementing controls to formalize roles and review responsibilities and designing and implementing controls over segregation of duties; (iii) designing and implementing controls to identify and evaluate changes in our business and the impact on our internal control over financial reporting; (iv) designing and implementing controls over the proper authorization of transactions; (v) designing and implementing controls to identify, account for, and value non-routine, unusual or complex transactions; (vi) designing and implementing formal accounting policies, procedures and controls supporting our financial close process, including controls over account reconciliations and journal entries; (vii) designing and implementing controls over determining the appropriate grant date for stock options and evaluating the assumptions used within the Black-Scholes model; (viii) designing and implementing controls over the completeness and accuracy of the income tax provision and related disclosure; (ix) designing and implementing controls over the classification and presentation of accounts and disclosures in our financial statements and to ensure revenue transactions are recorded in the correct period; (x) implementing a more sophisticated IT system; and (xi) designing and implementing IT general controls.</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our remediation plan as described above has been fully implemented and we determine no further changes to the remediation plan are necessary, the applicable controls operate for a sufficient period of time, and we have concluded, through testing, that the newly implemented and enhanced controls are operating effectively.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above, our management believes that the financial statements included in this Quarterly Report on Form 10-Q present fairly in all material respects our financial position, results of operations and cash flows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most recent fiscal quarter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13, 2026, Ydens Holdings, LLC and related individual plaintiffs filed a lawsuit in Orange County Superior Court against us and our subsidiary EMI Solutions, asserting breach of contract and related claims arising from the September 2022 Agreement and Plan of Merger under which we acquired EMI Solutions. The plaintiffs seek damages. The Merger Agreement contains a mandatory arbitration provision, and we intend to move to compel arbitration and to defend the matter vigorously. We are unable to predict final outcome of this matter, but we do not currently believe that it will have a material adverse effect on our results of operation or financial position.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Form 10-Q, you should carefully consider the risk factors disclosed in our Annual Report on Form 10-K for the fiscal year ended September 30, 2025. The information presented below updates, and should be read in conjunction with, the risk factors and information disclosed in our Annual Report on Form 10-K. Except as set forth below, there have been no material changes to the risk factors disclosed in the Form 10-K.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Reverse Stock Split Has Led to a Decrease in the Overall Market Capitalization of the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Common Stock, then our value, as measured by our market capitalization, will be reduced.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13, 2026, we issued an aggregate of 206,876 shares of Class A Common Stock to three of our creditors in exchange for satisfaction of the Company’s debt owed to such creditors in the aggregate amount of $3,000.</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Between February 23, 2026 and March 16, 2026, we entered into two securities purchase agreements providing for the issuance of convertible notes. The agreements were entered into on February 23, 2026 and March 16, 2026, respectively, and provided for bridge promissory notes with an aggregate principal amount of $554, aggregate original issue discount of $72, aggregate purchase price of $482, and one-time interest charges of 12%. These bridge notes mature on December 30, 2026 and January 15, 2027, respectively, and require aggregate scheduled payments of $621. The promissory notes are convertible into shares of our Class A Common Stock at the election of the holder at a conversion price equal to 75% multiplied by the lowest trading price of the Class A Common Stock during the 10 trading days prior to the conversion date.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31, 2026, we entered into the Securities Purchase Agreement with Leviston, pursuant to which we issued the Promissory Note. The $3,000 principal amount of the Promissory Note will be payable with interest on July 31, 2026. We intend to use the net proceeds from the sale of the Promissory Note for working capital and general corporate purposes. The Promissory Note bears an interest rate of 10% per annum. 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On May 13, 2026, we entered into the Amendment to increase the principal amount under the Promissory Note from $3,000 to $4,000 in exchange for an additional cash advance of $833. The issuance of the Promissory Note was effected in reliance upon exemptions from registration under the Securities Act, including Section 4(a)(2) thereof and Rule 506(b) of Regulation D thereunder.</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May 13, 2026, we entered into the Investor Rights Agreement that grants Leviston the right, but not the obligation, to acquire, over a seven-month period, additional secured convertible notes of up to $4,000 in aggregate principal amount on terms substantially similar to the Promissory Note and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Between May 12, 2026 and May 18, 2026, Leviston converted the entire $4,000 of outstanding principal under the Promissory Note, as amended, together with all accrued interest thereon, into an aggregate of 2,500,000 shares of Class A Common Stock, satisfying the Promissory Note in full. The issuance of the shares of Class A Common Stock was exempt from registration under Section 3(a)(9) of the Securities Act. Any shares issuable pursuant to the Investor Rights Agreement upon conversion of additional secured convertible notes will be effected in reliance upon Section 3(a)(9) of the Securities Act.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19, 2026, we entered into the Kips Purchase Agreement, pursuant to which we agreed to sell to Kips (i) 2,000 Preferred Shares for aggregate gross proceeds of $2,400 and (ii) a Warrant to purchase up to an additional 6,000 Preferred Shares at an exercise price of $1,000 per share. The Preferred Shares are convertible into shares of Class A Common Stock at a conversion price equal to 82% of the lowest 8-day VWAP of the Class A Common Stock, immediately prior to and including the conversion date, subject to adjustments provided in the COD, including for stock dividends, stock splits, subsequent equity sales and similar events. The Warrant is exercisable beginning May 19, 2026 and expires no later than twelve months thereafter.</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issuance of the Preferred Shares and the Warrant was effected in reliance upon exemptions from registration under the Securities Act, including Section 4(a)(2) thereof and Rule 506(b) of Regulation 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122"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19, 2026, we entered into the Kips Purchase Agreement, pursuant to which we agreed to sell to Kips (i) 2,000 Preferred Shares for aggregate gross proceeds of $2,400, and (ii) a Warrant to purchase up to an additional 6,000 Preferred Shares at an exercise price of $1,000 per share. The COD provides that 10,000,000 shares have been designated as Preferred Shares with a stated value equal to $1,200, subject to increase as set forth in the COD.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Preferred Shares accrue dividends at a rate of ten percent per annum, payable in cash or, at our option, in Preferred Shares. The COD includes affirmative and negative covenants. The Preferred Shares are convertible into shares of Class A Common Stock at a conversion price equal to 82% of the lowest 8-day VWAP of the Class A Common Stock, immediately prior to and including the conversion date, subject to adjustments provided in the COD, including for stock dividends, stock splits, subsequent equity sales and similar events. At any time commencing 30 days after the issuance date, and subject to the satisfaction of certain Equity Conditions, as defined in the COD, we may redeem some or all of the outstanding Preferred Shares for an amount equal to the Optional Redemption Amount, as defined in the COD and we are required to redeem the Preferred Stock upon a Triggering Event, as defined in the COD.</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2"/>
          <w:szCs w:val="22"/>
          <w:color w:val="auto"/>
        </w:rPr>
        <w:t>Pursuant to the Registration Rights Agreement, we have agreed to register the resale of the shares of Class A Common Stock issuable upon conversion of the Preferred Shares, including the Preferred Shares issuable upon exercise of the Warrant.</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 is exercisable beginning May 19, 2026 and expires no later than twelve months thereafter.</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of the Kips Purchase Agreement, we may not issue shares of Class A Common Stock pursuant upon conversion of the Preferred Shares to the extent such issuance would require prior stockholder approval under Nasdaq rules.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securities described above are being offered pursuant to the exemption provided in Section 4(a)(2) under the Securities Act of 1933, as amended, and Rule 506(b) of Regulation D promulgated thereunder.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COD was filed with the Secretary of State of the State of Delaware on May 19, 2026, which became effective upon filing. The COD was adopted by our Board of Directors without a vote of our stockholders pursuant to the authority granted to the Board of Directors under our certificate of incorporation, which authorizes us to issue up to 10,000,000 shares of preferred stock, and Section 151 of the Delaware General Corporation Law.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is not complete and is qualified in its entirety by reference to the full text of the Warrant, the COD, the Kips Purchase Agreement, and the Registration Rights Agreement, copies of which are filed as Exhibits 4.3, 4.4, 10.4, and 10.5, respectively, to this Quarterly Report on Form 10-Q.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determined not to pursue a potential acquisition of Peraso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(as defined in Rule 16a-1(f) of the Exchange Act) or directors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260" w:type="dxa"/>
            <w:vAlign w:val="bottom"/>
            <w:tcBorders>
              <w:bottom w:val="single" w:sz="8" w:color="auto"/>
            </w:tcBorders>
            <w:gridSpan w:val="10"/>
          </w:tcPr>
          <w:p>
            <w:pPr>
              <w:ind w:left="2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Senior Secured Convertible Promissory Note in favor of Leviston Resources, LLC dated as of March 31, 2026 (incorporated by reference to</w:t>
              </w:r>
            </w:hyperlink>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Exhibit 4.17 to the Registrant’s Registration Statement on Form S-1 (File No. 333-295357), filed with the SEC on April 27, 2026).</w:t>
              </w:r>
            </w:hyperlink>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First Amendment to Securities Purchase Agreement and Senior Secured Convertible Promissory Note in favor of Leviston Resources, LLC</w:t>
            </w:r>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dated as of May 13, 2026.</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Preferred Stock Purchase Warrant, dated May 19, 2026, in favor of Kips Bay Select, LP.</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Designation of Series A 10% Convertible Preferred Stock.</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Securities Purchase Agreement, by and between Mobix Labs, Inc and Leviston Resources, LLC, dated as of March 31, 2026 (incorporated</w:t>
              </w:r>
            </w:hyperlink>
          </w:p>
        </w:tc>
      </w:tr>
      <w:tr>
        <w:trPr>
          <w:trHeight w:val="196"/>
        </w:trPr>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by reference to Exhibit 10.57 to the Registrant’s Registration Statement on Form S-1 (File No. 333-295357), filed with the SEC on April 27,</w:t>
              </w:r>
            </w:hyperlink>
          </w:p>
        </w:tc>
      </w:tr>
      <w:tr>
        <w:trPr>
          <w:trHeight w:val="217"/>
        </w:trPr>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2026).</w:t>
              </w:r>
            </w:hyperlink>
          </w:p>
        </w:tc>
        <w:tc>
          <w:tcPr>
            <w:tcW w:w="980" w:type="dxa"/>
            <w:vAlign w:val="bottom"/>
            <w:tcBorders>
              <w:top w:val="single" w:sz="8" w:color="0000EE"/>
            </w:tcBorders>
            <w:shd w:val="clear" w:color="auto" w:fill="CCEEFF"/>
          </w:tcPr>
          <w:p>
            <w:pPr>
              <w:spacing w:after="0"/>
              <w:rPr>
                <w:sz w:val="18"/>
                <w:szCs w:val="18"/>
                <w:color w:val="auto"/>
              </w:rPr>
            </w:pPr>
          </w:p>
        </w:tc>
        <w:tc>
          <w:tcPr>
            <w:tcW w:w="3320" w:type="dxa"/>
            <w:vAlign w:val="bottom"/>
            <w:tcBorders>
              <w:top w:val="single" w:sz="8" w:color="0000EE"/>
            </w:tcBorders>
            <w:shd w:val="clear" w:color="auto" w:fill="CCEEFF"/>
          </w:tcPr>
          <w:p>
            <w:pPr>
              <w:spacing w:after="0"/>
              <w:rPr>
                <w:sz w:val="18"/>
                <w:szCs w:val="18"/>
                <w:color w:val="auto"/>
              </w:rPr>
            </w:pPr>
          </w:p>
        </w:tc>
        <w:tc>
          <w:tcPr>
            <w:tcW w:w="1140" w:type="dxa"/>
            <w:vAlign w:val="bottom"/>
            <w:tcBorders>
              <w:top w:val="single" w:sz="8" w:color="0000EE"/>
            </w:tcBorders>
            <w:shd w:val="clear" w:color="auto" w:fill="CCEEFF"/>
          </w:tcPr>
          <w:p>
            <w:pPr>
              <w:spacing w:after="0"/>
              <w:rPr>
                <w:sz w:val="18"/>
                <w:szCs w:val="18"/>
                <w:color w:val="auto"/>
              </w:rPr>
            </w:pPr>
          </w:p>
        </w:tc>
        <w:tc>
          <w:tcPr>
            <w:tcW w:w="13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Registration Rights Agreement by and between Mobix Labs, Inc and Leviston Resources, LLC, dated as of March 31, 2026 (incorporated</w:t>
              </w:r>
            </w:hyperlink>
          </w:p>
        </w:tc>
      </w:tr>
      <w:tr>
        <w:trPr>
          <w:trHeight w:val="196"/>
        </w:trPr>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by reference to Exhibit 10.58 to the Registrant’s Registration Statement on Form S-1 (File No. 333-295357), filed with the SEC on April 27,</w:t>
              </w:r>
            </w:hyperlink>
          </w:p>
        </w:tc>
      </w:tr>
      <w:tr>
        <w:trPr>
          <w:trHeight w:val="217"/>
        </w:trPr>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2026).</w:t>
              </w:r>
            </w:hyperlink>
          </w:p>
        </w:tc>
        <w:tc>
          <w:tcPr>
            <w:tcW w:w="980" w:type="dxa"/>
            <w:vAlign w:val="bottom"/>
            <w:tcBorders>
              <w:top w:val="single" w:sz="8" w:color="0000EE"/>
            </w:tcBorders>
            <w:shd w:val="clear" w:color="auto" w:fill="CCEEFF"/>
          </w:tcPr>
          <w:p>
            <w:pPr>
              <w:spacing w:after="0"/>
              <w:rPr>
                <w:sz w:val="18"/>
                <w:szCs w:val="18"/>
                <w:color w:val="auto"/>
              </w:rPr>
            </w:pPr>
          </w:p>
        </w:tc>
        <w:tc>
          <w:tcPr>
            <w:tcW w:w="3320" w:type="dxa"/>
            <w:vAlign w:val="bottom"/>
            <w:tcBorders>
              <w:top w:val="single" w:sz="8" w:color="0000EE"/>
            </w:tcBorders>
            <w:shd w:val="clear" w:color="auto" w:fill="CCEEFF"/>
          </w:tcPr>
          <w:p>
            <w:pPr>
              <w:spacing w:after="0"/>
              <w:rPr>
                <w:sz w:val="18"/>
                <w:szCs w:val="18"/>
                <w:color w:val="auto"/>
              </w:rPr>
            </w:pPr>
          </w:p>
        </w:tc>
        <w:tc>
          <w:tcPr>
            <w:tcW w:w="1140" w:type="dxa"/>
            <w:vAlign w:val="bottom"/>
            <w:tcBorders>
              <w:top w:val="single" w:sz="8" w:color="0000EE"/>
            </w:tcBorders>
            <w:shd w:val="clear" w:color="auto" w:fill="CCEEFF"/>
          </w:tcPr>
          <w:p>
            <w:pPr>
              <w:spacing w:after="0"/>
              <w:rPr>
                <w:sz w:val="18"/>
                <w:szCs w:val="18"/>
                <w:color w:val="auto"/>
              </w:rPr>
            </w:pPr>
          </w:p>
        </w:tc>
        <w:tc>
          <w:tcPr>
            <w:tcW w:w="136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Investor Rights Agreement by and between Mobix Labs, Inc. and Leviston Resources, LLC, dated as of May 13, 2026.</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Purchase Agreement, dated May 19, 2026, by and between Mobix Labs, Inc. and Kips Bay Select, LP.</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Registration Rights Agreement, dated May 19, 2026 by and between Mobix Labs and Kips Bay Select, LP.</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 and 15d-14 promulgated under the Securities Exchange Act of 1934.</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7"/>
                <w:szCs w:val="17"/>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 and 15d-14 promulgated under the Securities Exchange Act of 1934.</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216"/>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5"/>
                <w:szCs w:val="15"/>
                <w:color w:val="auto"/>
              </w:rPr>
            </w:pPr>
          </w:p>
        </w:tc>
        <w:tc>
          <w:tcPr>
            <w:tcW w:w="101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216"/>
        </w:trPr>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INS*</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Keyvan Samini</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SECURITIES PURCHASE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AND SENIOR SECURED CONVERTIBLE NOTE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SECURITIES PURCHASE AGREEMENT AND SENIOR SECURED CONVERTIBLE NOTE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May 13,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Mobix Labs, Inc.</w:t>
      </w:r>
      <w:r>
        <w:rPr>
          <w:rFonts w:ascii="Times New Roman" w:cs="Times New Roman" w:eastAsia="Times New Roman" w:hAnsi="Times New Roman"/>
          <w:sz w:val="18"/>
          <w:szCs w:val="18"/>
          <w:color w:val="auto"/>
        </w:rPr>
        <w:t>, a corporation organized under the laws of the State of Delaware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Leviston Resources, LLC</w:t>
      </w:r>
      <w:r>
        <w:rPr>
          <w:rFonts w:ascii="Times New Roman" w:cs="Times New Roman" w:eastAsia="Times New Roman" w:hAnsi="Times New Roman"/>
          <w:sz w:val="18"/>
          <w:szCs w:val="18"/>
          <w:color w:val="auto"/>
        </w:rPr>
        <w:t>, a limited liability company organized under the laws of the State of Delaware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the Borrower and the Holder entered into a Securities Purchase Agreement dated March 31, 2026 (the “</w:t>
      </w:r>
      <w:r>
        <w:rPr>
          <w:rFonts w:ascii="Times New Roman" w:cs="Times New Roman" w:eastAsia="Times New Roman" w:hAnsi="Times New Roman"/>
          <w:sz w:val="18"/>
          <w:szCs w:val="18"/>
          <w:b w:val="1"/>
          <w:bCs w:val="1"/>
          <w:color w:val="auto"/>
        </w:rPr>
        <w:t>SPA</w:t>
      </w:r>
      <w:r>
        <w:rPr>
          <w:rFonts w:ascii="Times New Roman" w:cs="Times New Roman" w:eastAsia="Times New Roman" w:hAnsi="Times New Roman"/>
          <w:sz w:val="18"/>
          <w:szCs w:val="18"/>
          <w:color w:val="auto"/>
        </w:rPr>
        <w:t>”) and a Senior Secured Convertible Note dated March 31, 2026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prior to the execution of this Amendment, as of the Effective Date, the Holder has advanced the Borrower under the Note, in the aggregate, $2,500,000 and the total amount due under the Note was equal to the total amount advanced plus original issue discount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interest, and fees, as described in the Note, less payments made by Borrower;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terms of the Note and the SPA, the total Purchase Price (referred to as the “Subscription Amount” in the SPA) was $2,500,000, the OID was $500,000, and the total Principal Amount was $3,000,000;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seeks to borrow additional amounts under the Note in excess of the current Purchase Price;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and the Holder desire to amend the Note and the SPA as set forth herein, to provide for the advance of additional amounts and a corresponding increase in the Purchase Price, OID, and Principal Amount;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other good and valuable consideration, the receipt and sufficiency of which are hereby acknowledged, the Borrower and the Holder hereby agree as follows:</w:t>
      </w:r>
    </w:p>
    <w:p>
      <w:pPr>
        <w:spacing w:after="0" w:line="162" w:lineRule="exact"/>
        <w:rPr>
          <w:sz w:val="20"/>
          <w:szCs w:val="20"/>
          <w:color w:val="auto"/>
        </w:rPr>
      </w:pPr>
    </w:p>
    <w:p>
      <w:pPr>
        <w:ind w:right="20" w:firstLine="656"/>
        <w:spacing w:after="0" w:line="282" w:lineRule="auto"/>
        <w:tabs>
          <w:tab w:leader="none" w:pos="8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covenants, and recitations set forth in the foregoing recitals are hereby incorporated into and made a part of this Amendment, including all defined terms referenced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modified by this Amendment, the terms and conditions of the Note and the SPA shall remain in full force and effect. In the event of any inconsistency between the terms of this Amendment and the terms of the Note or the SPA, the terms of this Amendment shall control. All capitalized terms used herein shall have the meaning ascribed to them in the Note or the SPA, as applicable, unless defined otherwise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ind w:firstLine="656"/>
        <w:spacing w:after="0" w:line="266" w:lineRule="auto"/>
        <w:tabs>
          <w:tab w:leader="none" w:pos="8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shall be amended so that the (i) Purchase Price is three million three hundred thirty-three thousand three hundred thirty-three and 33/100 Dollars ($3,333,333.33), (ii) the OID is six hundred sixty-six thousand six hundred sixty-six and 67/100 Dollars ($666,666.67), and (iii) the Principal Amount, inclusive of OID, is four million Dollars ($4,000,000).</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“Subscription Amount” in Section 1.1 of the SPA is hereby amended to mean $3,333,333.33. All references to the original principal amount of the Note in the SPA, including without limitation Section 2.2(a)(iii) thereof, shall be deemed amended to reflect a Principal Amount of $4,000,000.</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advance an additional amount under the Note, in the amounts described in the Flow of Funds Memo dated herewith, attached hereto as Exhibit A (the “Flow of Funds Memo”), resulting in a total funded amount of $3,333,333.33. From the proceeds of such additional advance, the Holder shall retain $3,000 to be applied directly to the payment of the Holder’s legal fees in connection with this Amendment.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Flow of Funds Memo shall each constitute a “Transaction Document” as defined in the SPA, and all references to “Transaction Documents” in the Note, the SPA, and the other Transaction Documents shall be deemed to include this Amendment and the Flow of Funds Memo. This Amendment shall be governed by and construed in accordance with the governing law, dispute resolution, and related provisions set forth in the SPA, which are incorporated herein by reference.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restates and renews each and every representation and warranty heretofore made by it in the Transaction Documents as if fully made on the Effective Date, unless and to the extent that any such representation and warranty is stated to relate solely to an earlier date, in which case such representation and warranty shall be true and correct as of such earlier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jc w:val="both"/>
        <w:ind w:firstLine="656"/>
        <w:spacing w:after="0" w:line="252" w:lineRule="auto"/>
        <w:tabs>
          <w:tab w:leader="none" w:pos="8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and every current and former parent, subsidiary, affiliate, division, partner, trustee, stockholder, director, officer, principal, member, employee, successor, predecessor, assign, attorney, and agent of the Borrower, on behalf of themselves and their respective heirs, executors, administrators, agents, members, managers, directors, shareholders, officers, successors and assigns (all of the foregoing, collectively,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Releasors</w:t>
      </w:r>
      <w:r>
        <w:rPr>
          <w:rFonts w:ascii="Times New Roman" w:cs="Times New Roman" w:eastAsia="Times New Roman" w:hAnsi="Times New Roman"/>
          <w:sz w:val="18"/>
          <w:szCs w:val="18"/>
          <w:color w:val="auto"/>
        </w:rPr>
        <w:t>”), hereby release and forever discharge Holder as well as each and every current and former parent, subsidiary, affiliate, division,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stockholder, director, officer, principal, member, employee, successor, predecessor, assign, attorney, and agent of the Holder (individually and together), its agents, attorneys, successors and assigns (all of the foregoing, collectively, the “</w:t>
      </w:r>
      <w:r>
        <w:rPr>
          <w:rFonts w:ascii="Times New Roman" w:cs="Times New Roman" w:eastAsia="Times New Roman" w:hAnsi="Times New Roman"/>
          <w:sz w:val="18"/>
          <w:szCs w:val="18"/>
          <w:b w:val="1"/>
          <w:bCs w:val="1"/>
          <w:color w:val="auto"/>
        </w:rPr>
        <w:t>Holder Releasees</w:t>
      </w:r>
      <w:r>
        <w:rPr>
          <w:rFonts w:ascii="Times New Roman" w:cs="Times New Roman" w:eastAsia="Times New Roman" w:hAnsi="Times New Roman"/>
          <w:sz w:val="18"/>
          <w:szCs w:val="18"/>
          <w:color w:val="auto"/>
        </w:rPr>
        <w:t>”) from any and all claims or causes of action, suits, debts, sums of money, accounts, covenants, contracts (including but not limited to the Transaction Documents and/or any portions thereof), controversies, agreements (including but not limited to the Transaction Documents and/or any portions thereof), promises, damages, claims and demands whatsoever, both in law and in equity, which the Borrower Releasors ever had, now have, or may have against the Holder Releasees by reason of any matter, cause, or thing whatever, whether known or unknown, foreseen or unforeseen, liquidated or unliquidated, and whether latent or patent, including but not limited to all causes of action for negligence, breach of contract, open account, account stated, unjust enrichment, breach of guaranty, claims of lien, breach of fiduciary duty, undue influence, exploitation, conversion, replevin, surcharge, accounting, injunction, intermeddler, improper receipt of inter vivos/post-death assets, defamation, libel or slander, attorney’s fees and/or costs, and all other intentional and/or unintentional torts that could have been asserted by or against any of the Holder Releasees, from the beginning of the world to the date of this Amendment.</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each of such counterparts shall for all purposes be deemed to be an original, and all such counterparts shall together constitute but one and the same instrument.</w:t>
      </w:r>
    </w:p>
    <w:p>
      <w:pPr>
        <w:spacing w:after="0" w:line="157" w:lineRule="exact"/>
        <w:rPr>
          <w:rFonts w:ascii="Times New Roman" w:cs="Times New Roman" w:eastAsia="Times New Roman" w:hAnsi="Times New Roman"/>
          <w:sz w:val="18"/>
          <w:szCs w:val="18"/>
          <w:color w:val="auto"/>
        </w:rPr>
      </w:pPr>
    </w:p>
    <w:p>
      <w:pPr>
        <w:jc w:val="both"/>
        <w:ind w:firstLine="656"/>
        <w:spacing w:after="0" w:line="259" w:lineRule="auto"/>
        <w:tabs>
          <w:tab w:leader="none" w:pos="9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Accrual on Additional Principal. </w:t>
      </w:r>
      <w:r>
        <w:rPr>
          <w:rFonts w:ascii="Times New Roman" w:cs="Times New Roman" w:eastAsia="Times New Roman" w:hAnsi="Times New Roman"/>
          <w:sz w:val="18"/>
          <w:szCs w:val="18"/>
          <w:color w:val="auto"/>
        </w:rPr>
        <w:t>Notwithstanding the definition of “Closing Date” in Section 28(c) of the Note and the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language in Section 2 of the Note, interest on the $1,000,000 of additional Principal Amount created by this Amendment (consisting of the $833,333.33 additional advance plus the $166,666.67 additional OID) shall commence accruing on the Effective Date and shall not be deemed to have accrued at any time prior thereto. Interest on the original $3,000,000 Principal Amount shall continue to accrue in accordance with the terms of the Note as in effect immediately prior to the Effective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Limited Waiver of Section 12(h) of the Note. </w:t>
      </w:r>
      <w:r>
        <w:rPr>
          <w:rFonts w:ascii="Times New Roman" w:cs="Times New Roman" w:eastAsia="Times New Roman" w:hAnsi="Times New Roman"/>
          <w:sz w:val="18"/>
          <w:szCs w:val="18"/>
          <w:color w:val="auto"/>
        </w:rPr>
        <w:t>Holder hereby waives the application of Section 12(h) of the Note (Mandatory 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Future Proceeds) solely with respect to Holder’s funding of the additional $833,333.33 advance contemplated by this Amendment, such that Borrower shall have no obligation under Section 12(h) of the Note to apply any portion of the proceeds of such additional advance to the repayment of the Obligations. For the avoidance of doubt, Section 12(h) of the Note shall continue in full force and effect with respect to all other future issuances of debt or equity securities and any sale, transfer, assignment, license, or other disposition of any material asset of the Borrower or any of its Subsidiaries that is not in the ordinary course of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signed this Amendment in one or more counterparts as of the date first hereinabove set forth.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Samini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LEVISTON RESOURCES,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Roman Rogol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Roman Rogol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661" w:right="10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Flow of Funds Memorandum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9" w:lineRule="exact"/>
        <w:rPr>
          <w:sz w:val="20"/>
          <w:szCs w:val="20"/>
          <w:color w:val="auto"/>
        </w:rPr>
      </w:pPr>
    </w:p>
    <w:p>
      <w:pPr>
        <w:spacing w:after="0"/>
        <w:tabs>
          <w:tab w:leader="none" w:pos="9120" w:val="left"/>
        </w:tabs>
        <w:rPr>
          <w:sz w:val="20"/>
          <w:szCs w:val="20"/>
          <w:color w:val="auto"/>
        </w:rPr>
      </w:pPr>
      <w:r>
        <w:rPr>
          <w:rFonts w:ascii="Times New Roman" w:cs="Times New Roman" w:eastAsia="Times New Roman" w:hAnsi="Times New Roman"/>
          <w:sz w:val="18"/>
          <w:szCs w:val="18"/>
          <w:color w:val="auto"/>
        </w:rPr>
        <w:t>Warrant Shares: 6,000</w:t>
      </w:r>
      <w:r>
        <w:rPr>
          <w:sz w:val="20"/>
          <w:szCs w:val="20"/>
          <w:color w:val="auto"/>
        </w:rPr>
        <w:tab/>
      </w:r>
      <w:r>
        <w:rPr>
          <w:rFonts w:ascii="Times New Roman" w:cs="Times New Roman" w:eastAsia="Times New Roman" w:hAnsi="Times New Roman"/>
          <w:sz w:val="17"/>
          <w:szCs w:val="17"/>
          <w:color w:val="auto"/>
        </w:rPr>
        <w:t>Issuance Date: May 19, 2026</w:t>
      </w:r>
    </w:p>
    <w:p>
      <w:pPr>
        <w:spacing w:after="0" w:line="333"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THIS PREFERRED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Kips Bay Select LP, a limited partnership organized under the laws of the State of Delaware,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6:00 p.m. (New York City time) on the Termination Date, but not thereafter, to subscribe for and purchase from Mobix Labs, Inc., a Delaware corporation (the “Company”), up to six thousand (6,000) shares (as subject to adjustment hereunder, the “Warrant Shares”) of Series A 10% Convertible Preferred Stock of the Company (the “Preferred Stock”). The purchase price of one share of Preferred Stock under this Warrant shall be equal to the Exercise Price, as defined in Section 2(b). As used herein, “Termination Date” means the date that is twelve (12) months after the Issuance Date of this Warrant; provided that, if such date is not a Trading Day, then the Termination Date shall be the immediately following Trading Day.</w:t>
      </w:r>
    </w:p>
    <w:p>
      <w:pPr>
        <w:spacing w:after="0" w:line="192"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May 19, 2026, by and between the Company and the Holder. In addition, the following terms shall have the following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the Certificate of Designation.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shall have the meaning ascribed to such term in the Certificate of Designation.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ascribed to such term in the Certificate of Designation.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ascribed to such term in the Certificate of Designation.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shall have the meaning ascribed to such term in the Certificate of Designation.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(2) Trading Days and (ii) the number of Trading Days comprising the Standard Settlement Period (as defined in Section 2(d)(i) herein) after the delivery to the Company of the Notice of Exercise, the Holder shall deliver the aggregate Exercise Price for the Warrant Shares specified in the applicable Notice of Exercise by wire transfer or cashier’s check drawn on a United States bank, or by any lawful payment method reasonably acceptable for immediately available funds. The Company shall honor each Notice of Exercise in accordance with this Warrant and may not reject or delay any exercise except in the case of manifest error in such Notice of Exercise, which objection shall be delivered within one (1) Business Day after receipt or be deemed waived. No ink-original Notice of Exercise shall be required, nor shall any medallion guarantee (or other type of guarantee or notarization) of any Notice of Exercise be required.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the Holder shall not be required to physically surrender this Warrant to the Company in connection with any exercise hereunder unless the Holder is exercising this Warrant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2" w:lineRule="exact"/>
        <w:rPr>
          <w:sz w:val="20"/>
          <w:szCs w:val="20"/>
          <w:color w:val="auto"/>
        </w:rPr>
      </w:pPr>
    </w:p>
    <w:p>
      <w:pPr>
        <w:ind w:firstLine="644"/>
        <w:spacing w:after="0" w:line="286" w:lineRule="auto"/>
        <w:tabs>
          <w:tab w:leader="none" w:pos="8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Preferred Stock under this Warrant shall be </w:t>
      </w:r>
      <w:r>
        <w:rPr>
          <w:rFonts w:ascii="Times New Roman" w:cs="Times New Roman" w:eastAsia="Times New Roman" w:hAnsi="Times New Roman"/>
          <w:sz w:val="18"/>
          <w:szCs w:val="18"/>
          <w:b w:val="1"/>
          <w:bCs w:val="1"/>
          <w:color w:val="auto"/>
        </w:rPr>
        <w:t>$1,000.00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820" w:hanging="17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55" w:name="page56"/>
    <w:bookmarkEnd w:id="55"/>
    <w:p>
      <w:pPr>
        <w:ind w:left="380" w:hanging="196"/>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1" w:lineRule="auto"/>
        <w:tabs>
          <w:tab w:leader="none" w:pos="16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delivered to the Holder by the Warrant Share Delivery Date by (A) if the Company has appointed a transfer agent with respect to the Preferred Stock, directing such transfer agent to record the issuance of the Warrant Shares to the Holder by book-entry on the records maintained by such transfer agent, or (B) if no such transfer agent has been appointed, recording the issuance of the Warrant Shares to the Holder by book-entry on the Company’s share register, in each case for the number of Warrant Shares to which the Holder is entitled pursuant to such exercise,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In addition, if requested by the Holder, the Company shall deliver to the Holder a physical certificate representing the applicable Warrant Shares, registered in the Company’s share register in the name of the Holder or its designee, to the address specified by the Holder in the Notice of Exercise.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the payment of the aggregate Exercise Price is received within the earlier of (i) two (2) Trading Days and (ii) the number of Trading Days comprising the Standard Settlement Period following delivery of the Notice of Exercise.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but in no event earlier than one (1) Trading Day after each Exercise Date. Notwithstanding anything herein to the contrary, upon exercise of this Warrant or within one (1) Trading Day following the exercise of this Warrant, if the Holder delivers a Notice of Conversion converting all or any portion of the shares of Preferred Stock deliverable upon exercise of this Warrant, the Company shall, in lieu of delivery of the applicable Warrant Shares pursuant to the terms hereunder, deliver the Conversion Shares to the Holder in connection with such Notice of Conversion pursuant to the terms of the Certificate of Designation (“</w:t>
      </w:r>
      <w:r>
        <w:rPr>
          <w:rFonts w:ascii="Times New Roman" w:cs="Times New Roman" w:eastAsia="Times New Roman" w:hAnsi="Times New Roman"/>
          <w:sz w:val="18"/>
          <w:szCs w:val="18"/>
          <w:u w:val="single" w:color="auto"/>
          <w:color w:val="auto"/>
        </w:rPr>
        <w:t>Conversion Share Delivery</w:t>
      </w:r>
      <w:r>
        <w:rPr>
          <w:rFonts w:ascii="Times New Roman" w:cs="Times New Roman" w:eastAsia="Times New Roman" w:hAnsi="Times New Roman"/>
          <w:sz w:val="18"/>
          <w:szCs w:val="18"/>
          <w:color w:val="auto"/>
        </w:rPr>
        <w:t>”), except that the Company shall deliver such Conversion Shares by the Warrant Share Delivery Date rather than the Share Delivery Date in a Conversion Share Delivery. To the extent that shares of Common Stock are issued by the Company pursuant to the immediately preceding sentence, the Company shall cause such shares of Common Stock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(x) there is an effective registration statement permitting the issuance of such shares of Common Stock to, or resale of such shares of Common Stock by, the Holder or (y) such shares of Common Stock are eligible for resale by the Holder without volume or manner-of-sale limitations pursuant to Rule 144, and otherwise by physical delivery of a certificate, registered in the Company’s share register in the name of the Holder or its designee, to the address specified by the Holder in the Notice of Conversion, for the number of shares of Common Stock to which the Holder is entitled pursuant to such exercise by the Warrant Share Delivery Date. In the event that the Company fails to timely deliver the shares of Common Stock issuable upon conversion of the Warrant Shares pursuant to the terms of the Certificate of Designation governing the Preferred Stock (including the delivery of Conversion Shares by the Warrant Share Delivery Date in a Conversion Share Delivery), the provisions covering such failure to timely deliver such shares of Common Stock in the Certificate of Designation shall govern the Company’s obligations therefor, including, without limitation, Section 6(c) of the Certificate of Designation. The Beneficial Ownership Limitation shall apply to the delivery of such Conversion Shares.</w:t>
      </w:r>
    </w:p>
    <w:p>
      <w:pPr>
        <w:spacing w:after="0" w:line="198"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left="840" w:right="20" w:firstLine="640"/>
        <w:spacing w:after="0" w:line="266" w:lineRule="auto"/>
        <w:tabs>
          <w:tab w:leader="none" w:pos="17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transmit or fails to cause the Transfer Agent to transmit to the Holder the Warrant Shares pursuant to Section 2(d)(i), or the Conversion Shares pursuant to a Conversion Share Delivery, by the Warrant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Deliver Warrant Shares.</w:t>
      </w:r>
      <w:r>
        <w:rPr>
          <w:rFonts w:ascii="Times New Roman" w:cs="Times New Roman" w:eastAsia="Times New Roman" w:hAnsi="Times New Roman"/>
          <w:sz w:val="18"/>
          <w:szCs w:val="18"/>
          <w:color w:val="auto"/>
        </w:rPr>
        <w:t xml:space="preserve"> If the Company fails to deliver the applicable Warrant Shares to the Holder within the time period required pursuant to Section 2(d)(i), such failure shall constitute a breach of this Warrant and the Transaction Documents, and the Holder shall be entitled to all rights and remedies available under the Transaction Documents, at law or in equity, including, without limitation, the right to pursue specific performance.</w:t>
      </w:r>
    </w:p>
    <w:p>
      <w:pPr>
        <w:spacing w:after="0" w:line="179"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6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 or Scrip</w:t>
      </w:r>
      <w:r>
        <w:rPr>
          <w:rFonts w:ascii="Times New Roman" w:cs="Times New Roman" w:eastAsia="Times New Roman" w:hAnsi="Times New Roman"/>
          <w:sz w:val="18"/>
          <w:szCs w:val="18"/>
          <w:color w:val="auto"/>
        </w:rPr>
        <w:t>. No fractional Warrant Shares shall be issued upon exercise of this Warrant; provided that any fractional Warrant Share otherwise issuable shall be rounded down to the nearest whole Warrant Share.</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6" w:name="page57"/>
    <w:bookmarkEnd w:id="56"/>
    <w:p>
      <w:pPr>
        <w:jc w:val="both"/>
        <w:ind w:left="1300" w:firstLine="640"/>
        <w:spacing w:after="0" w:line="255" w:lineRule="auto"/>
        <w:tabs>
          <w:tab w:leader="none" w:pos="21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Warrant Shares (or the issuance of Conversion Shares in a Conversion Share Delivery) shall be made without charge to the Holder for any incidental expense in respect of the issuance of such Warrant Shares (or, if applicable, Conversion Shares). In the event that Warrant Shares are to be issued in a name other than the name of the Holder, the Holder shall deliver to the Company the Assignment Form attached hereto duly executed by the Holder. The Company shall pay all Transfer Agent fees required for same-day processing of any Notice of Exercise and all fees to the Depository Trust Company (or another established clearing corporation performing similar functions) required for same-day electronic delivery of any shares of Common Stock issued in a Conversion Share Delivery.</w:t>
      </w:r>
    </w:p>
    <w:p>
      <w:pPr>
        <w:spacing w:after="0" w:line="188" w:lineRule="exact"/>
        <w:rPr>
          <w:rFonts w:ascii="Times New Roman" w:cs="Times New Roman" w:eastAsia="Times New Roman" w:hAnsi="Times New Roman"/>
          <w:sz w:val="18"/>
          <w:szCs w:val="18"/>
          <w:color w:val="auto"/>
        </w:rPr>
      </w:pPr>
    </w:p>
    <w:p>
      <w:pPr>
        <w:ind w:left="1300" w:firstLine="640"/>
        <w:spacing w:after="0" w:line="282" w:lineRule="auto"/>
        <w:tabs>
          <w:tab w:leader="none" w:pos="22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Preferred Stock or any other equity or equity equivalent securities payable in shares of Preferred Stock (which, for avoidance of doubt, shall not include any shares of Preferred Stock issued by the Company upon exercise of this Warrant), (ii) subdivides outstanding shares of Preferred Stock into a larger number of shares, (iii) combines (including by way of a reverse stock split, combination or otherwise) outstanding shares of Preferred Stock into a smaller number of shares or (iv) issues by reclassification of shares of the Preferred Stock any shares of capital stock of the Company, then in each case the Exercise Price shall be multiplied by a fraction of which the numerator shall be the number of shares of Preferred Stock (excluding treasury shares, if any) outstanding immediately before such event and of which the denominator shall be the number of shares of Preferred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44"/>
        <w:spacing w:after="0" w:line="256"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rights to purchase stock, warrants, securities or other property pro rata to the record holders of any class of shares of Preferred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Preferred Stock acquirable upon complete exercise of this Warrant immediately before the date on which a record is taken for the grant, issuance or sale of such Purchase Rights, or, if no such record is taken, the date as of which the record holders of shares of Preferred Stock are to be determined for the grant, issue or sale of such Purchase Rights.</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57" w:name="page58"/>
    <w:bookmarkEnd w:id="57"/>
    <w:p>
      <w:pPr>
        <w:jc w:val="both"/>
        <w:ind w:left="-460" w:firstLine="644"/>
        <w:spacing w:after="0" w:line="254"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Preferred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Preferred Stock acquirable upon complete exercise of this Warrant immediately before the date of which a record is taken for such Distribution, or, if no such record is taken, the date as of which the record holders of shares of Preferred Stock are to be determined for the participation in such Distribution.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3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Voting Stock are permitted to sell, tender or exchange their shares for other securities, cash or property and has been accepted by the holders of more than 50% of the outstanding Voting Stock, (iv) the Company, directly or indirectly, in one or more related transactions effects any reclassification, reorganization or recapitalization of the Voting Stock or any compulsory share exchange pursuant to which the Voting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Voting Stock (not including any shares of Voting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share of Common Stock that would have been issuable upon conversion of the Warrant Share that would have been issuable upon such exercise immediately prior to the occurrence of such Fundamental Transaction, at the option of the Holder,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issuable upon conversion of the number of Warrant Shares for which this Warrant is exercisable immediately prior to such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approved by the Holders of a majority of the shares of Preferred Stock issuable upon exercise of the then outstanding Warrants (without unreasonable delay) prior to such Fundamental Transaction and shall, at the option of the Holder, deliver to the Holder in exchange for this Warrant a security of the Successor Entity evidenced by a written instrument substantially similar to this Warrant which is exercisable for a corresponding number of shares of capital stock of such Successor Entity (or its parent entity) equivalent to the shares of Common Stock acquirable and receivable upon conversion of the Warrant Shares issuable upon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to a similarly situated holder of warrants on substantially similar terms to this Warrant.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For purposes of this Section 3(e), “Voting Stock” means the Common Stock and any other class or series of capital stock of the Company entitled to vote generally on the election of directors.</w:t>
      </w:r>
    </w:p>
    <w:p>
      <w:pPr>
        <w:spacing w:after="0" w:line="196"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Preferred Stock or Common Stock, as the case may be, deemed to be issued and outstanding as of a given date shall be the sum of the number of shares of Preferred Stock or Common Stock (excluding treasury shares, if any), as the case may be, issued and outstanding.</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8" w:name="page59"/>
    <w:bookmarkEnd w:id="58"/>
    <w:p>
      <w:pPr>
        <w:ind w:left="380" w:hanging="196"/>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Preferred Stock or Common Stock, (B) the Company shall declare a special nonrecurring cash dividend on or a redemption of the Preferred Stock or Common Stock, (C) the Company shall authorize the granting to all holders of the Preferred Stock or Common Stock rights or warrants to subscribe for or purchase any shares of capital stock of any class or of any rights, (D) the approval of any stockholders of the Company shall be required in connection with any reclassification of the Preferred Stock or Common Stock, any consolidation or merger to which the Company is a party, any sale or transfer of all or substantially all of the assets of the Company, or any compulsory share exchange whereby the Preferred Stock or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Preferred Stock or Common Stock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Preferred Stock or Common Stock shall be entitled to exchange their shares of the Preferred Stock or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4"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delivery to the Company of a written assignment of this Warrant substantially in the form attached hereto duly executed by the Holder or its agent or attorney. Upon such delivery,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spacing w:after="0" w:line="188"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82" w:lineRule="auto"/>
        <w:tabs>
          <w:tab w:leader="none" w:pos="8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0" w:name="page61"/>
    <w:bookmarkEnd w:id="60"/>
    <w:p>
      <w:pPr>
        <w:jc w:val="both"/>
        <w:ind w:left="-460" w:firstLine="644"/>
        <w:spacing w:after="0" w:line="256" w:lineRule="auto"/>
        <w:tabs>
          <w:tab w:leader="none" w:pos="3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the case of loss, theft or destruction, of a customary unsecured indemnity reasonably satisfactory to it, and upon surrender and cancellation of such Warrant or stock certificate, if mutilated, the Company will make and deliver a new Warrant or stock certificate of like tenor and dated as of such cancellation, in lieu of such Warrant or stock certificate. In no event shall the Holder be required to post any bond or other security in connection therewith.</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the Company will reserve from its authorized and unissued Preferred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best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1" w:name="page62"/>
    <w:bookmarkEnd w:id="61"/>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8" w:lineRule="auto"/>
        <w:tabs>
          <w:tab w:leader="none" w:pos="3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 All matters concerning governing law, jurisdiction, venue, service of process, waiver of jury trial, and dispute resolution with respect to this Warrant or any of the Transaction Documents shall be governed exclusively by the corresponding provisions set forth in Section 5.9 of the Purchase Agreement, which are hereby incorporated by reference as if set forth herein in full. In the event of any inconsistency between the provisions of this Warrant and the Purchase Agreement with respect to any of the foregoing matters, the Purchase Agreement shall control.</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3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any other Transaction Document, the Company shall pay all costs and expenses, including reasonable attorneys’ fees and expenses, incurred by the Holder in connection with the enforcement or preservation of any rights under this Warrant or any other Transaction Document or in collecting any amounts due hereunder or thereunder.</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3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and other communications required or permitted hereunder or under any other Transaction Document shall be governed exclusively by the notice provisions set forth in Section 5.4 of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Warrant and the Purchase Agreement, the Purchase Agreement shall control.</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Warrant Shares or as a stockholder of the Company, whether such liability is asserted by the Company or by creditors of the Company.</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62" w:name="page63"/>
    <w:bookmarkEnd w:id="62"/>
    <w:p>
      <w:pPr>
        <w:jc w:val="both"/>
        <w:ind w:firstLine="644"/>
        <w:spacing w:after="0" w:line="261" w:lineRule="auto"/>
        <w:tabs>
          <w:tab w:leader="none" w:pos="8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8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Warrant and the rights and obligations evidenced hereby shall inure to the benefit of and be binding upon the successors and assigns of the Company and the successors and assigns of the Holder. The Company may not assign this Warrant or any rights or obligations hereunder without the prior written consent of the Holder, except in connection with a Fundamental Transaction in which the Successor Entity assumes in writing all of the obligations of the Company under this Warrant and the other Transaction Documents in accordance with Section 3(e). The Holder may assign this Warrant and any of its rights hereunder, in whole or in part. The provisions of this Warrant are intended to be for the benefit of each Holder from time to time of this Warrant and each holder of Warrant Shares, and shall be enforceable by the Holder or any such holder.</w:t>
      </w:r>
    </w:p>
    <w:p>
      <w:pPr>
        <w:spacing w:after="0" w:line="188"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8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8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Cure</w:t>
      </w:r>
      <w:r>
        <w:rPr>
          <w:rFonts w:ascii="Times New Roman" w:cs="Times New Roman" w:eastAsia="Times New Roman" w:hAnsi="Times New Roman"/>
          <w:sz w:val="18"/>
          <w:szCs w:val="18"/>
          <w:color w:val="auto"/>
        </w:rPr>
        <w:t>. If at any time after the date hereof the Company has received written notice from the Trading Market that the Company is not in compliance with a continued-listing standard relating to market value of listed securities, market value of publicly held shares, or stockholders’ equity, and this Warrant is then classified as a liability rather than equity for accounting purposes under U.S. generally accepted accounting principles, the Holder shall, upon written request from the Company, cooperate in good faith to (i) amend this Warrant to achieve equity classification or, (ii) if reclassification is not feasible, accept the cancellation, exchange, or repurchase of this Warrant (in whole or in part) on terms designed to preserve the Holder’s economic position to the extent reasonably practicable; provided that in no event shall the consideration payable to the Holder in connection with any cancellation, exchange or repurchase of this Warrant pursuant to this section be less than twenty percent (20%) of the aggregate Exercise Price of the unexercised portion of this Warrant. For the avoidance of doubt, this section shall not apply unless and until such listing deficiency notice has been received in writing by the Company from the Trading Market and is then continuing.</w:t>
      </w:r>
    </w:p>
    <w:p>
      <w:pPr>
        <w:spacing w:after="0" w:line="19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63" w:name="page64"/>
    <w:bookmarkEnd w:id="6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ectPr>
          <w:pgSz w:w="11900" w:h="16838" w:orient="portrait"/>
          <w:cols w:equalWidth="0" w:num="1">
            <w:col w:w="11240"/>
          </w:cols>
          <w:pgMar w:left="320" w:top="684"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MOBIX LABS, INC.</w:t>
      </w:r>
    </w:p>
    <w:p>
      <w:pPr>
        <w:spacing w:after="0" w:line="215" w:lineRule="exact"/>
        <w:rPr>
          <w:sz w:val="20"/>
          <w:szCs w:val="20"/>
          <w:color w:val="auto"/>
        </w:rPr>
      </w:pPr>
    </w:p>
    <w:p>
      <w:pPr>
        <w:sectPr>
          <w:pgSz w:w="11900" w:h="16838" w:orient="portrait"/>
          <w:cols w:equalWidth="0" w:num="2">
            <w:col w:w="300" w:space="360"/>
            <w:col w:w="10580"/>
          </w:cols>
          <w:pgMar w:left="320" w:top="684" w:right="339" w:bottom="1440" w:gutter="0" w:footer="0" w:header="0"/>
          <w:type w:val="continuous"/>
        </w:sectPr>
      </w:pPr>
    </w:p>
    <w:p>
      <w:pPr>
        <w:spacing w:after="0" w:line="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 The undersigned hereby elects to purchase Warrant Shares of the Company pursuant to the terms of the Warrant, with an Issuance Date of [ ], 2026, and tenders herewith payment of the exercise price in full.</w:t>
      </w:r>
    </w:p>
    <w:p>
      <w:pPr>
        <w:sectPr>
          <w:pgSz w:w="11900" w:h="16838" w:orient="portrait"/>
          <w:cols w:equalWidth="0" w:num="1">
            <w:col w:w="11240"/>
          </w:cols>
          <w:pgMar w:left="320" w:top="684" w:right="339" w:bottom="1440" w:gutter="0" w:footer="0" w:header="0"/>
          <w:type w:val="continuous"/>
        </w:sectPr>
      </w:pPr>
    </w:p>
    <w:p>
      <w:pPr>
        <w:spacing w:after="0" w:line="162" w:lineRule="exact"/>
        <w:rPr>
          <w:sz w:val="20"/>
          <w:szCs w:val="20"/>
          <w:color w:val="auto"/>
        </w:rPr>
      </w:pPr>
    </w:p>
    <w:p>
      <w:pPr>
        <w:ind w:firstLine="1304"/>
        <w:spacing w:after="0" w:line="282" w:lineRule="auto"/>
        <w:tabs>
          <w:tab w:leader="none" w:pos="15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wire transfer of immediately available funds or cashier’s check drawn on a United States bank, or by any lawful payment method reasonably acceptable for immediately available funds in accordance with the terms of the Warrant.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146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 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SERIES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151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 GENERAL CORPORATION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Keyvan Samini, does hereby certify that:</w:t>
      </w:r>
    </w:p>
    <w:p>
      <w:pPr>
        <w:spacing w:after="0" w:line="225" w:lineRule="exact"/>
        <w:rPr>
          <w:sz w:val="20"/>
          <w:szCs w:val="20"/>
          <w:color w:val="auto"/>
        </w:rPr>
      </w:pPr>
    </w:p>
    <w:p>
      <w:pPr>
        <w:ind w:left="840" w:hanging="184"/>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the President, CFO and Acting General Counsel of Mobix Labs, Inc., a Delaware corporation (the “Corporation”).</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issue </w:t>
      </w:r>
      <w:r>
        <w:rPr>
          <w:rFonts w:ascii="Times New Roman" w:cs="Times New Roman" w:eastAsia="Times New Roman" w:hAnsi="Times New Roman"/>
          <w:sz w:val="18"/>
          <w:szCs w:val="18"/>
          <w:u w:val="single" w:color="auto"/>
          <w:color w:val="auto"/>
        </w:rPr>
        <w:t>10,000,000</w:t>
      </w:r>
      <w:r>
        <w:rPr>
          <w:rFonts w:ascii="Times New Roman" w:cs="Times New Roman" w:eastAsia="Times New Roman" w:hAnsi="Times New Roman"/>
          <w:sz w:val="18"/>
          <w:szCs w:val="18"/>
          <w:color w:val="auto"/>
        </w:rPr>
        <w:t xml:space="preserve"> shares of preferred stock, none of which are issued and outstanding.</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adopted by the board of directors of the Corporation (the “Board of Directors”):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certificate of incorporation of the Corporation provides for a class of its authorized stock known as preferred stock, consisting of </w:t>
      </w:r>
      <w:r>
        <w:rPr>
          <w:rFonts w:ascii="Times New Roman" w:cs="Times New Roman" w:eastAsia="Times New Roman" w:hAnsi="Times New Roman"/>
          <w:sz w:val="18"/>
          <w:szCs w:val="18"/>
          <w:u w:val="single" w:color="auto"/>
          <w:color w:val="auto"/>
        </w:rPr>
        <w:t>10,000,000</w:t>
      </w:r>
      <w:r>
        <w:rPr>
          <w:rFonts w:ascii="Times New Roman" w:cs="Times New Roman" w:eastAsia="Times New Roman" w:hAnsi="Times New Roman"/>
          <w:sz w:val="18"/>
          <w:szCs w:val="18"/>
          <w:color w:val="auto"/>
        </w:rPr>
        <w:t xml:space="preserve"> shares, $_.</w:t>
      </w:r>
      <w:r>
        <w:rPr>
          <w:rFonts w:ascii="Times New Roman" w:cs="Times New Roman" w:eastAsia="Times New Roman" w:hAnsi="Times New Roman"/>
          <w:sz w:val="18"/>
          <w:szCs w:val="18"/>
          <w:u w:val="single" w:color="auto"/>
          <w:color w:val="auto"/>
        </w:rPr>
        <w:t>00001</w:t>
      </w:r>
      <w:r>
        <w:rPr>
          <w:rFonts w:ascii="Times New Roman" w:cs="Times New Roman" w:eastAsia="Times New Roman" w:hAnsi="Times New Roman"/>
          <w:sz w:val="18"/>
          <w:szCs w:val="18"/>
          <w:color w:val="auto"/>
        </w:rPr>
        <w:t xml:space="preserve"> par value per share, issuable from time to time in one or more series;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is authorized to fix the dividend rights, dividend rate, voting rights, conversion rights, rights and terms of redemption and liquidation preferences of any wholly unissued series of preferred stock and the number of shares constituting any series and the designation thereof, of any of them;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it is the desire of the Board of Directors, pursuant to its authority as aforesaid, to fix the rights, preferences, restrictions and other matters relating to a series of the preferred stock, which shall consist of, except as otherwise set forth in the Purchase Agreement, up to 10,000,000 shares of the preferred stock which the Corporation has the authority to issue, as follows: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hereof, the following terms shall have the following meanings:</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shall have the meaning set forth in Section 7(f).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Registration Statement Effectiveness</w:t>
      </w:r>
      <w:r>
        <w:rPr>
          <w:rFonts w:ascii="Times New Roman" w:cs="Times New Roman" w:eastAsia="Times New Roman" w:hAnsi="Times New Roman"/>
          <w:sz w:val="18"/>
          <w:szCs w:val="18"/>
          <w:color w:val="auto"/>
        </w:rPr>
        <w:t>” shall have the meaning set forth in Section 4.16 of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Filing</w:t>
      </w:r>
      <w:r>
        <w:rPr>
          <w:rFonts w:ascii="Times New Roman" w:cs="Times New Roman" w:eastAsia="Times New Roman" w:hAnsi="Times New Roman"/>
          <w:sz w:val="18"/>
          <w:szCs w:val="18"/>
          <w:color w:val="auto"/>
        </w:rPr>
        <w:t>” shall have the meaning set forth in Section 4.16 of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means any time the number of shares of Common Stock authorized for issuance by the Corporation is insufficient to satisfy the Corporation’s obligation to issue Conversion Shares and Dividend Shares issuable pursuant to the Transaction Documents (taking into account all shares of Common Stock then issued and outstanding and all shares reserved for issuance pursuant to the Transaction Documents and any other agreements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(f) the Corporation or any Significant Subsidiary thereof calls a meeting of its creditors with a view to arranging a composition, adjustment or restructuring of its debts, or (g) the Corporation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shall have the meaning set forth in Section 6(c)(iv).</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means the occurrence after the date hereof of any of (a) an acquisition after the date hereof by an individual or legal entity or “group” (as described in Rule 13d-5(b)(1) promulgated under the Exchange Act) of effective control (whether through legal or beneficial ownership of capital stock of the Corporation, by contract or otherwise) of more than 50% of the voting securities of the Corporation (other than by means of conversion or exercise of Preferred Stock and the Securities issued together with the Preferred Stock), (b) the Corporation merges into or consolidates with any other Person, or any Person merges into or consolidates with the Corporation and, after giving effect to such transaction, the stockholders of the Corporation immediately prior to such transaction own less than 50% of the aggregate voting power of the Corporation or the successor entity of such transaction, (c) the Corporation sells or transfers all or substantially all of its assets to another Person and the stockholders of the Corporation immediately prior to such transaction own less than 50% of the aggregate voting power of the acquiring entity immediately after the transaction, (d) a replacement at one time or within a one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Original Issue Date), or (e) the execution by the Corporation of an agreement to which the Corporation is a party or by which it is bound, providing for any of the events set forth in clauses (a) through (d) above.</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means, as of any date, the closing price of the Common Stock on the principal Trading Market on such date (or the nearest preceding Trading Day on which the Common Stock was traded), as reported by the principal Trading Market.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Corporation’s common stock, par value $0.00001 per share, and stock of any other class of securities into which such securities may hereafter be reclassified or changed.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Stated Value of the shares of Preferred Stock to be converted, (b) accrued and unpaid dividends thereon, (c) all reasonable out-of-pocket expenses incurred by the Holder in connection with such conversion, including, without limitation, amounts paid by the Holder to the Corporation’s Transfer Agent and the reasonable costs of any legal opinion required for such conversion, in each case to the extent not paid by the Corporation, and (d) all other amounts due, if any, under this Certificate of Designation with respect to such shares of Preferred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shall have the meaning set forth in Section 6(b).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Preferred Stock in accordance with the terms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 Rate</w:t>
      </w:r>
      <w:r>
        <w:rPr>
          <w:rFonts w:ascii="Times New Roman" w:cs="Times New Roman" w:eastAsia="Times New Roman" w:hAnsi="Times New Roman"/>
          <w:sz w:val="18"/>
          <w:szCs w:val="18"/>
          <w:color w:val="auto"/>
        </w:rPr>
        <w:t>” means 18%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shall have the meaning set forth in Section 7(b).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Dilutive Issuance Notice</w:t>
      </w:r>
      <w:r>
        <w:rPr>
          <w:rFonts w:ascii="Times New Roman" w:cs="Times New Roman" w:eastAsia="Times New Roman" w:hAnsi="Times New Roman"/>
          <w:sz w:val="18"/>
          <w:szCs w:val="18"/>
          <w:color w:val="auto"/>
        </w:rPr>
        <w:t>” shall have the meaning set forth in Section 7(b).</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Conversion Rate</w:t>
      </w:r>
      <w:r>
        <w:rPr>
          <w:rFonts w:ascii="Times New Roman" w:cs="Times New Roman" w:eastAsia="Times New Roman" w:hAnsi="Times New Roman"/>
          <w:sz w:val="18"/>
          <w:szCs w:val="18"/>
          <w:color w:val="auto"/>
        </w:rPr>
        <w:t>” means, for each $1,000 of Dividend Share Amount (or portion thereof), one share of Preferred Stock with a Stated Value of $1,200 (or a portion of a share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Share Amount</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Shares</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Registration Statement Date</w:t>
      </w:r>
      <w:r>
        <w:rPr>
          <w:rFonts w:ascii="Times New Roman" w:cs="Times New Roman" w:eastAsia="Times New Roman" w:hAnsi="Times New Roman"/>
          <w:sz w:val="18"/>
          <w:szCs w:val="18"/>
          <w:color w:val="auto"/>
        </w:rPr>
        <w:t>” means the date on which a registration statement registering the resale of all Conversion Shares then required to be registered under the Transaction Documents is first declared effective by the Commission or otherwise becomes effective.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liquidated damages and other amounts owing to the applicable Holder in respect of the Preferred Stock, (c)(i) there is an effective registration statement pursuant to which (A) the Corporation may issue Dividend Shares and Conversion Shares or (B) the Holders are permitted to utilize the prospectus thereunder to resell all of the shares of Common Stock issuable pursuant to the Transaction Documents (and the Corporation believes, in good faith, that such effectiveness will continue uninterrupted for the foreseeable future) or (ii) all of the Conversion Shares issuable pursuant to the Transaction Documents (and shares issuable upon conversion of shares of Preferred Stock in lieu of cash payments of dividends) may be resold pursuant to Rule 144 without volume or manner-of-sale restrictions or current public information requirements as determined by the counsel to the Corporation as set forth in a written opinion letter to such effect, addressed and acceptable to the Transfer Agent and the affected Holders or (iii) all of the Conversion Shares and Dividend Shares may be issued to the Holder pursuant to Section 3(a)(9) of the Securities Act and immediately resold without restriction, (d) the Common Stock is trading on a Trading Market and all of the shares issuable pursuant to the Transaction Documents are listed or quoted for trading on such Trading Market (and the Corporation believes, in good faith, that trading of the Common Stock on a Trading Market will continue uninterrupted for the foreseeable future), (e) there is a sufficient number of authorized, but unissued and otherwise unreserved, shares of Common Stock for the issuance of all of the shares then issuable pursuant to the Transaction Documents and there is no existing Authorized Share Failure, (f) there is no existing Triggering Event and no existing event which, with the passage of time or the giving of notice, would constitute a Triggering Event, (g) there has been no public announcement of a pending or proposed Fundamental Transaction or Change of Control Transaction that has not been consummated, and</w:t>
      </w:r>
    </w:p>
    <w:p>
      <w:pPr>
        <w:spacing w:after="0" w:line="1" w:lineRule="exact"/>
        <w:rPr>
          <w:sz w:val="20"/>
          <w:szCs w:val="20"/>
          <w:color w:val="auto"/>
        </w:rPr>
      </w:pPr>
    </w:p>
    <w:p>
      <w:pPr>
        <w:ind w:firstLine="8"/>
        <w:spacing w:after="0" w:line="260"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Holder is not in possession of any information provided by the Corporation, any of its Subsidiaries, or any of their officers, directors, employees, agents or Affiliates, that constitutes, or may constitute,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shares of Common Stock, restricted stock units or options to employees, consultants, officers or directors of the Corporation pursuant to any stock or option plan duly adopted by a majority of the non-employee members of the Board of Directors of the Corporation or a majority of the members of a committee of non-employee directors established for such purpose for services rendered to the Corporation, provided that any issuances to consultants under this clause (a) shall not exceed 1,000,000 shares (adjusted for reverse and forward stock splits, recapitalizations and similar transactions) in any 6 month period, (b) securities upon the exercise or exchange of or conversion of any Securities issued pursuant to the Purchase Agreement, and securities upon the exercise or exchange of or conversion of securities issued pursuant to the Transaction Documents dated March 31, 2026, provided that such securities have not been amended since the date of the Purchase Agreement to increase the number of such securities or to decrease the exercise price, exchange price or conversion price of any such securities or to extend the term of such securities, and (c) securities issued pursuant to acquisitions or strategic transactions approved by a majority of the disinterested directors of the Corporation,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 holders of a Person) which is, itself or through its subsidiaries, an operating company or an owner of an asset in a business synergistic with the business of the Corporation and shall provide to the Corporation additional benefits in addition to the investment of funds, but shall not include a transaction in which the Corporation is issuing securities primarily for the purpose of raising capital or to an entity whose primary business is investing in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 Unavailability</w:t>
      </w:r>
      <w:r>
        <w:rPr>
          <w:rFonts w:ascii="Times New Roman" w:cs="Times New Roman" w:eastAsia="Times New Roman" w:hAnsi="Times New Roman"/>
          <w:sz w:val="18"/>
          <w:szCs w:val="18"/>
          <w:color w:val="auto"/>
        </w:rPr>
        <w:t>” shall have the meaning set forth in Section 4.16 of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shall have the meaning set forth in Section 7(f).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have the meaning given such term in Section 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Securities</w:t>
      </w:r>
      <w:r>
        <w:rPr>
          <w:rFonts w:ascii="Times New Roman" w:cs="Times New Roman" w:eastAsia="Times New Roman" w:hAnsi="Times New Roman"/>
          <w:sz w:val="18"/>
          <w:szCs w:val="18"/>
          <w:color w:val="auto"/>
        </w:rPr>
        <w:t>” means the Common Stock and all other Common Stock Equivalents of the Corporation other than those securities which are explicitly senior or pari passu to the Preferred Stock in dividend rights or liquidation preference.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effect on the business, properties, assets, liabilities, operations, results of operations, condition (financial or otherwise) or prospects of the Corporation and its Subsidiaries, taken as a whole, or on the transactions contemplated hereby or on the other Transaction Documents or by the agreements and instruments to be entered into in connection herewith or therewith, or on the authority or ability of the Corporation to perform any of its obligations under any of the Transaction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set forth in Section 8(a).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Amount</w:t>
      </w:r>
      <w:r>
        <w:rPr>
          <w:rFonts w:ascii="Times New Roman" w:cs="Times New Roman" w:eastAsia="Times New Roman" w:hAnsi="Times New Roman"/>
          <w:sz w:val="18"/>
          <w:szCs w:val="18"/>
          <w:color w:val="auto"/>
        </w:rPr>
        <w:t>” means the sum of (a) 110% of the aggregate Stated Value then outstanding, (b) accrued but unpaid dividends and (c) all liquidated damages and other amounts due in respect of the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Date</w:t>
      </w:r>
      <w:r>
        <w:rPr>
          <w:rFonts w:ascii="Times New Roman" w:cs="Times New Roman" w:eastAsia="Times New Roman" w:hAnsi="Times New Roman"/>
          <w:sz w:val="18"/>
          <w:szCs w:val="18"/>
          <w:color w:val="auto"/>
        </w:rPr>
        <w:t>” shall have the meaning set forth in Section 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Notice</w:t>
      </w:r>
      <w:r>
        <w:rPr>
          <w:rFonts w:ascii="Times New Roman" w:cs="Times New Roman" w:eastAsia="Times New Roman" w:hAnsi="Times New Roman"/>
          <w:sz w:val="18"/>
          <w:szCs w:val="18"/>
          <w:color w:val="auto"/>
        </w:rPr>
        <w:t>” shall have the meaning set forth in Section 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Notice Date</w:t>
      </w:r>
      <w:r>
        <w:rPr>
          <w:rFonts w:ascii="Times New Roman" w:cs="Times New Roman" w:eastAsia="Times New Roman" w:hAnsi="Times New Roman"/>
          <w:sz w:val="18"/>
          <w:szCs w:val="18"/>
          <w:color w:val="auto"/>
        </w:rPr>
        <w:t>” shall have the meaning set forth in Section 8(a).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Payables Litigation</w:t>
      </w:r>
      <w:r>
        <w:rPr>
          <w:rFonts w:ascii="Times New Roman" w:cs="Times New Roman" w:eastAsia="Times New Roman" w:hAnsi="Times New Roman"/>
          <w:sz w:val="18"/>
          <w:szCs w:val="18"/>
          <w:color w:val="auto"/>
        </w:rPr>
        <w:t>” means (i) the written notice to the Corporation or any Subsidiary or (ii) the public announcement by the Corporation, any Subsidiary or any third party of any litigation or arbitration against the Corporation or any Subsidiary in any state or federal court or any arbitration venue that relates to the Corporation’s outstanding accounts payable in an amount that exceeds $250,000.</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Securities Purchase Agreement, dated on or about the Original Issue Date, among the Corporation and the original Holders, as amended, modified or supplemented from time to time in accordance with its terms.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Preferred Stock, the Warrants, the Warrant Shares and the Conversion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Value</w:t>
      </w:r>
      <w:r>
        <w:rPr>
          <w:rFonts w:ascii="Times New Roman" w:cs="Times New Roman" w:eastAsia="Times New Roman" w:hAnsi="Times New Roman"/>
          <w:sz w:val="18"/>
          <w:szCs w:val="18"/>
          <w:color w:val="auto"/>
        </w:rPr>
        <w:t>” shall have the meaning set forth in Section 2, as the same may be increased pursuant to Section 3.</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Amount</w:t>
      </w:r>
      <w:r>
        <w:rPr>
          <w:rFonts w:ascii="Times New Roman" w:cs="Times New Roman" w:eastAsia="Times New Roman" w:hAnsi="Times New Roman"/>
          <w:sz w:val="18"/>
          <w:szCs w:val="18"/>
          <w:color w:val="auto"/>
        </w:rPr>
        <w:t>” shall mean, as to each Holder, the aggregate amount to be paid for the Preferred Stock purchased pursuant to the Purchase Agreement as specified below such Holder’s name on the signature page of the Purchase Agreement and next to the heading “Subscription Amount,” in United States dollars and in immediately available funds.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Corporation as set forth on Schedule 3.1(a) of the Purchase Agreement and shall, where applicable, also include any direct or indirect subsidiary of the Corporation formed or acquired after the date of the Purchase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have the meaning set forth in Section 7(f).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Certificate of Designation, the Purchase Agreement, the Warrants, all exhibits and schedules thereto and hereto and any other documents or agreements executed in connection with the transactions contemplated pursuant to the Purchase Agreement.</w:t>
      </w:r>
    </w:p>
    <w:p>
      <w:pPr>
        <w:spacing w:after="0" w:line="155" w:lineRule="exact"/>
        <w:rPr>
          <w:sz w:val="20"/>
          <w:szCs w:val="20"/>
          <w:color w:val="auto"/>
        </w:rPr>
      </w:pPr>
    </w:p>
    <w:p>
      <w:pPr>
        <w:ind w:right="28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as the current transfer agent of the Corporation, and any successor transfer agent of the Corporation.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shall have the meaning set forth in Section 10(a).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Redemption Amount</w:t>
      </w:r>
      <w:r>
        <w:rPr>
          <w:rFonts w:ascii="Times New Roman" w:cs="Times New Roman" w:eastAsia="Times New Roman" w:hAnsi="Times New Roman"/>
          <w:sz w:val="18"/>
          <w:szCs w:val="18"/>
          <w:color w:val="auto"/>
        </w:rPr>
        <w:t>” means, for each share of Preferred Stock, the sum of (a) the greater of (i) 120% of the aggregate Stated Value then outstanding and (ii) the product of (y) the VWAP on the Trading Day immediately preceding the date of the Triggering Event and (z) the Stated Value divided by the then Conversion Price, (b) all accrued but unpaid dividends thereon and (c) all liquidated damages and other costs, expenses or amounts due in respect of the Preferred Stock.</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Triggering Redemption Payment Date</w:t>
      </w:r>
      <w:r>
        <w:rPr>
          <w:rFonts w:ascii="Times New Roman" w:cs="Times New Roman" w:eastAsia="Times New Roman" w:hAnsi="Times New Roman"/>
          <w:sz w:val="18"/>
          <w:szCs w:val="18"/>
          <w:color w:val="auto"/>
        </w:rPr>
        <w:t>” shall have the meaning set forth in Section 10(b).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daily volume weighted average price of the Common Stock for such date (or the nearest preceding date) as reported by www.quotemedia.com, or, if such source is not available or not reporting the applicable information, as reported by Bloomberg L.P., or, if neither such source is available, as mutually agreed upon in writing by the Corporation and the 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shall have the meaning ascribed to such term in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the shares of Preferred Stock issuable upon exercise of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Designation, Amount and Par Value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series of preferred stock shall be designated as its Series A 10% Convertible Preferred Stock (the “Preferred Stock”) and the number of shares so designated shall be 10,000,000 (which shall not be subject to increase without the written consent of all of the holders of the Preferred Stock (each, a “Holder” and collectively, the “Holders”)). Each share of Preferred Stock shall have a par value of $0.00001 per share and a stated value equal to $1,200.00 per share, subject to increase set forth in Section 3 below (the “Stated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 in Cash or in Kind</w:t>
      </w:r>
      <w:r>
        <w:rPr>
          <w:rFonts w:ascii="Times New Roman" w:cs="Times New Roman" w:eastAsia="Times New Roman" w:hAnsi="Times New Roman"/>
          <w:sz w:val="18"/>
          <w:szCs w:val="18"/>
          <w:color w:val="auto"/>
        </w:rPr>
        <w:t>. Holders shall be entitled to receive, and the Corporation shall pay, cumulative dividends at the rate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percentage of the Stated Value per share) of 10% per annum, payable quarterly in cash or, at the Corporation’s option, in duly authorized, validly issued, fully paid and non-assessable shares of Preferred Stock (“Dividend Shares”) as set forth in this Section 3(a), or a combination thereof, on each March 31, June 30, September 30 and December 31 of each year, commencing on the first such date occurring after the Original Issue Date, on each Conversion Date (with respect only to Preferred Stock being converted, for accrued and unpaid dividends through the applicable Conversion Date), on each Optional Redemption Date (with respect only to Preferred Stock being redeemed, for accrued and unpaid dividends through the applicable Optional Redemption Date) and on such other dates as may be provided in the Purchase Agreement (each such date, a “Dividend Payment Date”) (if any Dividend Payment Date is not a Trading Day, the applicable payment shall be due on the next succeeding Trading Day). The dollar amount of dividends to be paid in Dividend Shares is referred to herein as the “Dividend Share Amount,” and any Dividend Shares issued in respect thereof shall be issued at the Dividend Conversion Rate. The Holders shall have the same rights and remedies with respect to the delivery of any such shares as if such shares were being issued pursuant to Section 6.</w:t>
      </w:r>
    </w:p>
    <w:p>
      <w:pPr>
        <w:spacing w:after="0" w:line="182"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Dividend Shares</w:t>
      </w:r>
      <w:r>
        <w:rPr>
          <w:rFonts w:ascii="Times New Roman" w:cs="Times New Roman" w:eastAsia="Times New Roman" w:hAnsi="Times New Roman"/>
          <w:sz w:val="18"/>
          <w:szCs w:val="18"/>
          <w:color w:val="auto"/>
        </w:rPr>
        <w:t>. The Corporation shall deliver a certificate evidencing the Dividend Shares to the Holder no later than the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 two (2) Trading Days and (ii) the number of days comprising the Standard Settlement Period (as defined in Section 6(c)(i) herein) following the Dividend Payment Date and the Corporation’s delivery of the Dividend Shares shall be subject to the provision of Section 6 herein, including, without limitation, the liquidated damages and Buy-In provisions therein. On the Dividend Payment Date, the Holder shall be deemed for all corporate purposes to have become the holder of record of the Dividend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both"/>
        <w:ind w:firstLine="656"/>
        <w:spacing w:after="0" w:line="255"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 Calculations</w:t>
      </w:r>
      <w:r>
        <w:rPr>
          <w:rFonts w:ascii="Times New Roman" w:cs="Times New Roman" w:eastAsia="Times New Roman" w:hAnsi="Times New Roman"/>
          <w:sz w:val="18"/>
          <w:szCs w:val="18"/>
          <w:color w:val="auto"/>
        </w:rPr>
        <w:t>. Dividends on the Preferred Stock shall be calculated on the basis of a 360-day year, consisting of twelve 30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periods, and shall accrue daily commencing on the Original Issue Date, and shall be deemed to accrue from such date whether or not earned or declared and whether or not there are profits, surplus or other funds of the Corporation legally available for the payment of dividends. Dividends shall continue to accrue with respect to any Preferred Stock through the applicable Conversion Date or Optional Redemption Date, as applicable, and shall cease to accrue thereafter only if the Corporation actually delivers the applicable Conversion Shares or pays the applicable redemption amount, in each case together with accrued and unpaid dividends, within the time period required by this Certificate of Designation.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Late Fees</w:t>
      </w:r>
      <w:r>
        <w:rPr>
          <w:rFonts w:ascii="Times New Roman" w:cs="Times New Roman" w:eastAsia="Times New Roman" w:hAnsi="Times New Roman"/>
          <w:sz w:val="18"/>
          <w:szCs w:val="18"/>
          <w:color w:val="auto"/>
        </w:rPr>
        <w:t>. Any dividends, whether paid in cash or shares of Preferred Stock, that are not paid within three Trading Days following a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w:t>
      </w:r>
    </w:p>
    <w:p>
      <w:pPr>
        <w:spacing w:after="0" w:line="170"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Securities</w:t>
      </w:r>
      <w:r>
        <w:rPr>
          <w:rFonts w:ascii="Times New Roman" w:cs="Times New Roman" w:eastAsia="Times New Roman" w:hAnsi="Times New Roman"/>
          <w:sz w:val="18"/>
          <w:szCs w:val="18"/>
          <w:color w:val="auto"/>
        </w:rPr>
        <w:t>. So long as any Preferred Stock shall remain outstanding, neither the Corporation nor any Subsidiary thereof shall redeem,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 otherwise acquire directly or indirectly any Junior Securities, other than, solely in connection with Junior Securities issued to employees, officers or directors of the Corporation for services rendered to the Corporation, Junior Securities in connection with the satisfaction of the exercise price of compensatory Junior Securities or the satisfaction of tax withholding obligations. So long as any Preferred Stock shall remain outstanding, neither the Corporation nor any Subsidiary thereof shall directly or indirectly pay or declare any dividend or make any distribution upon,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pari passu with the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Voting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provided herein or as otherwise required by law, the Preferred Stock shall have no voting rights. However, as long as any shares of Preferred Stock are outstanding, the Corporation shall not, without the affirmative vote of the Holders of a majority of the then outstanding shares of this, (a) alter or change adversely the powers, preferences or rights given to the Preferred Stock or alter or amend this Certificate of Designation, (b) authorize or create any class of stock ranking as to dividends, redemption or distribution of assets upon a Liquidation (as defined in Section 5) senior to, or otherwise pari passu with, this Series A 10% Convertible Preferred Stock, (c) amend its certificate or articles of incorporation or other charter documents in any manner that adversely affects any rights of the Holders, (d) issue any new shares of this Series A 10% Convertible Preferred Stock to any Person, other than the issuance of Dividend Shares or Warrant Shares, or (e) enter into any agreement with respect to any of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Liquidation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liquidation, dissolution or winding-up of the Corporation, whether voluntary or involuntary (a “Liquidation”),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A Fundamental Transaction or Change of Control Transaction shall not be deemed a Liquidation.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 shall deliver written notice of any such Liquidation, not less than 45 days prior to the payment date stated therein, to each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Section 6.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Conversions at Option of Holder</w:t>
      </w:r>
      <w:r>
        <w:rPr>
          <w:rFonts w:ascii="Times New Roman" w:cs="Times New Roman" w:eastAsia="Times New Roman" w:hAnsi="Times New Roman"/>
          <w:sz w:val="18"/>
          <w:szCs w:val="18"/>
          <w:color w:val="auto"/>
        </w:rPr>
        <w:t>. Each share of Preferred Stock shall be convertible, at any time and from time to time from and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Issue Date at the option of the Holder thereof, into that number of shares of Common Stock (subject to the limitations set forth in Section 6(d)) determined by dividing the Stated Value of such share of Preferred Stock by the Conversion Price. Holders shall effect conversions by providing the Corporation with the form of conversion notice attached hereto as Annex A (a “Notice of Conversion”).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e-mail such Notice of Conversion to the Corporation (such date, the “Conversion Date”). If no Conversion Date is specified in a Notice of Conversion, the Conversion Date shall be the date that such Notice of Conversion to the Corporation is deemed delivered hereunder. Upon delivery of the Notice of Conversion by a Holder, such Holder shall be deemed for all corporate purposes to have become the holder of record of the Conversion Shares with respect to which the Preferred Stock has been converted, irrespective of date of delivery of such Conversion Shares.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The conversion price for the Preferred Stock shall equal, as of any applicable date of determination, 82% of the lowest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VWAP during the eight (8) Trading Days immediately prior to and including the applicable Conversion Date, subject to adjustment herein (the resulting price, the “Conversion Price”). The Holder shall have the right to deliver an updated Notice of Conversion on or before the first (1st) Trading Day following receipt by the Corporation of a Notice of Conversion, correcting the Conversion Price (and the aggregate Conversion Amount) if the applicable Conversion Price is less than the conversion price specified on such Notice of Conversion; provided that if such updated Notice of Conversion is not delivered to the Corporation on or prior to 12:00 p.m. (New York City time) on such Trading Day, the Share Delivery Date shall be extended by one (1) Trading Day.</w:t>
      </w:r>
    </w:p>
    <w:p>
      <w:pPr>
        <w:spacing w:after="0" w:line="18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Mechanics of Conversion.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Conversion Shares Upon Conversion</w:t>
      </w:r>
      <w:r>
        <w:rPr>
          <w:rFonts w:ascii="Times New Roman" w:cs="Times New Roman" w:eastAsia="Times New Roman" w:hAnsi="Times New Roman"/>
          <w:sz w:val="18"/>
          <w:szCs w:val="18"/>
          <w:color w:val="auto"/>
        </w:rPr>
        <w:t>. Not later than the earlier of (i) two (2) Trading Days and (ii)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Days comprising the Standard Settlement Period (as defined below) after each Conversion Date (the “Share Delivery Date”), the Corporation shall deliver, or cause to be delivered, to the converting Holder (A) the number of Conversion Shares being acquired upon the conversion of the Preferred Stock, which Conversion Shares shall be free of restrictive legends and trading restrictions, and (B) a number of Dividend Shares in the amount of accrued and unpaid dividends on the shares of Preferred Stock subject to conversion. The Corporation shall deliver the Conversion Shares electronically through the Depository Trust Company or another established clearing corporation performing similar functions. As used herein, “Standard Settlement Period” means the standard settlement period, expressed in a number of Trading Days, on the Corporation’s primary Trading Market with respect to the Common Stock as in effect on the date of delivery of the Notice of Conversion, but in no event earlier than one (1) Trading Day after each Conversion Date.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9" w:lineRule="auto"/>
        <w:tabs>
          <w:tab w:leader="none" w:pos="15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Failure to Deliver Conversion Shares</w:t>
      </w:r>
      <w:r>
        <w:rPr>
          <w:rFonts w:ascii="Times New Roman" w:cs="Times New Roman" w:eastAsia="Times New Roman" w:hAnsi="Times New Roman"/>
          <w:sz w:val="18"/>
          <w:szCs w:val="18"/>
          <w:color w:val="auto"/>
        </w:rPr>
        <w:t>. If, in the case of any Notice of Conversion, such Conversion Shares are not delivered to 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directed by the applicable Holder by the Share Delivery Date, the Holder shall be entitled to elect by written notice to the Corporation at any time on or before its receipt of such Conversion Shares,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ind w:left="-460" w:firstLine="644"/>
        <w:spacing w:after="0" w:line="252" w:lineRule="auto"/>
        <w:tabs>
          <w:tab w:leader="none" w:pos="5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 Absolute; Partial Liquidated Damages</w:t>
      </w:r>
      <w:r>
        <w:rPr>
          <w:rFonts w:ascii="Times New Roman" w:cs="Times New Roman" w:eastAsia="Times New Roman" w:hAnsi="Times New Roman"/>
          <w:sz w:val="18"/>
          <w:szCs w:val="18"/>
          <w:color w:val="auto"/>
        </w:rPr>
        <w:t>. The Corporation’s obligation to issue and deliver the Conversion Shares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and the Corporation posts a surety bond for the benefit of such Holder in the amount of 150% of the Stated Value of Preferred Stock which is 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If the Corporation fails to deliver to a Holder such Conversion Shares pursuant to Section 6(c)(i) by the Share Delivery Date applicable to such conversion, the Corporation shall pay to such Holder, in cash, as liquidated damages and not as a penalty, for each $5,000 of Stated Value of Preferred Stock being converted, $50 per Trading Day (increasing to $100 per Trading Day on the fifth Trading Day after such damages begin to accrue) for each Trading Day after the Share Delivery Date until such Conversion Shares are delivered or Holder rescinds such conversion. Nothing herein shall limit a Holder’s right to pursue actual damages or declare a Triggering Event pursuant to Section 10 hereof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18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5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for Buy-In on Failure to Timely Deliver Conversion Shares Upon Conversion</w:t>
      </w:r>
      <w:r>
        <w:rPr>
          <w:rFonts w:ascii="Times New Roman" w:cs="Times New Roman" w:eastAsia="Times New Roman" w:hAnsi="Times New Roman"/>
          <w:sz w:val="18"/>
          <w:szCs w:val="18"/>
          <w:color w:val="auto"/>
        </w:rPr>
        <w:t>. In addition to any other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the Holder, if the Corporation fails for any reason to deliver to a Holder the applicable Conversion Shares by the Share Delivery Date pursuant to Section 6(c)(i) (other than solely a failure caused by incorrect or incomplete information provided by Holder to the Corporation),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“Buy-In”),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5" w:name="page76"/>
    <w:bookmarkEnd w:id="75"/>
    <w:p>
      <w:pPr>
        <w:jc w:val="both"/>
        <w:ind w:left="-460" w:firstLine="644"/>
        <w:spacing w:after="0" w:line="256" w:lineRule="auto"/>
        <w:tabs>
          <w:tab w:leader="none" w:pos="4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authorized and unissued shares of Common Stock for the sole purpose of issuance upon conversion of the Preferred Stock and payment of dividends on the Preferred Stock, each as provided herein,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Preferred Stock and payment of dividends hereunder. The Corporation covenants that all shares of Common Stock that shall be so issuable shall, upon issue, be duly authorized, validly issued, fully paid and nonassessable.</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4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the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Taxes and Expenses</w:t>
      </w:r>
      <w:r>
        <w:rPr>
          <w:rFonts w:ascii="Times New Roman" w:cs="Times New Roman" w:eastAsia="Times New Roman" w:hAnsi="Times New Roman"/>
          <w:sz w:val="18"/>
          <w:szCs w:val="18"/>
          <w:color w:val="auto"/>
        </w:rPr>
        <w:t>. The issuance of Conversion Shares on conversion of this Preferred Stock shall be made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spacing w:after="0" w:line="188" w:lineRule="exact"/>
        <w:rPr>
          <w:sz w:val="20"/>
          <w:szCs w:val="20"/>
          <w:color w:val="auto"/>
        </w:rPr>
      </w:pPr>
    </w:p>
    <w:p>
      <w:pPr>
        <w:jc w:val="both"/>
        <w:ind w:left="-460" w:firstLine="644"/>
        <w:spacing w:after="0" w:line="251" w:lineRule="auto"/>
        <w:tabs>
          <w:tab w:leader="none" w:pos="4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The Corporation shall not effect any conversion of the Preferred Stock, and a Holder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“Attribution Parties”))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or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(which may be via email), the Corporation shall within one Trading Day confirm orally and in writing (which may be via email) to such Holder the number of shares of Common Stock then outstanding. In any case, the number of outstanding shares of Common Stock shall be determined after giving effect to the conversion or exercise of securities of the Corporation, including the Preferred Stock, by such Holder or its Affiliates or Attribution Parties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conversion of Preferred Stock held by the applicable Holder.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61st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Section 7. 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Dividends and Stock Splits</w:t>
      </w:r>
      <w:r>
        <w:rPr>
          <w:rFonts w:ascii="Times New Roman" w:cs="Times New Roman" w:eastAsia="Times New Roman" w:hAnsi="Times New Roman"/>
          <w:sz w:val="18"/>
          <w:szCs w:val="18"/>
          <w:color w:val="auto"/>
        </w:rPr>
        <w:t>. If the Corporation, at any time while this Preferred Stock is outstanding: (i) pays a stock dividend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(ii) subdivides outstanding shares of Common Stock into a larger number of shares, (iii) combines (including by way of a reverse stock split, combination or otherwise) outstanding shares of Common Stock into a smaller number of shares or (iv) issues, in the event of a reclassification of shares of the Common Stock, any shares of capital stock of the Corporation, then the Conversion Price (as determined pursuant to Section 6(b))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Equity Sales</w:t>
      </w:r>
      <w:r>
        <w:rPr>
          <w:rFonts w:ascii="Times New Roman" w:cs="Times New Roman" w:eastAsia="Times New Roman" w:hAnsi="Times New Roman"/>
          <w:sz w:val="18"/>
          <w:szCs w:val="18"/>
          <w:color w:val="auto"/>
        </w:rPr>
        <w:t>. Notwithstanding anything herein to the contrary, if at any time while this Preferred Stock is outstanding,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in effect Conversion Price (such lower price, the “Base Conversion Price,” and such issuance collectively,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at such effective price), then the Conversion Price shall be reduced to equal the Base Conversion Price. For the avoidance of doubt, if more than one security is issued in a transaction that is being analyzed to determine whether a Dilutive Issuance has occurred and/or to determine a Base Conversion Price, each security so issued shall be analyzed separately with respect to such determinations such that the lowest effective price per share with respect to each such security shall apply. No adjustment will be made under this Section 7(b) in respect of an Exempt Issuance. The Corporation shall notify the Holders in writing, no later than the Trading Day following the applicable Dilutive Issuance, indicating therein the applicable issuance price, or applicable reset price, exchange price, conversion price and other pricing terms (such notice, the “Dilutive Issuance Notice”).</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 Due to Market Price. </w:t>
      </w:r>
      <w:r>
        <w:rPr>
          <w:rFonts w:ascii="Times New Roman" w:cs="Times New Roman" w:eastAsia="Times New Roman" w:hAnsi="Times New Roman"/>
          <w:sz w:val="18"/>
          <w:szCs w:val="18"/>
          <w:color w:val="auto"/>
        </w:rPr>
        <w:t>If at any time the Market Price, as determined on the date of each conversion, is less than the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then the aggregate Stated Value of the Holder’s then outstanding shares of Preferred Stock shall be automatically increased immediately following each such conversion by the result of the Conversion Price minus the Market Price multiplied by the number of shares of Common Stock being issued with respect to such conversion, and dividends shall accrue thereon in accordance with the terms of this Certificate of Designation. “Market Price” shall mean the lowest VWAP during the ten (10) Trading Days prior to the applicable Conversion Date. For example, if the Conversion Price is $0.50 and the Market Price is $0.40 and the number of shares of Common Stock issued upon conversion is 10,000, then the aggregate Stated Value of the Holder’s outstanding Preferred Stock shall be increased by $1,000.00 ($0.50 - $0.40 = $0.10 multiplied by 10,000 = $1,000.00) immediately following such conversion.</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Corporation grants, issues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sells any Common Stock Equivalents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 Rata Distributions</w:t>
      </w:r>
      <w:r>
        <w:rPr>
          <w:rFonts w:ascii="Times New Roman" w:cs="Times New Roman" w:eastAsia="Times New Roman" w:hAnsi="Times New Roman"/>
          <w:sz w:val="18"/>
          <w:szCs w:val="18"/>
          <w:color w:val="auto"/>
        </w:rPr>
        <w:t>. During such time as this Preferred Stock is outstanding, if the Corporation declares or makes any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distributions subject to Section 7(a) hereof (a “Distribution”),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ind w:left="-8" w:firstLine="656"/>
        <w:spacing w:after="0" w:line="259" w:lineRule="auto"/>
        <w:tabs>
          <w:tab w:leader="none" w:pos="86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If, at any time while this Preferred Stock is outstanding, (i) the Corporation, directly or indirectly, in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w:t>
      </w:r>
    </w:p>
    <w:p>
      <w:pPr>
        <w:jc w:val="both"/>
        <w:ind w:left="-8" w:firstLine="8"/>
        <w:spacing w:after="0" w:line="250" w:lineRule="auto"/>
        <w:tabs>
          <w:tab w:leader="none" w:pos="3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purchase offer, tender offer or exchange offer (whether by the Corporation or another Person) is completed pursuant to which holders of Voting Stock are permitted to sell, tender or exchange their shares for other securities, cash or property and has been accepted by the holders of more than 50% of the outstanding Voting Stock, (iv) the Corporation, directly or indirectly, in one or more related transactions effects any reclassification, reorganization or recapitalization of the Voting Stock or any compulsory share exchange pursuant to which the Voting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Voting Stock (not including any shares of Voting Stock held by the other Person or other Persons making or party to, or associated or affiliated with the other Persons making or party to, such stock or share purchase agreement or other business combination) (each a “Fundamental Transaction”), then the Corporation shall not consummate any such Fundamental Transaction unless the Holders of a majority of the then outstanding shares of Preferred Stock shall have given prior written consent thereto, which consent shall be solicited in accordance with the MNPI Consent Procedures set forth in Section 4.8 of the Purchase Agreement. Upon a Fundamental Transaction, the Holder may elect, by written notice to the Corporation delivered no later than five (5) Business Days prior to the consummation of such Fundamental Transaction, either (A) to convert the Preferred Stock into Alternate Consideration as set forth below in this Section 7(f), or (B) to require the Corporation to redeem all of the Holder’s Preferred Stock at the Triggering Redemption Amount, which election shall constitute a Triggering Event under Section 10(a). If the Holder does not timely deliver such notice, the Holder shall be deemed to have elected clause (A)., Upon the occurrence of such Fundamental Transaction,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on the conversion of this Preferred Stock), the number of shares of Common Stock of the successor or acquiring corporation or of the Corporation, if it is the surviving corporation, and any additional consideration (the “Alternate Consideration”) receivable as a result of such Fundamental Transaction by a holder of the number of shares of Common Stock for which this Preferred Stock is convertible immediately prior to such Fundamental Transaction (without regard to any limitation in Section 6(d)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“Successor Entity”) to assume in writing all of the obligations of the Corporation under this Certificate of Designation and the other Transaction Documents in accordance with the provisions of this Section 7(f) pursuant to written agreements approved by the Holders of a majority of the outstanding shares of Preferred Stock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to a similarly situated holder of preferred stock on substantially similar terms to this Preferred Stock.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 For purposes of this Section 7(f), “Voting Stock” means the Common Stock and any other class or series of capital stock of the Corporation entitled to vote generally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78" w:name="page79"/>
    <w:bookmarkEnd w:id="78"/>
    <w:p>
      <w:pPr>
        <w:jc w:val="both"/>
        <w:ind w:left="-656" w:firstLine="656"/>
        <w:spacing w:after="0" w:line="268" w:lineRule="auto"/>
        <w:tabs>
          <w:tab w:leader="none" w:pos="2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to the Holders.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8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 to Conversion Price</w:t>
      </w:r>
      <w:r>
        <w:rPr>
          <w:rFonts w:ascii="Times New Roman" w:cs="Times New Roman" w:eastAsia="Times New Roman" w:hAnsi="Times New Roman"/>
          <w:sz w:val="18"/>
          <w:szCs w:val="18"/>
          <w:color w:val="auto"/>
        </w:rPr>
        <w:t>. Whenever the Conversion Price is adjusted pursuant to any provision of this Section 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promptly deliver to each Holder by email a notice setting forth the Conversion Price after such adjustment and setting forth a brief statement of the facts requiring such adjustment.</w:t>
      </w:r>
    </w:p>
    <w:p>
      <w:pPr>
        <w:spacing w:after="0" w:line="170"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1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to Allow Conversion by Holder</w:t>
      </w:r>
      <w:r>
        <w:rPr>
          <w:rFonts w:ascii="Times New Roman" w:cs="Times New Roman" w:eastAsia="Times New Roman" w:hAnsi="Times New Roman"/>
          <w:sz w:val="18"/>
          <w:szCs w:val="18"/>
          <w:color w:val="auto"/>
        </w:rPr>
        <w:t>. If (A) the Corporation shall declare a dividend (or any other distribution in whatever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Section 8.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Optional Redemption at Election of Corporation</w:t>
      </w:r>
      <w:r>
        <w:rPr>
          <w:rFonts w:ascii="Times New Roman" w:cs="Times New Roman" w:eastAsia="Times New Roman" w:hAnsi="Times New Roman"/>
          <w:sz w:val="18"/>
          <w:szCs w:val="18"/>
          <w:color w:val="auto"/>
        </w:rPr>
        <w:t>. Subject to the provisions of this Section 8, at any time commencing thirty (30)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the Original Issue Date, the Corporation may deliver a notice to the Holders (an “Optional Redemption Notice” and the date such notice is deemed delivered hereunder, the “Optional Redemption Notice Date”) of its irrevocable election to redeem some or all of the then outstanding Preferred Stock, for cash in an amount equal to the Optional Redemption Amount on the thirtieth (30th) day following the Optional Redemption Notice Date (such date, the “Optional Redemption Date” and such redemption, the “Optional Redemption”). The Optional Redemption Amount is payable in full on the Optional Redemption Date. The Corporation may only effect an Optional Redemption if each of the Equity Conditions shall have been met on each Trading Day occurring during the period commencing on the Optional Redemption Notice Date through to the Optional Redemption Date and through and including the date payment of the Optional Redemption Amount is actually made. If any of the Equity Conditions shall cease to be satisfied at any time during the thirty (30) day period, then a Holder may elect to nullify the Optional Redemption Notice as to such Holder by notice to the Corporation within three (3) Trading Days after the first day on which any such Equity Condition has not been met (provided that, if by a provision of the Transaction Documents, the Corporation is obligated to notify the Holders of the non-existence of an Equity Condition, such notice period shall be extended to the third Trading Day after proper notice from the Corporation) in which case the Optional Redemption Notice shall be null and void, ab initio. The Corporation covenants and agrees that the Corporation will honor all Notices of Conversion tendered from the time of delivery of the Optional Redemption Notice through the date the Optional Redemption Amount is paid in full, and each Holder shall continue to have the right to convert the Preferred Stock at the Conversion Price after receipt of an Optional Redemption Notice and prior to the payment of the Optional Redemption Amount.</w:t>
      </w:r>
    </w:p>
    <w:p>
      <w:pPr>
        <w:spacing w:after="0" w:line="183"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Redemption Procedure</w:t>
      </w:r>
      <w:r>
        <w:rPr>
          <w:rFonts w:ascii="Times New Roman" w:cs="Times New Roman" w:eastAsia="Times New Roman" w:hAnsi="Times New Roman"/>
          <w:sz w:val="18"/>
          <w:szCs w:val="18"/>
          <w:color w:val="auto"/>
        </w:rPr>
        <w:t>. The payment of cash pursuant to an Optional Redemption shall be made on the Optional Redemption Date.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cash payment for an Optional Redemption has not been paid by the Corporation on the Optional Redemption Date, interest shall accrue thereon until such amount is paid in full at a rate equal to the lesser of 18% per annum or the maximum rate permitted by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Negative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any shares of Preferred Stock are outstanding, unless the holders of at least 67% in Stated Value of the then outstanding shares of Preferred Stock shall have otherwise given prior written consent, the Corporation shall not, and shall not permit any of the Subsidiaries to, directly or indirectly:</w:t>
      </w:r>
    </w:p>
    <w:p>
      <w:pPr>
        <w:spacing w:after="0" w:line="176" w:lineRule="exact"/>
        <w:rPr>
          <w:sz w:val="20"/>
          <w:szCs w:val="20"/>
          <w:color w:val="auto"/>
        </w:rPr>
      </w:pPr>
    </w:p>
    <w:p>
      <w:pPr>
        <w:jc w:val="both"/>
        <w:ind w:left="660" w:firstLine="644"/>
        <w:spacing w:after="0" w:line="256" w:lineRule="auto"/>
        <w:tabs>
          <w:tab w:leader="none" w:pos="15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repurchase or offer to repay, repurchase or otherwise acquire more than a de minimis number of shares of its Common Stock, Common Stock Equivalents or Junior Securities, other than as to (i) the Conversion Shares or Warrant Shares as permitted or required under the Transaction Documents, (ii) other than, solely in connection with Junior Securities issued to employees, officers or directors of the Corporation for services rendered to the Corporation, Junior Securities in connection with the satisfaction of the exercise price of compensatory Junior Securities or the satisfaction of tax withholding obligations, and (iii) repurchases of Common Stock or Common Stock Equivalents of departing officers and directors of the Corporation;</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on Junior Securities of the Corporation;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any Affiliate of the Corporation which would be required to be disclosed in any public filing with the Commission, unless such transaction is made on an arm’s-length basis and expressly approved by a majority of the disinterested directors of the Corporation (even if less than a quorum otherwise required for board approval);</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any indebtedness for borrowed money that would be senior in right of payment to the Preferred Stock, or issue any class or series of preferred stock that ranks senior to the Preferred Stock in dividend rights, redemption rights, or distribution of assets upon a Liquidation, in each case for so long as any Holder holds any shares of Preferred Stock, which consent shall be solicited in accordance with the MNPI Consent Procedures set forth in Section 4.8 of the Purchase Agreement; provided, however, that this Section 9(d) shall not apply to (i) indebtedness arising under or pursuant to the Transaction Documents dated March 31, 2026 between the Corporation and Leviston Resources LLC (and any refinancing, refunding, renewal or extension thereof, provided that the principal amount thereof is not increased), and (ii) ordinary-course capital lease obligations and equipment financings;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ind w:left="660" w:firstLine="644"/>
        <w:spacing w:after="0" w:line="258" w:lineRule="auto"/>
        <w:tabs>
          <w:tab w:leader="none" w:pos="156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apply the proceeds of any Subsequent Financing (as defined in the Purchase Agreement) as follows: within five (5) Trading Days of receipt of such proceeds, the Corporation shall (i) first, pay all accrued and unpaid dividends on all outstanding shares of Preferred Stock, and (ii) second, apply the remaining proceeds to redeem the maximum number of whole shares of Preferred Stock at the per-share Triggering Redemption Amount, pro rata among all Holders based upon the number of shares of Preferred Stock then held by each Holder, with any shares not so redeemed remaining outstanding on the terms set forth herein; or (f) enter into any agreement with respect to any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Redemption Upon Triggering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2" w:lineRule="auto"/>
        <w:tabs>
          <w:tab w:leader="none" w:pos="9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Triggering Event</w:t>
      </w:r>
      <w:r>
        <w:rPr>
          <w:rFonts w:ascii="Times New Roman" w:cs="Times New Roman" w:eastAsia="Times New Roman" w:hAnsi="Times New Roman"/>
          <w:sz w:val="18"/>
          <w:szCs w:val="18"/>
          <w:color w:val="auto"/>
        </w:rPr>
        <w:t>. “Triggering Event” means, wherever used herein, any of the following events (whatever the reason for such event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such event shall be voluntary or involuntary or effected by operation of law or pursuant to any judgment, decree or order of any court, or any order, rule or regulation of any administrative or governmental body), to which the Holders of a majority of the then outstanding shares of Preferred Stock do not provide prior written consent:</w:t>
      </w:r>
    </w:p>
    <w:p>
      <w:pPr>
        <w:spacing w:after="0" w:line="180"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fails to provide at all times a registration statement (including the Registration Statement) or usable prospectus that permits the Corporation to issue the Conversion Shares and Warrant Shares or which allows the Holder to sell the Conversion Shares and Warrant Shares pursuant thereto, subject to a grace period of 20 calendar days in the aggregate in any 365-day period, or if the Corporation cannot issue the Conversion Shares pursuant to Section 3(a)(9) of the Securities Act;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fail to deliver Conversion Shares issuable upon a conversion hereunder that comply with the provisions hereof prior to the seventh (7th) Trading Day after such shares are required to be delivered hereunder, or the Corporation shall provide written notice to any Holder, including by way of public announcement, at any time, of its intention not to comply with requests for conversion of any shares of Preferred Stock in accordance with the terms hereof;</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fail for any reason to pay in full the amount of cash due pursuant to a Buy-In within five (5) calendar days after notice therefor is delivered hereunder;</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 Authorized Share Failure;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fail to make an Amendment Filing within five (5) Trading Days of the date of Form S-3 Unavailability or the Amended Registration Statement Effectiveness shall not occur within twenty (20) Trading Days following the date of Form S-3 Unavailability;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specifically addressed elsewhere in this Certificate of Designation as a Triggering Event, the Corporation shall fail to observe or perform any other covenant, agreement or warranty contained in, or otherwise commit any breach of the Transaction Documents, and such failure or breach shall not, if subject to the possibility of a cure by the Corporation, have been cured within 30 calendar days after the date of such failure to observe or perform or such breach;</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redeem more than a de minimis number of Junior Securities other than as to (a) repurchases of Common Stock or Common Stock Equivalents from departing officers and directors, or (b) solely in connection with Junior Securities issued to employees, officers or directors of the Corporation for services rendered to the Corporation, Junior Securities in connection with the satisfaction of the exercise price of compensatory Junior Securities or the satisfaction of tax withholding obligations;</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Fundamental Transaction or Change of Control Transaction, the Holder elects redemption pursuant to Section 7(f);</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Bankruptcy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ind w:left="4" w:firstLine="644"/>
        <w:spacing w:after="0" w:line="282" w:lineRule="auto"/>
        <w:tabs>
          <w:tab w:leader="none" w:pos="91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fail to be listed or quoted for trading on a Trading Market for more than five Trading Days, which need not be consecutive Trading Days;</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monetary judgment, writ or similar final process shall be entered or filed against the Corporation, any Subsidiary or any of their respective property or other assets for more than $500,000, and such judgment, writ or similar final process shall remain unvacated, unbonded or unstayed for a period of 60 calendar days; (xii) the electronic transfer by the Corporation of shares of Common Stock through the Depository Trust Company or another established clearing corporation is no longer available or is subject to a “chill”;</w:t>
      </w:r>
    </w:p>
    <w:p>
      <w:pPr>
        <w:spacing w:after="0" w:line="180" w:lineRule="exact"/>
        <w:rPr>
          <w:sz w:val="20"/>
          <w:szCs w:val="20"/>
          <w:color w:val="auto"/>
        </w:rPr>
      </w:pPr>
    </w:p>
    <w:p>
      <w:pPr>
        <w:ind w:left="4" w:firstLine="644"/>
        <w:spacing w:after="0" w:line="282" w:lineRule="auto"/>
        <w:tabs>
          <w:tab w:leader="none" w:pos="106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Payables Litigation and such Payables Litigation shall remain unvacated, unbonded, and unstayed for a period of 45 days;</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104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fail to comply with the reporting requirements of the Exchange Act or shall cease to be subject to the reporting requirements of the Exchange Act, subject to allowances permitted under Rule 12b-25 thereunder;</w:t>
      </w:r>
    </w:p>
    <w:p>
      <w:pPr>
        <w:spacing w:after="0" w:line="161"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Commission or judicial stop trade order or suspension from the principal Trading Market;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1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cessation of operations by the Corporation or the Corporation admits it is otherwise generally unable to pay its debts as such debts become due; provided, however, that any disclosure of the Corporation’s ability to continue as a “going concern” shall not be an admission that the Corporation cannot pay its debts as they become due;</w:t>
      </w:r>
    </w:p>
    <w:p>
      <w:pPr>
        <w:spacing w:after="0" w:line="175" w:lineRule="exact"/>
        <w:rPr>
          <w:rFonts w:ascii="Times New Roman" w:cs="Times New Roman" w:eastAsia="Times New Roman" w:hAnsi="Times New Roman"/>
          <w:sz w:val="18"/>
          <w:szCs w:val="18"/>
          <w:color w:val="auto"/>
        </w:rPr>
      </w:pPr>
    </w:p>
    <w:p>
      <w:pPr>
        <w:jc w:val="both"/>
        <w:ind w:left="4" w:right="20" w:firstLine="644"/>
        <w:spacing w:after="0" w:line="261" w:lineRule="auto"/>
        <w:tabs>
          <w:tab w:leader="none" w:pos="115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any financial statements filed by the Corporation with the Commission for any date or period from two years prior to the Original Issue Date and until no shares of Preferred Stock remain outstanding, if the result of such restatement would, by comparison to the unrestated financial statements, have constituted a Material Adverse Effect; provided that any restatement related to new accounting pronouncements shall not constitute a Triggering Event under this clause;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06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Transaction Document shall at any time for any reason (other than pursuant to the express terms thereof) cease to be valid and binding on or enforceable against the Corporation, or the validity or enforceability thereof shall be contested by the Corporation, or a proceeding shall be commenced by the Corporation or any governmental authority having jurisdiction over the Corporation or any Holder seeking to establish the invalidity or unenforceability thereof, or the Corporation shall deny in writing that it has any liability or obligation purported to be created under any Transaction Document; or</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1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Corporation to apply the proceeds of any Subsequent Financing in accordance with Section 9(e) within the time period specified therein; (xxi) the failure by the Corporation or any material Subsidiary to maintain any material intellectual property rights, personal property, real property, equipment, leases or other assets which are necessary to conduct its business (whether now or in the future), and such failure is not cured within thirty (30) days after written notice to the Corporation from the Holder.</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2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Triggering Event Remedies</w:t>
      </w:r>
      <w:r>
        <w:rPr>
          <w:rFonts w:ascii="Times New Roman" w:cs="Times New Roman" w:eastAsia="Times New Roman" w:hAnsi="Times New Roman"/>
          <w:sz w:val="18"/>
          <w:szCs w:val="18"/>
          <w:color w:val="auto"/>
        </w:rPr>
        <w:t>. Upon the occurrence of a Triggering Event, in addition to all other rights each Holder may have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at the sole option of such Holder, each Holder shall have the right to require the Corporation to redeem all of the Preferred Stock then held by such Holder for a redemption price, in cash, equal to the Triggering Redemption Amount. If elected by the Holder, the Triggering Redemption Amount, in cash, shall be due and payable within five Trading Days of the date on which the notice for the payment therefor is provided by a Holder (the “Triggering Redemption Payment Date”). If the Corporation fails to pay in full the Triggering Redemption Amount hereunder on the date such amount is due in accordance with this Section, the Corporation will pay interest thereon at a rate equal to the lesser of 12% per annum or the maximum rate permitted by applicable law, accruing daily from such date until the Triggering Redemption Amount, plus all such interest thereon, is paid in full. For purposes of this Section, a share of Preferred Stock is outstanding until such date as the applicable Holder shall have received Conversion Shares upon a conversion (or attempted conversion) thereof that meets the requirements hereof or has been paid the Triggering Redemption Amount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82" w:name="page83"/>
    <w:bookmarkEnd w:id="82"/>
    <w:p>
      <w:pPr>
        <w:jc w:val="both"/>
        <w:ind w:firstLine="656"/>
        <w:spacing w:after="0" w:line="254" w:lineRule="auto"/>
        <w:tabs>
          <w:tab w:leader="none" w:pos="9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Liquidated Damages Upon Triggering Event</w:t>
      </w:r>
      <w:r>
        <w:rPr>
          <w:rFonts w:ascii="Times New Roman" w:cs="Times New Roman" w:eastAsia="Times New Roman" w:hAnsi="Times New Roman"/>
          <w:sz w:val="18"/>
          <w:szCs w:val="18"/>
          <w:color w:val="auto"/>
        </w:rPr>
        <w:t>. Upon the occurrence of any Triggering Event (other than a Triggering Event arising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Holder’s election of redemption pursuant to Section 7(f)), the Corporation shall, as liquidated damages and not as a penalty, pay to each Holder an amount in cash equal to $250,000 (the “Triggering Event Liquidated Damages”) within five (5) Trading Days of the occurrence of such Triggering Event (the “Liquidated Damages Payment Date”). The parties acknowledge and agree that the damages resulting from a Triggering Event would be difficult to ascertain and that the Triggering Event Liquidated Damages represent a reasonable estimate of such damages. If the Corporation fails to pay the full amount of the Triggering Event Liquidated Damages to a Holder by the Liquidated Damages Payment Date, then such unpaid amount shall accrue interest at the rate of two percent (2%) per month (or such lesser rate as is the maximum rate permitted by applicable law), compounding monthly, from the Liquidated Damages Payment Date until the date of actual payment in full. The payment of the Triggering Event Liquidated Damages shall not relieve the Corporation of any of its other obligations hereunder, including without limitation any obligation to pay the Triggering Redemption Amount, and each Holder shall retain all other rights and remedies available to it hereunder or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9" w:lineRule="auto"/>
        <w:tabs>
          <w:tab w:leader="none" w:pos="8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Conversion, and any and all notices or other communications or deliveries to be provided by the Corporation hereunder, shall be governed exclusively by the notice provisions set forth in Section 5.4 of the Purchase Agreement, which are hereby incorporated by reference as if set forth herein in full, including with respect to permitted methods of delivery, timing, effectiveness, addresses and electronic service. In the event of any inconsistency between the notice provisions of this Certificate of Designation and the Purchase Agreement, the Purchase Agreement shall control.</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Absolute Obligation</w:t>
      </w:r>
      <w:r>
        <w:rPr>
          <w:rFonts w:ascii="Times New Roman" w:cs="Times New Roman" w:eastAsia="Times New Roman" w:hAnsi="Times New Roman"/>
          <w:sz w:val="18"/>
          <w:szCs w:val="18"/>
          <w:color w:val="auto"/>
        </w:rPr>
        <w:t>. Except as expressly provided herein, no provision of this Certificate of Designation shall alter or impair the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which is absolute and unconditional, to pay liquidated damages, accrued dividends and accrued interest, as applicable, on the shares of Preferred Stock at the time, place, and rate, and in the coin or currency, herein prescribed.</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0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Lost or Mutilated Preferred Stock Certificate</w:t>
      </w:r>
      <w:r>
        <w:rPr>
          <w:rFonts w:ascii="Times New Roman" w:cs="Times New Roman" w:eastAsia="Times New Roman" w:hAnsi="Times New Roman"/>
          <w:sz w:val="18"/>
          <w:szCs w:val="18"/>
          <w:color w:val="auto"/>
        </w:rPr>
        <w:t>. If a Holder’s Preferred Stock certificate shall be mutilated, lost, stolen or destroyed,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Dispute Resolution</w:t>
      </w:r>
      <w:r>
        <w:rPr>
          <w:rFonts w:ascii="Times New Roman" w:cs="Times New Roman" w:eastAsia="Times New Roman" w:hAnsi="Times New Roman"/>
          <w:sz w:val="18"/>
          <w:szCs w:val="18"/>
          <w:color w:val="auto"/>
        </w:rPr>
        <w:t>. All matters concerning governing law, jurisdiction, venue, service of process, waiver of jury trial,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resolution with respect to this Certificate of Designation or any of the Transaction Documents shall be governed exclusively by the corresponding provisions set forth in Section 5.9 of the Purchase Agreement, which are hereby incorporated by reference as if set forth herein in full. In the event of any inconsistency between the provisions of this Certificate of Designation and the Purchase Agreement with respect to any of the foregoing matters, the Purchase Agreement shall control.</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8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both"/>
        <w:ind w:firstLine="656"/>
        <w:spacing w:after="0" w:line="262" w:lineRule="auto"/>
        <w:tabs>
          <w:tab w:leader="none" w:pos="9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made on the next succeeding Business Day.</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limit or affect any of the provisions hereof.</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8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Status of Converted or Redeemed Preferred Stock</w:t>
      </w:r>
      <w:r>
        <w:rPr>
          <w:rFonts w:ascii="Times New Roman" w:cs="Times New Roman" w:eastAsia="Times New Roman" w:hAnsi="Times New Roman"/>
          <w:sz w:val="18"/>
          <w:szCs w:val="18"/>
          <w:color w:val="auto"/>
        </w:rPr>
        <w:t>. Shares of Preferred Stock may only be issued pursuant to the Purchase Agreement.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Preferred Stock shall be converted, redeemed or reacquired by the Corporation, such shares shall resume the status of authorized but unissued shares of preferred stock and shall no longer be designated as Series A 10% Convertible Preferred Stock.</w:t>
      </w:r>
    </w:p>
    <w:p>
      <w:pPr>
        <w:spacing w:after="0" w:line="170" w:lineRule="exact"/>
        <w:rPr>
          <w:rFonts w:ascii="Times New Roman" w:cs="Times New Roman" w:eastAsia="Times New Roman" w:hAnsi="Times New Roman"/>
          <w:sz w:val="18"/>
          <w:szCs w:val="18"/>
          <w:color w:val="auto"/>
        </w:rPr>
      </w:pPr>
    </w:p>
    <w:p>
      <w:pPr>
        <w:jc w:val="both"/>
        <w:ind w:firstLine="656"/>
        <w:spacing w:after="0" w:line="254" w:lineRule="auto"/>
        <w:tabs>
          <w:tab w:leader="none" w:pos="8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Listing Cure</w:t>
      </w:r>
      <w:r>
        <w:rPr>
          <w:rFonts w:ascii="Times New Roman" w:cs="Times New Roman" w:eastAsia="Times New Roman" w:hAnsi="Times New Roman"/>
          <w:sz w:val="18"/>
          <w:szCs w:val="18"/>
          <w:color w:val="auto"/>
        </w:rPr>
        <w:t>. If at any time after the Original Issue Date the Corporation has received written notice from the Trading Market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is not in compliance with a continued-listing standard relating to market value of listed securities, market value of publicly held shares, or stockholders’ equity (a “Listing Deficiency”), and the Preferred Stock is then classified as a liability rather than equity for accounting purposes under U.S. generally accepted accounting principles, then upon written request from the Corporation the Holder shall cooperate in good faith to (i) amend this Certificate of Designation in a manner reasonably sufficient to achieve equity classification of the Preferred Stock for accounting purposes, or (ii) if such reclassification is not reasonably feasible, accept the cancellation, exchange, or repurchase of the Preferred Stock (in whole or in part) on terms designed to preserve the Holder’s economic position to the extent reasonably practicable, in each case as necessary to cure such Listing Deficiency. For the avoidance of doubt, this Section 11(j) shall not apply unless and until a Listing Deficiency, as defined above, has been received in writing by the Corporation from the Trading Market and is then continuing.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Certificate as of May 19,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CONVERSION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 Shares of Preferred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elects to convert the number of shares of Series A 10% Convertible Preferred Stock indicated below into shares of common stock, par value $0.00001 per share (the “Common Stock”), of Mobix Labs, Inc., a Delaware corporation (the “Corporation”), according to the conditions hereof, as of the date written below. If shares of Common Stock are to be issued in the name of a Person other than the undersigned, the undersigned will pay all transfer taxes payable with respect thereto. No fee will be charged to the Holders for any conversion, except for any such transfer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calculations: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Conversion: 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Preferred Stock owned prior to Conversion: 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Preferred Stock to be Converted: 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Value of shares of Preferred Stock to be Converted: $_________________________________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Dividends Included in Conversion Amount: $_____________________________________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 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Conversion Price: $________________________________________________________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Preferred Stock subsequent to Conversion: 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 no: 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no: 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22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13,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Mobix Labs,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Leviston Resources, LLC</w:t>
      </w:r>
      <w:r>
        <w:rPr>
          <w:rFonts w:ascii="Times New Roman" w:cs="Times New Roman" w:eastAsia="Times New Roman" w:hAnsi="Times New Roman"/>
          <w:sz w:val="18"/>
          <w:szCs w:val="18"/>
          <w:color w:val="auto"/>
        </w:rPr>
        <w:t>, a Delaware limited liability company (including its successors and permitted assigns,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The Company and the Investor are each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On March 31, 2026, the Parties entered into (i) that certain Securities Purchase Agreement (the “</w:t>
      </w:r>
      <w:r>
        <w:rPr>
          <w:rFonts w:ascii="Times New Roman" w:cs="Times New Roman" w:eastAsia="Times New Roman" w:hAnsi="Times New Roman"/>
          <w:sz w:val="18"/>
          <w:szCs w:val="18"/>
          <w:b w:val="1"/>
          <w:bCs w:val="1"/>
          <w:color w:val="auto"/>
        </w:rPr>
        <w:t>Original SPA</w:t>
      </w:r>
      <w:r>
        <w:rPr>
          <w:rFonts w:ascii="Times New Roman" w:cs="Times New Roman" w:eastAsia="Times New Roman" w:hAnsi="Times New Roman"/>
          <w:sz w:val="18"/>
          <w:szCs w:val="18"/>
          <w:color w:val="auto"/>
        </w:rPr>
        <w:t>”), (ii) that certain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Convertible Note in the original principal amount of $4,000,000 (as amended by that certain First Amendment to Securities Purchase Agreement and Senior Secured Convertible Note dated May 13, 2026 (the “First Amendment”)) issued by the Company to the Investor (the “</w:t>
      </w:r>
      <w:r>
        <w:rPr>
          <w:rFonts w:ascii="Times New Roman" w:cs="Times New Roman" w:eastAsia="Times New Roman" w:hAnsi="Times New Roman"/>
          <w:sz w:val="18"/>
          <w:szCs w:val="18"/>
          <w:b w:val="1"/>
          <w:bCs w:val="1"/>
          <w:color w:val="auto"/>
        </w:rPr>
        <w:t>Original Note</w:t>
      </w:r>
      <w:r>
        <w:rPr>
          <w:rFonts w:ascii="Times New Roman" w:cs="Times New Roman" w:eastAsia="Times New Roman" w:hAnsi="Times New Roman"/>
          <w:sz w:val="18"/>
          <w:szCs w:val="18"/>
          <w:color w:val="auto"/>
        </w:rPr>
        <w:t>”), (iii) that certain Registration Rights Agreement (the “</w:t>
      </w:r>
      <w:r>
        <w:rPr>
          <w:rFonts w:ascii="Times New Roman" w:cs="Times New Roman" w:eastAsia="Times New Roman" w:hAnsi="Times New Roman"/>
          <w:sz w:val="18"/>
          <w:szCs w:val="18"/>
          <w:b w:val="1"/>
          <w:bCs w:val="1"/>
          <w:color w:val="auto"/>
        </w:rPr>
        <w:t>Original RRA</w:t>
      </w:r>
      <w:r>
        <w:rPr>
          <w:rFonts w:ascii="Times New Roman" w:cs="Times New Roman" w:eastAsia="Times New Roman" w:hAnsi="Times New Roman"/>
          <w:sz w:val="18"/>
          <w:szCs w:val="18"/>
          <w:color w:val="auto"/>
        </w:rPr>
        <w:t>”), and (iv) that certain Pledge and Security Agreement (the “</w:t>
      </w:r>
      <w:r>
        <w:rPr>
          <w:rFonts w:ascii="Times New Roman" w:cs="Times New Roman" w:eastAsia="Times New Roman" w:hAnsi="Times New Roman"/>
          <w:sz w:val="18"/>
          <w:szCs w:val="18"/>
          <w:b w:val="1"/>
          <w:bCs w:val="1"/>
          <w:color w:val="auto"/>
        </w:rPr>
        <w:t>Original Security Agreement</w:t>
      </w:r>
      <w:r>
        <w:rPr>
          <w:rFonts w:ascii="Times New Roman" w:cs="Times New Roman" w:eastAsia="Times New Roman" w:hAnsi="Times New Roman"/>
          <w:sz w:val="18"/>
          <w:szCs w:val="18"/>
          <w:color w:val="auto"/>
        </w:rPr>
        <w:t>” and, together with the Original SPA, the Original Note, the Original RRA, the First Amendment, and any other documents or agreements executed in connection therewith, each as amended, restated, supplemented or otherwise modified from time to time, the “</w:t>
      </w:r>
      <w:r>
        <w:rPr>
          <w:rFonts w:ascii="Times New Roman" w:cs="Times New Roman" w:eastAsia="Times New Roman" w:hAnsi="Times New Roman"/>
          <w:sz w:val="18"/>
          <w:szCs w:val="18"/>
          <w:b w:val="1"/>
          <w:bCs w:val="1"/>
          <w:color w:val="auto"/>
        </w:rPr>
        <w:t>Original Transaction Documents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 consideration of the Investor’s continued financial support of the Company and the Investor’s willingness to enter into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to grant to the Investor, and the Investor desires to accept, the right (but not the obligation) to make one or more additional investments in the Company on the terms set forth herein, in each case on economic and structural terms substantively identical to those set forth in the Original Transaction Documents.</w:t>
      </w:r>
    </w:p>
    <w:p>
      <w:pPr>
        <w:spacing w:after="0" w:line="176" w:lineRule="exact"/>
        <w:rPr>
          <w:sz w:val="20"/>
          <w:szCs w:val="20"/>
          <w:color w:val="auto"/>
        </w:rPr>
      </w:pPr>
    </w:p>
    <w:p>
      <w:pPr>
        <w:jc w:val="both"/>
        <w:ind w:right="20"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Original Transaction Documents remain in full force and effect and are incorporated herein by reference. This Agreement supplements,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does not amend or supersede, the Original Transaction Documents, except to the limited extent of the carve-outs expressly set forth in Article IV.</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and agreements set forth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jc w:val="both"/>
        <w:ind w:right="20"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but not defined in this Agreement shall have the respective meanings ascribed to them in the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 or, if not otherwise defined therein, in the Original Note. In addition, the following terms shall have the meanings set forth below:</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Closing</w:t>
      </w:r>
      <w:r>
        <w:rPr>
          <w:rFonts w:ascii="Times New Roman" w:cs="Times New Roman" w:eastAsia="Times New Roman" w:hAnsi="Times New Roman"/>
          <w:sz w:val="18"/>
          <w:szCs w:val="18"/>
          <w:color w:val="auto"/>
        </w:rPr>
        <w:t>” means each closing of the sale and purchase of an Additional Note pursuant to an exercise (in whole or in part) of the Investment Right under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Closing Date</w:t>
      </w:r>
      <w:r>
        <w:rPr>
          <w:rFonts w:ascii="Times New Roman" w:cs="Times New Roman" w:eastAsia="Times New Roman" w:hAnsi="Times New Roman"/>
          <w:sz w:val="18"/>
          <w:szCs w:val="18"/>
          <w:color w:val="auto"/>
        </w:rPr>
        <w:t>” means the date on which an Additional Closing occurs, which shall be the second (2nd) Business Day following the date of the applicable Exercise Notice (unless the Parties otherwise agree in writing).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Conversion Shares</w:t>
      </w:r>
      <w:r>
        <w:rPr>
          <w:rFonts w:ascii="Times New Roman" w:cs="Times New Roman" w:eastAsia="Times New Roman" w:hAnsi="Times New Roman"/>
          <w:sz w:val="18"/>
          <w:szCs w:val="18"/>
          <w:color w:val="auto"/>
        </w:rPr>
        <w:t>” means the shares of Common Stock issuable upon conversion of any Additional Note in accordance with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w:t>
      </w:r>
      <w:r>
        <w:rPr>
          <w:rFonts w:ascii="Times New Roman" w:cs="Times New Roman" w:eastAsia="Times New Roman" w:hAnsi="Times New Roman"/>
          <w:sz w:val="18"/>
          <w:szCs w:val="18"/>
          <w:color w:val="auto"/>
        </w:rPr>
        <w:t>” means a Senior Secured Convertible Note of the Company issued to the Investor at an Additional Closing in the form of the Original Note, with the conforming modifications expressly set forth in Section 3.1.</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Principal</w:t>
      </w:r>
      <w:r>
        <w:rPr>
          <w:rFonts w:ascii="Times New Roman" w:cs="Times New Roman" w:eastAsia="Times New Roman" w:hAnsi="Times New Roman"/>
          <w:sz w:val="18"/>
          <w:szCs w:val="18"/>
          <w:color w:val="auto"/>
        </w:rPr>
        <w:t>” means as of any date, the Maximum Aggregate Principal Investment minus the aggregate principal amount of all Additional Notes previously issued under this Agreement (if any). The Investor’s Investment Right may not be exercised for an Additional Note in an aggregate principal amount in excess of the then-Available Principal.</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Subscription Amount</w:t>
      </w:r>
      <w:r>
        <w:rPr>
          <w:rFonts w:ascii="Times New Roman" w:cs="Times New Roman" w:eastAsia="Times New Roman" w:hAnsi="Times New Roman"/>
          <w:sz w:val="18"/>
          <w:szCs w:val="18"/>
          <w:color w:val="auto"/>
        </w:rPr>
        <w:t>” means with respect to any Additional Note, an amount equal to the aggregate principal amount of such Additional Note multiplied by 0.83333 (i.e., the principal amount net of the 16.667% original issue discount), which is the cash amount to be wired by the Investor at the applicable Additional Closing (subject to the legal-fee withholding mechanic in Section 2.8).</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means a written notice from the Investor to the Company in substantially the form attached hereto as Exhibit A, exercising the Investment Right in whole or in part.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xml:space="preserve">” means the period beginning on the Effective Date and ending on the seven (7)-month anniversary of the Effective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Exercise Period shall terminate earlier upon the occurrence of any event described in Section 2.7.</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Right</w:t>
      </w:r>
      <w:r>
        <w:rPr>
          <w:rFonts w:ascii="Times New Roman" w:cs="Times New Roman" w:eastAsia="Times New Roman" w:hAnsi="Times New Roman"/>
          <w:sz w:val="18"/>
          <w:szCs w:val="18"/>
          <w:color w:val="auto"/>
        </w:rPr>
        <w:t>” means the right, but not the obligation, of the Investor to require the Company to issue and sell to the Investor one or more Additional Notes on the terms set forth in this Agreement, in an aggregate principal amount not to exceed the Maximum Aggregate Principal Investment.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Aggregate Principal Investment</w:t>
      </w:r>
      <w:r>
        <w:rPr>
          <w:rFonts w:ascii="Times New Roman" w:cs="Times New Roman" w:eastAsia="Times New Roman" w:hAnsi="Times New Roman"/>
          <w:sz w:val="18"/>
          <w:szCs w:val="18"/>
          <w:color w:val="auto"/>
        </w:rPr>
        <w:t>” means Four Million U.S. Dollars ($4,000,000), representing the maximum aggregate principal (face) amount of Additional Notes that may be issued under this Agreement. For the avoidance of doubt, the corresponding aggregate Cash Subscription Amount across all Additional Notes (i.e., the maximum aggregate cash to be wired by the Investor under this Agreement, before legal-fee withholdings) is $3,333,333.33, calculated as the Maximum Aggregate Principal Investment multiplied by 0.83333 and reflecting the 16.667% original issue discount applied on the same basis as the Original Note.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Tranche</w:t>
      </w:r>
      <w:r>
        <w:rPr>
          <w:rFonts w:ascii="Times New Roman" w:cs="Times New Roman" w:eastAsia="Times New Roman" w:hAnsi="Times New Roman"/>
          <w:sz w:val="18"/>
          <w:szCs w:val="18"/>
          <w:color w:val="auto"/>
        </w:rPr>
        <w:t xml:space="preserve">” means Three Hundred Thousand U.S. Dollars ($300,000) of aggregate principal amount of Additional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final Exercise Notice may be in any amount up to the then-Available Principal.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collectively, this Agreement, each Additional Note, each Joinder and Reaffirmation Agreement, each UCC amendment filed in connection herewith, each amendment to the Original RRA entered into hereunder, and all other documents or agreements executed in connection with the transactions contemplated hereby, in each case as amended, restated, supplemented or otherwise modified from time to time. For the avoidance of doubt, the Original Transaction Documents are also Transaction Documents under the Original SPA and the Original Note, and references herein to “Transaction Documents” shall include the Original Transaction Documents unless the context otherwise requires.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INVESTMENT RIGHT</w:t>
      </w:r>
    </w:p>
    <w:p>
      <w:pPr>
        <w:spacing w:after="0" w:line="203"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Grant of Investment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and on the terms and conditions of this Agreement, the Company hereby grants to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Right. The Investment Right is exercisable in whole or in part, in one or more tranches, in each case in an amount not less than the Minimum Tranche (subject to the proviso in the definition thereof), at any time and from time to time during the Exercise Period. The Investment Right is exercisable solely at the option of the Investor; the Investor has no obligation to exercise the Investment Right.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Exercise Mechanics.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exercise the Investment Right (in whole or in part), the Investor shall deliver an Exercise Notice to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Notice shall specify (i) the aggregate principal amount of the Additional Note the Investor elects to acquire at the applicable Additional Closing (which shall not exceed the then-Available Principal), (ii) the corresponding Cash Subscription Amount (calculated as the elected principal amount multiplied by 0.83333), and (iii) the proposed Additional Closing Date (which shall be the second (2nd) Business Day following delivery of the Exercise Notice unless otherwise agreed in writing). All notices delivered under this Agreement shall be delivered in accordance with Section 5.4 of the Original SPA, which is incorporated herein by reference.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Multiple Exercises; Reinstatement.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may deliver successive Exercise Notices at any time during the Exercise Period.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partial exercise of the Investment Right, the Investment Right shall not be exhausted but shall remain exercisable for the then-Available Principal, until the earlier of (i) issuance of Additional Notes in an aggregate principal amount equal to the Maximum Aggregate Principal Investment and (ii) expiration or earlier termination of the Exercise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Company Deliveries at Each Additional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Additional Closing, the Company shall deliver, or cause to be delivered,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the following, each in form and substance reasonably satisfactory to the Investor:</w:t>
      </w:r>
    </w:p>
    <w:p>
      <w:pPr>
        <w:spacing w:after="0" w:line="207" w:lineRule="exact"/>
        <w:rPr>
          <w:sz w:val="20"/>
          <w:szCs w:val="20"/>
          <w:color w:val="auto"/>
        </w:rPr>
      </w:pPr>
    </w:p>
    <w:p>
      <w:pPr>
        <w:ind w:left="1540" w:hanging="236"/>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Note in the elected aggregate principal amount, duly executed by the Company, conforming to Section 3.1;</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Joinder and Reaffirmation Agreement to the Original Security Agreement, duly executed by the Company, confirming that (i) the Additional Note constitutes a “Note” and the indebtedness evidenced thereby constitutes “Obligations” under the Original Security Agreement, (ii) all liens and security interests granted under the Original Security Agreement secure the Additional Note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Original Note, and (iii) any scrivener’s discrepancy as to principal amount in the recitals of the Original Security Agreement is superseded by the aggregate principal amount of the Original Note and all then-outstanding Additional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jc w:val="both"/>
        <w:ind w:left="-460" w:firstLine="644"/>
        <w:spacing w:after="0" w:line="256" w:lineRule="auto"/>
        <w:tabs>
          <w:tab w:leader="none" w:pos="4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joinder to the Original RRA, duly executed by the Company, providing that (i) all Additional Conversion Shares constitute “Registrable Securities” thereunder, (ii) a new Filing Deadline of fourteen (14) calendar days following the applicable Additional Closing Date applies in respect of such Additional Conversion Shares (either as an amendment to the existing Registration Statement or a New Registration Statement, at the Investor’s election), (iii) the Effectiveness Deadline mechanic in Section 2(b) of the Original RRA applies on identical terms in respect of such filing, and (iv) the liquidated damages provisions in Section 2(c) of the Original RRA apply independently in respect of any failure relating to such filing or effectiveness;</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Uniform Commercial Code financing statement amendment (UCC-3) in form and substance reasonably acceptable to the Investor, to be filed by the Investor or its counsel, reflecting the increased secured indebtedness;</w:t>
      </w:r>
    </w:p>
    <w:p>
      <w:pPr>
        <w:spacing w:after="0" w:line="15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executed by a duly authorized officer of the Company (the “</w:t>
      </w:r>
      <w:r>
        <w:rPr>
          <w:rFonts w:ascii="Times New Roman" w:cs="Times New Roman" w:eastAsia="Times New Roman" w:hAnsi="Times New Roman"/>
          <w:sz w:val="18"/>
          <w:szCs w:val="18"/>
          <w:b w:val="1"/>
          <w:bCs w:val="1"/>
          <w:color w:val="auto"/>
        </w:rPr>
        <w:t>Bring-Down Certificate</w:t>
      </w:r>
      <w:r>
        <w:rPr>
          <w:rFonts w:ascii="Times New Roman" w:cs="Times New Roman" w:eastAsia="Times New Roman" w:hAnsi="Times New Roman"/>
          <w:sz w:val="18"/>
          <w:szCs w:val="18"/>
          <w:color w:val="auto"/>
        </w:rPr>
        <w:t>”) certifying that: (i) all representations and warranties of the Company in Section 3.1 of the Original SPA are true and correct in all material respects as of the Additional Closing Date (other than reps and warranties speaking as of a specific earlier date, which shall be true and correct in all material respects as of such earlier date); (ii) the Company has performed in all material respects all covenants and obligations required to be performed by it under the Transaction Documents on or prior to the Additional Closing Date; (iii) no Event of Default has occurred and is continuing, and no event has occurred that, with the giving of notice or the passage of time or both, would constitute an Event of Default; (iv) no Material Adverse Effect has occurred and is continuing; (v) the Common Stock remains listed on the Principal Market and has not been suspended from trading; and (vi) the Company has sufficient authorized and unissued shares of Common Stock to satisfy the Reserved Amount required under Section 12(g) of the Original Note (calculated as three (3) times the issuable Conversion Shares for the Original Note and all then-outstanding and to-be-issued Additional Notes);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of the Company certifying (i) the resolutions of the Board of Directors authorizing the Additional Note, the increase in the Reserved Amount, and the other transactions contemplated by this Agreement and the applicable Exercise Notice, (ii) the incumbency of officers executing the Transaction Documents, and (iii) that the Certificate of Incorporation and Bylaws of the Company attached thereto are true, complete, and in effect;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Company’s outside counsel, dated the Additional Closing Date, substantially in the form delivered at the original Closing (with such modifications as are necessary to address the Additional Note), reasonably satisfactory to the Investor and its counsel;</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0" w:name="page91"/>
    <w:bookmarkEnd w:id="90"/>
    <w:p>
      <w:pPr>
        <w:ind w:left="660" w:firstLine="644"/>
        <w:spacing w:after="0" w:line="282" w:lineRule="auto"/>
        <w:tabs>
          <w:tab w:leader="none" w:pos="15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irrevocable instructions to the Company’s Transfer Agent reflecting the increased Reserved Amount, with a copy of the acknowledged instruction letter delivered to the Investor;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Disclosure Schedules to the Original SPA (or a written certification that no updates are required), accompanying the Bring-Down Certificate;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certificates, and instruments as the Investor or its counsel may reasonably request to evidence consummation of the transactions contemplated by the applicable Exercise Notice and this Agreement.</w:t>
      </w:r>
    </w:p>
    <w:p>
      <w:pPr>
        <w:spacing w:after="0" w:line="158"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Investor Deliveries at Each Additional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Additional Closing, the Investor shall deliver, or cause to be delivered,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a counterpart of any Joinder and Reaffirmation Agreement, RRA amendment or joinder, and other Transaction Documents requiring the Investor’s signature, in each case duly executed by the Investor; and (ii) the Cash Subscription Amount, by wire transfer of immediately available funds to the account specified in writing by the Company, net of the amount withheld in respect of legal fees pursuant to Section 2.8.</w:t>
      </w:r>
    </w:p>
    <w:p>
      <w:pPr>
        <w:spacing w:after="0" w:line="176"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 of the Investor to consummate any Additional Closing is subject, in each instance, to the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in writing by the Investor) of the following conditions precedent as of the Additional Closing Date:</w:t>
      </w:r>
    </w:p>
    <w:p>
      <w:pPr>
        <w:spacing w:after="0" w:line="159" w:lineRule="exact"/>
        <w:rPr>
          <w:sz w:val="20"/>
          <w:szCs w:val="20"/>
          <w:color w:val="auto"/>
        </w:rPr>
      </w:pPr>
    </w:p>
    <w:p>
      <w:pPr>
        <w:ind w:left="1540" w:hanging="236"/>
        <w:spacing w:after="0"/>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deliveries under Section 2.4 shall have been made;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shall have occurred and be continuing, and no event shall have occurred that, with the giving of notice or the passage of time or both, would constitute an Event of Default;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the Original SPA shall be true and correct in all material respects as of the Additional Closing Date, as if made on such date (other than reps and warranties speaking as of a specific earlier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shall have occurred and be continuing;</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shall continue to be listed on the Principal Market and shall not have been suspended from trading by the Principal Market or the Commission;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authorized and reserved a number of shares of Common Stock sufficient to satisfy the Reserved Amount required under Section 12(g) of the Original Note, calculated to take account of the Additional Note to be issued at such Additional Closing together with the Original Note and any other then-outstanding Additional Notes;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approvals or consents (including, without limitation, any Required Approvals as defined in the Original SPA) shall have been obtained and remain in effect;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ind w:left="660" w:firstLine="644"/>
        <w:spacing w:after="0" w:line="282" w:lineRule="auto"/>
        <w:tabs>
          <w:tab w:leader="none" w:pos="15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proceeding, claim, arbitration, or investigation shall have been instituted against the Company or the Investor that seeks to restrain, prohibit, or invalidate the consummation of the transactions contemplated by this Agreement or the applicable Exercise Notice.</w:t>
      </w:r>
    </w:p>
    <w:p>
      <w:pPr>
        <w:spacing w:after="0" w:line="158" w:lineRule="exact"/>
        <w:rPr>
          <w:sz w:val="20"/>
          <w:szCs w:val="20"/>
          <w:color w:val="auto"/>
        </w:rPr>
      </w:pPr>
    </w:p>
    <w:p>
      <w:pPr>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u w:val="single" w:color="auto"/>
          <w:color w:val="auto"/>
        </w:rPr>
        <w:t>Termination of Investment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Investment Right shall terminate, and no further Exercise Notices may be delivered, upon the earliest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occur of:</w:t>
      </w:r>
    </w:p>
    <w:p>
      <w:pPr>
        <w:spacing w:after="0" w:line="159" w:lineRule="exact"/>
        <w:rPr>
          <w:sz w:val="20"/>
          <w:szCs w:val="20"/>
          <w:color w:val="auto"/>
        </w:rPr>
      </w:pPr>
    </w:p>
    <w:p>
      <w:pPr>
        <w:ind w:left="1540" w:hanging="236"/>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Exercise Period in accordance with its terms;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Additional Notes have been issued under this Agreement in an aggregate principal amount equal to the Maximum Aggregate Principal Investment;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delivery to the Company of a written waiver and termination of the Investment Right; and</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consummation of a Fundamental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occurrence of a Fundamental Transaction, the Investment Right shall not be canceled or cashed out, but shall instead be converted into the right to receive, upon any subsequent exercise (had the Investor exercised immediately prior to the Fundamental Transaction), the Alternate Consideration to which the Investor would have been entitled, on the same basis as the Original Note under Section 7 of the Original Note. The Company shall make appropriate provision (and shall cause any successor entity to make appropriate provision) to give effect to the foregoing, including, without limitation, by causing any successor entity to assume in writing all obligations of the Company under this Agreement and the other Transaction Documents on terms reasonably satisfactory to the Investor, and such provision shall be a required condition to the consummation of the Fundamental Transaction.</w:t>
      </w:r>
    </w:p>
    <w:p>
      <w:pPr>
        <w:spacing w:after="0" w:line="185" w:lineRule="exact"/>
        <w:rPr>
          <w:sz w:val="20"/>
          <w:szCs w:val="20"/>
          <w:color w:val="auto"/>
        </w:rPr>
      </w:pPr>
    </w:p>
    <w:p>
      <w:pPr>
        <w:ind w:right="80" w:firstLine="647"/>
        <w:spacing w:after="0" w:line="266" w:lineRule="auto"/>
        <w:rPr>
          <w:sz w:val="20"/>
          <w:szCs w:val="20"/>
          <w:color w:val="auto"/>
        </w:rPr>
      </w:pPr>
      <w:r>
        <w:rPr>
          <w:rFonts w:ascii="Times New Roman" w:cs="Times New Roman" w:eastAsia="Times New Roman" w:hAnsi="Times New Roman"/>
          <w:sz w:val="18"/>
          <w:szCs w:val="18"/>
          <w:color w:val="auto"/>
        </w:rPr>
        <w:t>For the avoidance of doubt, neither (i) any prepayment of the Original Note by the Company (whether in whole or in part, and whether at the Prepayment Premium or otherwise) nor (ii) any conversion in full of the Original Note shall, by itself, terminate the Investment Right prior to expiration of the Exercise Period.</w:t>
      </w:r>
    </w:p>
    <w:p>
      <w:pPr>
        <w:spacing w:after="0" w:line="172"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Legal Fee Reimbursement.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Additional Closing, the Company shall reimburse the Investor for its legal fees and expenses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such Additional Closing in an amount not to exceed Twenty-Five Thousand U.S. Dollars ($25,000) (or such higher amount as may be agreed in writing by the Parties), which amount shall be withheld by the Investor from the Cash Subscription Amount otherwise payable at such Additional Closing in the same manner as set forth in Section 5.2 of the Original SPA and Section 1 of the Original Note. The principal amount of the Additional Note shall be calculated by reference to the gross Cash Subscription Amount before such withholding.</w:t>
      </w:r>
    </w:p>
    <w:p>
      <w:pPr>
        <w:spacing w:after="0" w:line="179"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use the net proceeds received from each Additional Closing for the purposes permitted by,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restrictions of, Section 4.9 of the Original SPA, which is incorporated herein by reference and applies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such proceeds.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b w:val="1"/>
          <w:bCs w:val="1"/>
          <w:u w:val="single" w:color="auto"/>
          <w:color w:val="auto"/>
        </w:rPr>
        <w:t>Public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publicly disclose the material terms of this Agreement in a filing with the Commission no later than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5:30 p.m. (New York City time) on Friday, May 15, 2026. In addition, the Company shall publicly disclose the material terms of each Additional Closing (including the Additional Note issued in connection therewith) in a filing with the Commission within four (4) Business Days following the applicable Additional Closing Date. In each case, the form of such disclosure (whether by Current Report on Form 8-K, Quarterly Report on Form 10-Q, or otherwise) shall be at the Company’s election; provided that in each case such filing shall be sufficient to publicly disclose all material, non-public information delivered to the Investor in connection with this Agreement and the applicable Additional Closing.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EACH ADDITIONAL NOTE; SAME TERMS</w:t>
      </w:r>
    </w:p>
    <w:p>
      <w:pPr>
        <w:spacing w:after="0" w:line="203"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Same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Additional Note shall be substantially in the form of the Original Note, with the following conforming modifications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clarifications (and only such modifications and clarifications):</w:t>
      </w:r>
    </w:p>
    <w:p>
      <w:pPr>
        <w:spacing w:after="0" w:line="159" w:lineRule="exact"/>
        <w:rPr>
          <w:sz w:val="20"/>
          <w:szCs w:val="20"/>
          <w:color w:val="auto"/>
        </w:rPr>
      </w:pPr>
    </w:p>
    <w:p>
      <w:pPr>
        <w:ind w:left="660" w:firstLine="644"/>
        <w:spacing w:after="0" w:line="282" w:lineRule="auto"/>
        <w:tabs>
          <w:tab w:leader="none" w:pos="15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Amount.</w:t>
      </w:r>
      <w:r>
        <w:rPr>
          <w:rFonts w:ascii="Times New Roman" w:cs="Times New Roman" w:eastAsia="Times New Roman" w:hAnsi="Times New Roman"/>
          <w:sz w:val="18"/>
          <w:szCs w:val="18"/>
          <w:color w:val="auto"/>
        </w:rPr>
        <w:t xml:space="preserve"> the aggregate principal amount of the Additional Note shall be the amount specified in the applicable Exercise Notice (which shall not exceed the then-Available Principal);</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xml:space="preserve"> the original issue discount shall be sixteen and two-thirds percent (16.667%) of the principal amount of the Additional Note (with the Cash Subscription Amount equal to the principal amount multiplied by 0.83333). For the avoidance of doubt, the Parties acknowledge that 16.667% controls notwithstanding the reference to “15%” in Section 1 of the Original Note, which the Parties acknowledge is a scrivener’s error;</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xml:space="preserve"> the Issuance Date of the Additional Note shall be the applicable Additional Closing Date;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the Maturity Date of the Additional Note shall be the date that is four (4) months following the Issuance Date of such Additional Note (and shall not be tied to the Maturity Date of the Original Note);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the Interest Rate shall be ten percent (10%) per annum and the Default Interest Rate shall be eighteen percent (18%) per annum, in each case calculated and payable on the same basis as the Original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the Conversion Price shall be the lesser of (i) the Closing Price on the Additional Closing Date of such Additional Note (i.e., the Issuance Date of such Additional Note) and (ii) 85% of the lowest 8-day VWAP immediately prior to and including the date of the Notice of Conversion. For the avoidance of doubt, the reference price under clause (i) shall be the Closing Price on the relevant Additional Closing Date, not on the original Closing Date of March 31,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ind w:left="660" w:firstLine="644"/>
        <w:spacing w:after="0" w:line="282" w:lineRule="auto"/>
        <w:tabs>
          <w:tab w:leader="none" w:pos="156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Premiums.</w:t>
      </w:r>
      <w:r>
        <w:rPr>
          <w:rFonts w:ascii="Times New Roman" w:cs="Times New Roman" w:eastAsia="Times New Roman" w:hAnsi="Times New Roman"/>
          <w:sz w:val="18"/>
          <w:szCs w:val="18"/>
          <w:color w:val="auto"/>
        </w:rPr>
        <w:t xml:space="preserve"> the Prepayment Premium shall be one hundred fifteen percent (115%) and the Default Premium shall be one hundred twenty-five percent (125%), in each case as provided in the Original Note;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 Amount.</w:t>
      </w:r>
      <w:r>
        <w:rPr>
          <w:rFonts w:ascii="Times New Roman" w:cs="Times New Roman" w:eastAsia="Times New Roman" w:hAnsi="Times New Roman"/>
          <w:sz w:val="18"/>
          <w:szCs w:val="18"/>
          <w:color w:val="auto"/>
        </w:rPr>
        <w:t xml:space="preserve"> the Reserved Amount methodology shall continue to apply on an aggregate basis: the Company shall at all times reserve and keep available, free from preemptive rights, three (3) times the aggregate number of shares of Common Stock issuable upon full conversion of the Original Note and all then-outstanding Additional Notes (in each case calculated based on the then-effective Conversion Price for each such Note);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w:t>
      </w:r>
      <w:r>
        <w:rPr>
          <w:rFonts w:ascii="Times New Roman" w:cs="Times New Roman" w:eastAsia="Times New Roman" w:hAnsi="Times New Roman"/>
          <w:sz w:val="18"/>
          <w:szCs w:val="18"/>
          <w:color w:val="auto"/>
        </w:rPr>
        <w:t xml:space="preserve"> the Exchange Cap mechanism under Section 4(c)(ii) of the Original Note and the Cap Payment (120% of the remaining unconverted amounts in cash within ten (10) calendar days of the Cap Payment Date) shall apply on an aggregate basis across the Original Note and all Additional Notes, consistent with the Original Note’s reference to shares issued or issuable pursuant to the Transaction Documents.</w:t>
      </w:r>
    </w:p>
    <w:p>
      <w:pPr>
        <w:spacing w:after="0" w:line="172"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MFN Inheritance.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at any time prior to an Additional Closing, the Economic Terms (as defined in Section 9(a) of the Original Note)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Note have been adjusted, modified, or amended (whether by operation of the Most-Favored-Nation provision in Section 9(a), the Anti-Dilution provision in Section 9(b), the application of Section 4(b)(iii) of the Original Note, the MFN Triggering Transaction mechanic, or otherwise), the Additional Note issued at such Additional Closing shall reflect such adjusted, modified, or amended Economic Terms as in effect as of the Additional Closing Date. In no event shall an Additional Note issue on Economic Terms less favorable to the Investor than the Original Note as then in effect.</w:t>
      </w:r>
    </w:p>
    <w:p>
      <w:pPr>
        <w:spacing w:after="0" w:line="179"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Senior Status; 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Additional Note shall constitute senior secured indebtedness of the Company. The indebtedness,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security interests evidenced or created by each Additional Note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those of the Original Note and any other Additional Notes, with equal priority of payment and equal entitlement to the Collateral under the Original Security Agreement. Any payments, prepayments, or recoveries on or in respect of the Notes shall, unless the Investor otherwise directs in writing, be applied pro rata across the outstanding Obligations under the Original Note and the Additional Notes in proportion to their respective outstanding balances.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CARVE-OUTS FROM ORIGINAL TRANSACTION DOCUMENTS</w:t>
      </w:r>
    </w:p>
    <w:p>
      <w:pPr>
        <w:spacing w:after="0" w:line="203"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Pre-Agreed Subsequent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and agree that each issuance of an Additional Note pursuant to the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Investment Right is a pre-agreed Subsequent Financing within the meaning of Section 4.12 of the Original SPA. Accordingly, no Subsequent Financing Notice shall be required, and the Investor shall not be deemed to have declined any Right of First Refusal or Right of Participation, in respect of any such issuance. For the avoidance of doubt, Section 4.12 of the Original SPA shall continue to apply to all other Subsequent Financings.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Carve-Out from MFN.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any Additional Note pursuant to this Agreement shall not constitute an MFN Triggering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9(a) of the Original Note, and no Economic Terms of any Additional Note shall give rise to any rights of the Investor (or any other Person) under Section 9(a) of the Original Note. The provisions of this Section 4.2 do not limit the operation of Section 3.2 of this Agreement (MFN Inheritance), which operates for the benefit of the Investor.</w:t>
      </w:r>
    </w:p>
    <w:p>
      <w:pPr>
        <w:spacing w:after="0" w:line="176"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Carve-Out from Anti-Dilution.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any Additional Note pursuant to this Agreement, and the establishment of the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thereof in accordance with Section 3.1(f), shall not constitute a Dilutive Issuance for purposes of Section 9(b) of the Original Note or any then-outstanding Additional Note, and shall not result in any adjustment to the Conversion Price of any other Note. The provisions of Section 9(b) shall continue to apply to all other issuances by the Company or its Subsidiaries.</w:t>
      </w:r>
    </w:p>
    <w:p>
      <w:pPr>
        <w:spacing w:after="0" w:line="176"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Carve-Out from Variable Rate Transaction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any Additional Note pursuant to this Agreement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Variable Rate Transaction under Section 6(a)(xxv) of the Original Note. Without limiting the foregoing, the Company shall not be required to apply any net proceeds received from any Additional Closing to the repayment of the Original Note or any other Additional Note under Section 6(a)(xxv).</w:t>
      </w:r>
    </w:p>
    <w:p>
      <w:pPr>
        <w:spacing w:after="0" w:line="171"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Carve-Out from Mandatory Repayment from Future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any Additional Note pursuant to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proceeds received by the Company therefrom, shall not be subject to, or trigger any obligation under, Section 12(h) of the Original Note (Mandatory Repayment from Future Proceeds). For the avoidance of doubt, the 40% sweep mechanic under Section 12(h) of the Original Note shall continue to apply to all other future issuances and sales described therein.</w:t>
      </w:r>
    </w:p>
    <w:p>
      <w:pPr>
        <w:spacing w:after="0" w:line="176" w:lineRule="exact"/>
        <w:rPr>
          <w:sz w:val="20"/>
          <w:szCs w:val="20"/>
          <w:color w:val="auto"/>
        </w:rPr>
      </w:pPr>
    </w:p>
    <w:p>
      <w:pPr>
        <w:jc w:val="both"/>
        <w:ind w:right="20"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Limited Scope.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modified by this Article IV, all provisions of the Original Transaction Documents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the ROFR/ROP, MFN, Anti-Dilution, Variable Rate Transaction restriction, and Mandatory Repayment from Future Proceeds provisions) shall continue in full force and effect in accordance with their terms.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CAPS AND LIMITATIONS</w:t>
      </w:r>
    </w:p>
    <w:p>
      <w:pPr>
        <w:spacing w:after="0" w:line="203"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Exchange Cap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Cap set forth in Section 4(c)(ii) of the Original Note shall apply on an aggregate basis across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Note and all Additional Notes. The Cap Payment (i.e., payment of 120% of the unconverted Obligations in cash within ten (10) calendar days of the Cap Payment Date) shall be available to the Investor on the same terms and shall apply to the aggregate Obligations under the Original Note and all Additional Notes that cannot be issued in shares of Common Stock by reason of the Exchange Cap. The Company’s obligations to monitor the Exchange Cap and to inform the Investor when and if it is reached extend to the aggregate position.</w:t>
      </w:r>
    </w:p>
    <w:p>
      <w:pPr>
        <w:spacing w:after="0" w:line="179"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Beneficial Ownership Limitation set forth in Section 4(c)(i) of the Original Note shall apply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basis across the Original Note, all Additional Notes, and all shares of Common Stock and other securities of the Company beneficially owned by the Investor and its Affiliates and Attribution Parties at the applicable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jc w:val="both"/>
        <w:ind w:firstLine="64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Stockholder Approval; Nasdaq Rule 5635(d).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Investor’s exercise of the Investment Right is not conditioned upon, and shall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Stockholder Approval under Nasdaq Listing Rule 5635(d) or any successor provision. If at any time the aggregate issuance of Conversion Shares under the Original Note and all Additional Notes is or would be limited by the Stockholder Approval Limitation under Section 4(c)(iii)(A) of the Original Note, then (a) the limitation, deferred conversion, and Stockholder Approval-seeking obligations under Sections 4(c)(iii)(A), (B), and (C) of the Original Note shall apply on an aggregate basis to the Original Note and all Additional Notes; (b) the Cap Payment under Section 4(c)(ii) of the Original Note shall remain available to the Investor in respect of any amounts that cannot be issued in shares; and (c) the Company’s failure to obtain such Stockholder Approval within the 45-day period set forth in Section 4(c)(iii)(C) shall constitute an Event of Default under both the Original Note and each then-outstanding Additional Note.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FOR ADDITIONAL CONVERSION SHARES</w:t>
      </w:r>
    </w:p>
    <w:p>
      <w:pPr>
        <w:spacing w:after="0" w:line="203"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Amendment to Original RRA.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or prior to each Additional Closing, the Company shall enter into an amendment to (or, at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a joinder of additional securities under) the Original RRA, providing that:</w:t>
      </w:r>
    </w:p>
    <w:p>
      <w:pPr>
        <w:spacing w:after="0" w:line="159" w:lineRule="exact"/>
        <w:rPr>
          <w:sz w:val="20"/>
          <w:szCs w:val="20"/>
          <w:color w:val="auto"/>
        </w:rPr>
      </w:pPr>
    </w:p>
    <w:p>
      <w:pPr>
        <w:ind w:left="660" w:firstLine="644"/>
        <w:spacing w:after="0" w:line="282" w:lineRule="auto"/>
        <w:tabs>
          <w:tab w:leader="none" w:pos="15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Conversion Shares issuable upon conversion of the Additional Note then being issued shall constitute “Registrable Securities” under the Original RRA;</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Commission, no later than fourteen (14) calendar days after the Additional Closing Date (the “</w:t>
      </w:r>
      <w:r>
        <w:rPr>
          <w:rFonts w:ascii="Times New Roman" w:cs="Times New Roman" w:eastAsia="Times New Roman" w:hAnsi="Times New Roman"/>
          <w:sz w:val="18"/>
          <w:szCs w:val="18"/>
          <w:b w:val="1"/>
          <w:bCs w:val="1"/>
          <w:color w:val="auto"/>
        </w:rPr>
        <w:t>Additional Filing Deadline</w:t>
      </w:r>
      <w:r>
        <w:rPr>
          <w:rFonts w:ascii="Times New Roman" w:cs="Times New Roman" w:eastAsia="Times New Roman" w:hAnsi="Times New Roman"/>
          <w:sz w:val="18"/>
          <w:szCs w:val="18"/>
          <w:color w:val="auto"/>
        </w:rPr>
        <w:t>”), either (i) a post-effective amendment to the then-effective Registration Statement, or (ii) a New Registration Statement, in each case covering the resale of all Additional Conversion Shares (at the Investor’s election);</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Deadline mechanic set forth in Section 2(b) of the Original RRA (including the Shutdown Extension)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to such filing;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liquidated damages provisions set forth in Section 2(c) of the Original RRA (i.e., $100,000 upfront, plus 2% per 30-day period of the value of the Registrable Securities) shall apply independently in respect of any failure relating to the Additional Filing Deadline, the corresponding Effectiveness Deadline, or any failure to maintain effectiveness, and shall be in addition to (and not in lieu of) any other remedies available to the Investor, including under the Original Note, any Additional Note, or otherwise; and</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Original RRA shall continue to apply to the Additional Conversion Shares on the same terms and to the same extent as they apply to the Conversion Shares of the Original Note.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INTEREST</w:t>
      </w:r>
    </w:p>
    <w:p>
      <w:pPr>
        <w:spacing w:after="0" w:line="20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Pari Passu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each Additional Closing, the Company shall execute and deliver to the Investor a Joinder and Reaffirmation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 form and substance reasonably satisfactory to the Investor, pursuant to which (i) the Additional Note shall constitute a “Note” and the indebtedness evidenced thereby shall constitute “Obligations” under the Original Security Agreement; (ii) the liens and security interests granted by the Company under the Original Security Agreement shall continue to attach to the Collateral as security for all Obligations, including the Additional Note,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Original Note and any other Additional Notes; and (iii) any inconsistency between the recital of principal amount in the Original Security Agreement and the actual aggregate principal amount of the Original Note and all then-outstanding Additional Notes is hereby resolved in favor of the actual aggregate principal amount.</w:t>
      </w:r>
    </w:p>
    <w:p>
      <w:pPr>
        <w:spacing w:after="0" w:line="183"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UCC Filings.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and its counsel are authorized to prepare and file such UCC-3 financing statement amendments as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advisable to reflect the increased secured indebtedness, and the Company shall cooperate with such filings and execute such acknowledgments or authorizations as the Investor may reasonably request. The Company shall pay all filing fees and out-of-pocket costs associated with such UCC-3 filings.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3"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Company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makes, as of the Effective Date and as of each Additional Closing Date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Bring-Down Certificate mechanic in Section 2.4(e)), each of the representations and warranties set forth in Section 3.1 of the Original SPA as if such representations and warranties were set forth in full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references to “the Note,” “the Securities,” and “the Transaction Documents” being deemed to include the Additional Note(s), the Additional Conversion Shares, and the documents executed under this Agreement, as applicable).</w:t>
      </w:r>
    </w:p>
    <w:p>
      <w:pPr>
        <w:spacing w:after="0" w:line="179"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Investor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hereby makes, as of the Effective Date and as of each Additional Closing Date,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set forth in Section 3.2 of the Original SPA (or, to the extent the Original SPA contains the Investor’s representations in another section, that section), including without limitation that the Investor is an “accredited investor” within the meaning of Rule 501(a) of Regulation D under the Securities Act, that it is acquiring the Additional Note(s) for its own account and not with a view to or for distribution in violation of the Securities Act, and that it has the full corporate or other power and authority to enter into this Agreement and consummate the transactions contemplated hereby.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demands, requests, consents, approvals, and other communications required or permitted hereunder or under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 shall be delivered in accordance with Section 5.4 of the Original SPA, which is incorporated herein by reference as if set forth herein in full.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7" w:name="page98"/>
    <w:bookmarkEnd w:id="97"/>
    <w:p>
      <w:pPr>
        <w:jc w:val="both"/>
        <w:ind w:firstLine="64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Governing Law; Dispute Resolution.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rights and obligations of the Parties hereunder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Delaware, without regard to principles of conflicts of laws. Any dispute, claim, or controversy arising out of or relating to this Agreement, including the determination of the scope or applicability of this agreement to arbitrate, shall be resolved exclusively in accordance with Section 5.9 of the Original SPA, which is incorporated herein by reference. Without limiting the foregoing, requests for specific performance, temporary, preliminary or permanent injunctive relief, the appointment of a receiver, and the enforcement of security interests and other remedies with respect to the Collateral shall not be subject to arbitration and shall be adjudicated as set forth in Section 5.9(b) of the Original SPA.</w:t>
      </w:r>
    </w:p>
    <w:p>
      <w:pPr>
        <w:spacing w:after="0" w:line="182"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Specific Performance; Equitable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acknowledges that a breach by it of any of its obligations hereunder will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irreparable harm to the other Party. Accordingly, each Party agrees that, in the event of a breach or threatened breach by it of any of its obligations under this Agreement, the other Party shall be entitled, in addition to all other remedies available at law or in equity, to seek and obtain temporary restraining orders, temporary and permanent injunctions, specific performance, and other equitable relief, in each case without the necessity of showing economic loss and without the necessity of posting a bond or other security.</w:t>
      </w:r>
    </w:p>
    <w:p>
      <w:pPr>
        <w:spacing w:after="0" w:line="17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may assign, in whole or in part, its rights and obligations under this Agreement (including the unexercised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Investment Right): (a) to any Affiliate of the Investor, without the consent of the Company; and (b) to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executes and delivers to the Company a written joinder pursuant to which such Person agrees to be bound by this Agreement and the other Transaction Documents to the same extent as the Investor. No consent of the Company is required for any assignment permitted hereunder. The Company may not assign this Agreement or any of its rights or obligations hereunder (whether by operation of law or otherwise) without the prior written consent of the Investor, except that the Company may assign this Agreement to a successor in a Fundamental Transaction in compliance with Section 7 of the Original Note. Any purported assignment in contravention of this Section 9.4 shall be null and void.</w:t>
      </w:r>
    </w:p>
    <w:p>
      <w:pPr>
        <w:spacing w:after="0" w:line="183"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intended for the benefit of the Parties and their respective successors and permitted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not for the benefit of, nor may any provision hereof be enforced by, any other Person, except as otherwise expressly set forth herein.</w:t>
      </w:r>
    </w:p>
    <w:p>
      <w:pPr>
        <w:spacing w:after="0" w:line="155"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provision of this Agreement may be waived, modified, supplemented, or amended except in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signed, in the case of an amendment, by the Company and the Investor,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together with the Original Transaction Documents, contains the entire understanding of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all prior agreements and understandings, oral or written, with respect thereto, other than the Original Transaction Documents themselves, which remain in full force and effect except as expressly modified by this Agreement.</w:t>
      </w:r>
    </w:p>
    <w:p>
      <w:pPr>
        <w:spacing w:after="0" w:line="171"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Agreement is held to be invalid, illegal, or unenforceable, such provision shall be deemed amended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extent necessary to render it valid, legal, and enforceable, and the validity, legality, and enforceability of the remaining provisions shall not in any way be affected or impaired thereby.</w:t>
      </w:r>
    </w:p>
    <w:p>
      <w:pPr>
        <w:spacing w:after="0" w:line="171"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9.9 </w:t>
      </w:r>
      <w:r>
        <w:rPr>
          <w:rFonts w:ascii="Times New Roman" w:cs="Times New Roman" w:eastAsia="Times New Roman" w:hAnsi="Times New Roman"/>
          <w:sz w:val="18"/>
          <w:szCs w:val="18"/>
          <w:b w:val="1"/>
          <w:bCs w:val="1"/>
          <w:u w:val="single" w:color="auto"/>
          <w:color w:val="auto"/>
        </w:rPr>
        <w:t>Counterparts; Electronic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which together shall constitute one and the same instrument. Electronic signatures (including DocuSign, Adobe Sign, and PDF copies of original signatures) shall be deemed original signatures for all purposes.</w:t>
      </w:r>
    </w:p>
    <w:p>
      <w:pPr>
        <w:spacing w:after="0" w:line="171"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9.10 </w:t>
      </w:r>
      <w:r>
        <w:rPr>
          <w:rFonts w:ascii="Times New Roman" w:cs="Times New Roman" w:eastAsia="Times New Roman" w:hAnsi="Times New Roman"/>
          <w:sz w:val="18"/>
          <w:szCs w:val="18"/>
          <w:b w:val="1"/>
          <w:bCs w:val="1"/>
          <w:u w:val="single" w:color="auto"/>
          <w:color w:val="auto"/>
        </w:rPr>
        <w:t>Independent Nature of Investor’s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 constitutes an obligation of the Investor to exercise the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to fund any Additional Closing absent a duly delivered Exercise Notice or (ii) limits any rights or remedies of the Investor under the Original Transaction Documents.</w:t>
      </w:r>
    </w:p>
    <w:p>
      <w:pPr>
        <w:spacing w:after="0" w:line="171"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9.11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deemed to have been jointly drafted by the Parties and shall not be construed against any Party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drafter. The headings in this Agreement are for convenience of reference only and shall not affect the interpretation hereof. References to “including” shall be deemed to be followed by “without limitation.” References to Sections are to Sections of this Agreement unless otherwise specified.</w:t>
      </w:r>
    </w:p>
    <w:p>
      <w:pPr>
        <w:spacing w:after="0" w:line="171"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9.12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representations, warranties, covenants, and agreements of the Parties contained in this Agreement shall survive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of this Agreement and each Additional Closing.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ind w:left="3220"/>
        <w:spacing w:after="0"/>
        <w:rPr>
          <w:sz w:val="20"/>
          <w:szCs w:val="20"/>
          <w:color w:val="auto"/>
        </w:rPr>
      </w:pPr>
      <w:r>
        <w:rPr>
          <w:rFonts w:ascii="Times New Roman" w:cs="Times New Roman" w:eastAsia="Times New Roman" w:hAnsi="Times New Roman"/>
          <w:sz w:val="18"/>
          <w:szCs w:val="18"/>
          <w:b w:val="1"/>
          <w:bCs w:val="1"/>
          <w:color w:val="auto"/>
        </w:rPr>
        <w:t>SIGNATURE PAGE TO INVESTOR RIGHTS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caused this Investor Rights Agreement to be duly executed as of the Effective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Samini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LEVISTON RESOURCES, LLC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Roman Rogol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Roman Rogol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CFO</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Mobix Labs,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Venture,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 92618 Attn: Keyvan Samini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ksamini@mobixlabs.com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Exercise of Investment Right under Investor Rights Agreement dated [●],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right="20" w:firstLine="647"/>
        <w:spacing w:after="0" w:line="268" w:lineRule="auto"/>
        <w:rPr>
          <w:sz w:val="20"/>
          <w:szCs w:val="20"/>
          <w:color w:val="auto"/>
        </w:rPr>
      </w:pPr>
      <w:r>
        <w:rPr>
          <w:rFonts w:ascii="Times New Roman" w:cs="Times New Roman" w:eastAsia="Times New Roman" w:hAnsi="Times New Roman"/>
          <w:sz w:val="18"/>
          <w:szCs w:val="18"/>
          <w:color w:val="auto"/>
        </w:rPr>
        <w:t>Reference is made to that certain Investor Rights Agreement, dated as of [●], 2026 (the “</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by and between Mobix Labs,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Leviston Resources, LLC, a Delaware limited liability company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Capitalized terms used but not defined herein have the meanings ascribed to them in the Investor Rights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hereby exercises its Investment Right, in part, as follows:</w:t>
      </w:r>
    </w:p>
    <w:p>
      <w:pPr>
        <w:spacing w:after="0" w:line="225" w:lineRule="exact"/>
        <w:rPr>
          <w:sz w:val="20"/>
          <w:szCs w:val="20"/>
          <w:color w:val="auto"/>
        </w:rPr>
      </w:pPr>
    </w:p>
    <w:p>
      <w:pPr>
        <w:ind w:left="1480" w:hanging="176"/>
        <w:spacing w:after="0"/>
        <w:tabs>
          <w:tab w:leader="none" w:pos="1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of Additional Note: $[●].</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1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Cash Subscription Amount: $[ ● ] (i.e., the principal amount above multiplied by 0.83333, reflecting the 16.667% original issue discount).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Additional Closing Date: [●] (which shall be the second (2nd) Business Day following the date hereof unless otherwise agreed in writing by the Parties).</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Principal immediately following this exercise: $[●].</w:t>
      </w:r>
    </w:p>
    <w:p>
      <w:pPr>
        <w:spacing w:after="0" w:line="225" w:lineRule="exact"/>
        <w:rPr>
          <w:sz w:val="20"/>
          <w:szCs w:val="20"/>
          <w:color w:val="auto"/>
        </w:rPr>
      </w:pPr>
    </w:p>
    <w:p>
      <w:pPr>
        <w:ind w:right="20" w:firstLine="647"/>
        <w:spacing w:after="0" w:line="282" w:lineRule="auto"/>
        <w:rPr>
          <w:sz w:val="20"/>
          <w:szCs w:val="20"/>
          <w:color w:val="auto"/>
        </w:rPr>
      </w:pPr>
      <w:r>
        <w:rPr>
          <w:rFonts w:ascii="Times New Roman" w:cs="Times New Roman" w:eastAsia="Times New Roman" w:hAnsi="Times New Roman"/>
          <w:sz w:val="18"/>
          <w:szCs w:val="18"/>
          <w:color w:val="auto"/>
        </w:rPr>
        <w:t>This Exercise Notice is being delivered pursuant to, and is subject to the conditions of, the Investor Rights Agreement. The Investor reaffirms, as of the date hereof, each of the representations and warranties of the Investor set forth in Section 8.2 of the Investor Rights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LEVISTON RESOURCES,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19, 2026, between Mobix Labs,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Kips Bay Select LP, a limited partnership organized under the laws of the State of Delaware (including its successors and assigns,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the Company desires to issue and sell to the Purchaser, and the Purchaser desires to purchase from the Company, 2,000 shares of Series A 10% Convertible Preferred Stock of the Company (the “Preferred Shares”), together with a Preferred Stock Purchase Warrant pursuant to which the Purchaser may purchase additional shares of Series A 10% Convertible Preferred Stock from time to time, all as more fully described in this Agreement.</w:t>
      </w:r>
    </w:p>
    <w:p>
      <w:pPr>
        <w:spacing w:after="0" w:line="180"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(a) capitalized terms that are not otherwise defined herein have the meanings given to such terms in the Certificate of Designation (as defined herein), and (b) the following terms have the meanings set forth in this Section</w:t>
      </w:r>
    </w:p>
    <w:p>
      <w:pPr>
        <w:spacing w:after="0"/>
        <w:rPr>
          <w:sz w:val="20"/>
          <w:szCs w:val="20"/>
          <w:color w:val="auto"/>
        </w:rPr>
      </w:pPr>
      <w:r>
        <w:rPr>
          <w:rFonts w:ascii="Times New Roman" w:cs="Times New Roman" w:eastAsia="Times New Roman" w:hAnsi="Times New Roman"/>
          <w:sz w:val="18"/>
          <w:szCs w:val="18"/>
          <w:color w:val="auto"/>
        </w:rPr>
        <w:t>1.1: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means the Closing Statement in the form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have the meaning ascribed to such term in the Certificate of Designation.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Preferred Shares or any Warrant Shares in accordance with the terms of the Certificate of Designation.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9:30 a.m. (New York City time) on the first (1st) Business Day following the date of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restricted stock units or options to employees, consultants,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exchange or conversion of any Securities issued hereunder, and securities upon the exercise, exchange or conversion of securities issued pursuant to the Transaction Documents dated March 31, 2026, and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Page 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3" w:name="page104"/>
    <w:bookmarkEnd w:id="10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shall have the meaning ascribed to such term in Section 5.17.</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means the 2,000 shares of Series A 10% Convertible Preferred Stock to be issued by the Company to the Purchaser at the Closing, having a stated value of $1,200 per share and an aggregate stated value of $2,400,000, in accordance with the Certificate of Designation.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included in any Registration Statement.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4.10.</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 Availability Failure</w:t>
      </w:r>
      <w:r>
        <w:rPr>
          <w:rFonts w:ascii="Times New Roman" w:cs="Times New Roman" w:eastAsia="Times New Roman" w:hAnsi="Times New Roman"/>
          <w:sz w:val="18"/>
          <w:szCs w:val="18"/>
          <w:color w:val="auto"/>
        </w:rPr>
        <w:t>” means, at any time while any Preferred Shares or any Warrant Shares remain outstanding, that (a) the Registration Statement (or any subsequent registration statement registering the resale of the Conversion Shares) is not effective, (b) the prospectus contained therein is not available for use for the resale of all of the Conversion Shares, or (c) the Company has otherwise suspended or failed to maintain the availability of such registration statement or prospectus for such purpose, in each case in a manner that results in the holder of such Preferred Shares or Warrant Shares being unable to publicly resell all of such securities pursuant to an effective registration statement.</w:t>
      </w:r>
    </w:p>
    <w:p>
      <w:pPr>
        <w:spacing w:after="0" w:line="18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Page 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4" w:name="page105"/>
    <w:bookmarkEnd w:id="10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required to be filed by the Company pursuant to the Registration Rights Agreement covering the resale of the Conversion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Minimum</w:t>
      </w:r>
      <w:r>
        <w:rPr>
          <w:rFonts w:ascii="Times New Roman" w:cs="Times New Roman" w:eastAsia="Times New Roman" w:hAnsi="Times New Roman"/>
          <w:sz w:val="18"/>
          <w:szCs w:val="18"/>
          <w:color w:val="auto"/>
        </w:rPr>
        <w:t>” means, as of any date, the maximum aggregate number of shares of Common Stock then potentially issuable in the future pursuant to the Transaction Documents, including any Conversion Shares issued or issuable upon conversion in full of the Preferred Shares or upon conversion of all Warrant Shares then outstanding or issuable upon exercise in full of the Warrant, in each case ignoring any conversion limitations set forth in the Certificate of Designation and assuming for this purpose that any Registration Statement Availability Failure has occurred and that all additional shares of Common Stock then potentially issuable pursuant to the Transaction Documents as a result thereof are included.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Preferred Shares, the Warrant, the Warrant Shares, and the Conversion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the Pledge and Security Agreement of even date herewith.</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Page 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5" w:name="page106"/>
    <w:bookmarkEnd w:id="105"/>
    <w:p>
      <w:pPr>
        <w:jc w:val="both"/>
        <w:ind w:firstLine="70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means that certain Preferred Stock Purchase Warrant of even date herewith, pursuant to which the Purchaser shall have the right to purchase from time to time shares of Series A 10% Convertible Preferred Stock of the Company, with an exercise price of $1,000 per share, substantially in the form attached hereto as Exhibit B.</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Series A 10% Convertible Preferred Stock of the Company issuable upon exercise of the Warrant.</w:t>
      </w:r>
    </w:p>
    <w:p>
      <w:pPr>
        <w:spacing w:after="0" w:line="225" w:lineRule="exact"/>
        <w:rPr>
          <w:sz w:val="20"/>
          <w:szCs w:val="20"/>
          <w:color w:val="auto"/>
        </w:rPr>
      </w:pPr>
    </w:p>
    <w:p>
      <w:pPr>
        <w:jc w:val="both"/>
        <w:ind w:firstLine="70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$2,000,000, being the aggregate amount paid for the Preferred Shares purchased hereunder, in United States dollars and in immediately available funds, representing the purchase price for 2,000 shares of Series A 10% Convertible Preferred Stock at $1,000 per share.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Financing</w:t>
      </w:r>
      <w:r>
        <w:rPr>
          <w:rFonts w:ascii="Times New Roman" w:cs="Times New Roman" w:eastAsia="Times New Roman" w:hAnsi="Times New Roman"/>
          <w:sz w:val="18"/>
          <w:szCs w:val="18"/>
          <w:color w:val="auto"/>
        </w:rPr>
        <w:t>” shall have the meaning ascribed to such term in Section 4.12(a).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xml:space="preserve"> and shall, where applicable, also include any direct or indirect subsidiary of the Company formed or acquired after the date hereof.</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6" w:lineRule="exact"/>
        <w:rPr>
          <w:sz w:val="20"/>
          <w:szCs w:val="20"/>
          <w:color w:val="auto"/>
        </w:rPr>
      </w:pPr>
    </w:p>
    <w:p>
      <w:pPr>
        <w:jc w:val="both"/>
        <w:ind w:firstLine="70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Security Agreement, the Registration Rights Agreement, the Warrant, the Certificate of Designation, all exhibits and schedules thereto and hereto and any other documents or agreements executed in connection with the transactions contemplated hereunder.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Company’s current transfer agent, and any successor transfer agent of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 and reasonably acceptable to the Company, the fees and expenses of which shall be paid by the Company.</w:t>
      </w:r>
    </w:p>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Page 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6" w:name="page107"/>
    <w:bookmarkEnd w:id="106"/>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2.1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hanging="4"/>
        <w:spacing w:after="0" w:line="255"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upon the terms and subject to the conditions set forth herein, substantially concurrent with the execution and delivery of this Agreement by the parties hereto, the Company agrees to sell, and the Purchaser agrees to purchase, the Preferred Shares for the Subscription Amount, and the Warrant. The Purchaser’s Subscription Amount and the Warrant. The Purchaser shall deliver to the Company, via wire transfer or a certified check, immediately available funds equal to its Subscription Amount, and the Company shall deliver to the Purchaser the Preferred Shares and the Warrant, and the Company and the Purchaser shall deliver the other items set forth in Section 2.2 deliverable at the Closing. Upon satisfaction of the covenants and conditions set forth in Sections 2.2 and 2.3, the Closing shall occur at such location as the parties shall mutually agree.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644"/>
        <w:spacing w:after="0" w:line="282" w:lineRule="auto"/>
        <w:tabs>
          <w:tab w:leader="none" w:pos="9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otherwise indicated), the Company shall deliver or cause to be delivered to the Purchaser the following:</w:t>
      </w:r>
    </w:p>
    <w:p>
      <w:pPr>
        <w:spacing w:after="0" w:line="161" w:lineRule="exact"/>
        <w:rPr>
          <w:rFonts w:ascii="Times New Roman" w:cs="Times New Roman" w:eastAsia="Times New Roman" w:hAnsi="Times New Roman"/>
          <w:sz w:val="18"/>
          <w:szCs w:val="18"/>
          <w:color w:val="auto"/>
        </w:rPr>
      </w:pPr>
    </w:p>
    <w:p>
      <w:pPr>
        <w:ind w:left="1504" w:hanging="208"/>
        <w:spacing w:after="0"/>
        <w:tabs>
          <w:tab w:leader="none" w:pos="15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564" w:hanging="268"/>
        <w:spacing w:after="0"/>
        <w:tabs>
          <w:tab w:leader="none" w:pos="15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Company’s counsel, in form and substance reasonably satisfactory to the Purchaser;</w:t>
      </w:r>
    </w:p>
    <w:p>
      <w:pPr>
        <w:spacing w:after="0" w:line="225" w:lineRule="exact"/>
        <w:rPr>
          <w:rFonts w:ascii="Times New Roman" w:cs="Times New Roman" w:eastAsia="Times New Roman" w:hAnsi="Times New Roman"/>
          <w:sz w:val="18"/>
          <w:szCs w:val="18"/>
          <w:color w:val="auto"/>
        </w:rPr>
      </w:pPr>
    </w:p>
    <w:p>
      <w:pPr>
        <w:ind w:left="1604" w:hanging="308"/>
        <w:spacing w:after="0"/>
        <w:tabs>
          <w:tab w:leader="none" w:pos="16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issuance of the Preferred Shares to the Purchaser, in an aggregate stated value of $2,400,000;</w:t>
      </w:r>
    </w:p>
    <w:p>
      <w:pPr>
        <w:spacing w:after="0" w:line="225" w:lineRule="exact"/>
        <w:rPr>
          <w:rFonts w:ascii="Times New Roman" w:cs="Times New Roman" w:eastAsia="Times New Roman" w:hAnsi="Times New Roman"/>
          <w:sz w:val="18"/>
          <w:szCs w:val="18"/>
          <w:color w:val="auto"/>
        </w:rPr>
      </w:pPr>
    </w:p>
    <w:p>
      <w:pPr>
        <w:ind w:left="1604" w:hanging="308"/>
        <w:spacing w:after="0"/>
        <w:tabs>
          <w:tab w:leader="none" w:pos="160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5"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duly executed by the Company;</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60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the Purchaser that the Certificate of Designation has been duly filed with the Secretary of State of the State of Delaware and is in full force and effect; and</w:t>
      </w:r>
    </w:p>
    <w:p>
      <w:pPr>
        <w:spacing w:after="0" w:line="161" w:lineRule="exact"/>
        <w:rPr>
          <w:rFonts w:ascii="Times New Roman" w:cs="Times New Roman" w:eastAsia="Times New Roman" w:hAnsi="Times New Roman"/>
          <w:sz w:val="18"/>
          <w:szCs w:val="18"/>
          <w:color w:val="auto"/>
        </w:rPr>
      </w:pPr>
    </w:p>
    <w:p>
      <w:pPr>
        <w:ind w:left="1644" w:hanging="348"/>
        <w:spacing w:after="0"/>
        <w:tabs>
          <w:tab w:leader="none" w:pos="164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Transaction Document to be delivered by the Company at the Closing, duly executed by the Company;</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7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the Purchaser with the Company’s wire instructions, on Company letterhead and executed by the Chief Executive Officer or Chief Financial Officer;</w:t>
      </w:r>
    </w:p>
    <w:p>
      <w:pPr>
        <w:spacing w:after="0" w:line="162" w:lineRule="exact"/>
        <w:rPr>
          <w:sz w:val="20"/>
          <w:szCs w:val="20"/>
          <w:color w:val="auto"/>
        </w:rPr>
      </w:pPr>
    </w:p>
    <w:p>
      <w:pPr>
        <w:ind w:left="4524"/>
        <w:spacing w:after="0"/>
        <w:rPr>
          <w:sz w:val="20"/>
          <w:szCs w:val="20"/>
          <w:color w:val="auto"/>
        </w:rPr>
      </w:pPr>
      <w:r>
        <w:rPr>
          <w:rFonts w:ascii="Times New Roman" w:cs="Times New Roman" w:eastAsia="Times New Roman" w:hAnsi="Times New Roman"/>
          <w:sz w:val="18"/>
          <w:szCs w:val="18"/>
          <w:color w:val="auto"/>
        </w:rPr>
        <w:t>Page 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07" w:name="page108"/>
    <w:bookmarkEnd w:id="107"/>
    <w:p>
      <w:pPr>
        <w:ind w:left="640" w:firstLine="652"/>
        <w:spacing w:after="0" w:line="282" w:lineRule="auto"/>
        <w:tabs>
          <w:tab w:leader="none" w:pos="159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irrevocable transfer agent instructions or other applicable transfer agent authorization in form and substance reasonably satisfactory to the Purchaser, if required by the Transaction Documents; and</w:t>
      </w:r>
    </w:p>
    <w:p>
      <w:pPr>
        <w:spacing w:after="0" w:line="161" w:lineRule="exact"/>
        <w:rPr>
          <w:rFonts w:ascii="Times New Roman" w:cs="Times New Roman" w:eastAsia="Times New Roman" w:hAnsi="Times New Roman"/>
          <w:sz w:val="18"/>
          <w:szCs w:val="18"/>
          <w:color w:val="auto"/>
        </w:rPr>
      </w:pPr>
    </w:p>
    <w:p>
      <w:pPr>
        <w:ind w:right="20" w:firstLine="644"/>
        <w:spacing w:after="0" w:line="282" w:lineRule="auto"/>
        <w:tabs>
          <w:tab w:leader="none" w:pos="9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otherwise indicated), the Purchaser shall deliver or cause to be delivered to the Company the following:</w:t>
      </w:r>
    </w:p>
    <w:p>
      <w:pPr>
        <w:spacing w:after="0" w:line="161"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Purchaser; and</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Subscription Amount by wire transfer to the account specified in writing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applicable Closing Date of the representations and warranties of the Purchaser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Purchaser required to be performed at or prior to the applicable Closing Date shall have been performed; and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Purchaser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applicable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applicable Closing Date shall have been performed;</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Page 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8" w:name="page109"/>
    <w:bookmarkEnd w:id="108"/>
    <w:p>
      <w:pPr>
        <w:ind w:left="2260" w:hanging="308"/>
        <w:spacing w:after="0"/>
        <w:tabs>
          <w:tab w:leader="none" w:pos="2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applicable Closing Date, trading in the Common Stock shall not have been suspended by the Commission or the Company’s principal Trading Market, and, at any time prior to the applicable Closing,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 as of the date hereof and as of each Closing:</w:t>
      </w:r>
    </w:p>
    <w:p>
      <w:pPr>
        <w:spacing w:after="0" w:line="180" w:lineRule="exact"/>
        <w:rPr>
          <w:sz w:val="20"/>
          <w:szCs w:val="20"/>
          <w:color w:val="auto"/>
        </w:rPr>
      </w:pPr>
    </w:p>
    <w:p>
      <w:pPr>
        <w:jc w:val="both"/>
        <w:ind w:left="660" w:firstLine="644"/>
        <w:spacing w:after="0" w:line="258" w:lineRule="auto"/>
        <w:tabs>
          <w:tab w:leader="none" w:pos="15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3.1(b)</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both"/>
        <w:ind w:left="-460" w:firstLine="644"/>
        <w:spacing w:after="0" w:line="253" w:lineRule="auto"/>
        <w:tabs>
          <w:tab w:leader="none" w:pos="4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Page 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0" w:name="page111"/>
    <w:bookmarkEnd w:id="110"/>
    <w:p>
      <w:pPr>
        <w:jc w:val="both"/>
        <w:ind w:left="-460" w:firstLine="644"/>
        <w:spacing w:after="0" w:line="255" w:lineRule="auto"/>
        <w:tabs>
          <w:tab w:leader="none" w:pos="4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filings required pursuant to the Registration Rights Agreement, (iii) the notice and/or application(s) to each applicable Trading Market for the issuance of the Conversion Shares and the listing or quotation thereof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Preferred Shares, when issued and paid for in accordance with the applicable Transaction Documents, will be duly authorized, validly issued, fully paid and nonassessable, free and clear of all Liens imposed by the Company, except as such enforceability may be limited by applicable bankruptcy, insolvency, reorganization, moratorium and other similar laws of general application affecting enforcement of creditors’ rights generally and by general principles of equity. The Warrant Shares (the shares of Series A 10% Convertible Preferred Stock issuable upon exercise of the Warrant), when issued upon exercise of the Warrant in accordance with the terms thereof, will be duly authorized, validly issued, fully paid and nonassessable, free and clear of all Liens imposed by the Company. The Conversion Shares, when issued in accordance with the terms of the Transaction Documents, will be validly issued, fully paid and nonassessable, free and clear of all Liens imposed by the Company. The Company has reserved from its duly authorized capital stock a number of shares of Common Stock for issuance of the Conversion Shares at least equal to the Required Minimum on the date hereof, and has reserved from its duly authorized preferred stock a sufficient number of shares of Series A 10% Convertible Preferred Stock for issuance upon exercise in full of the Warrant. Pursuant to the Registration Rights Agreement, the Company has agreed to prepare and file a Registration Statement covering the resale of the Conversion Shares and to use the efforts specified therein to cause such Registration Statement to be declared effective and to maintain its effectiveness as set forth therein.</w:t>
      </w:r>
    </w:p>
    <w:p>
      <w:pPr>
        <w:spacing w:after="0" w:line="18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1" w:name="page112"/>
    <w:bookmarkEnd w:id="111"/>
    <w:p>
      <w:pPr>
        <w:jc w:val="both"/>
        <w:ind w:left="-460" w:firstLine="644"/>
        <w:spacing w:after="0" w:line="251" w:lineRule="auto"/>
        <w:tabs>
          <w:tab w:leader="none" w:pos="4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Company has not issued any capital stock since its most recently filed periodic report under the Exchange Act, other than pursuant to (i) the exercise of employee stock options under the Company’s equity incentive plans, and the issuance of shares of Common Stock to employees pursuant to the Company’s equity incentive plans, and (ii)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or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3.1(g)</w:t>
      </w:r>
      <w:r>
        <w:rPr>
          <w:rFonts w:ascii="Times New Roman" w:cs="Times New Roman" w:eastAsia="Times New Roman" w:hAnsi="Times New Roman"/>
          <w:sz w:val="18"/>
          <w:szCs w:val="18"/>
          <w:color w:val="auto"/>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issuance and sale of the Securities will not obligate the Company or any Subsidiary to issue shares of Common Stock or other securities to any Person (other than the Purchaser)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Page 11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2" w:name="page113"/>
    <w:bookmarkEnd w:id="112"/>
    <w:p>
      <w:pPr>
        <w:jc w:val="both"/>
        <w:ind w:left="4" w:firstLine="644"/>
        <w:spacing w:after="0" w:line="272" w:lineRule="auto"/>
        <w:tabs>
          <w:tab w:leader="none" w:pos="867"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xml:space="preserve">. Since the date of the latest audited financial statements included within the SEC Reports, except as set forth on </w:t>
      </w:r>
      <w:r>
        <w:rPr>
          <w:rFonts w:ascii="Times New Roman" w:cs="Times New Roman" w:eastAsia="Times New Roman" w:hAnsi="Times New Roman"/>
          <w:sz w:val="17"/>
          <w:szCs w:val="17"/>
          <w:u w:val="single" w:color="auto"/>
          <w:color w:val="auto"/>
        </w:rPr>
        <w:t>Schedule 3.1(i)</w:t>
      </w:r>
      <w:r>
        <w:rPr>
          <w:rFonts w:ascii="Times New Roman" w:cs="Times New Roman" w:eastAsia="Times New Roman" w:hAnsi="Times New Roman"/>
          <w:sz w:val="17"/>
          <w:szCs w:val="17"/>
          <w:color w:val="auto"/>
        </w:rPr>
        <w:t>: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other than to adopt new or revised accounting standards, (iv) the Company has not declared or made any dividend or distribution of cash or other property to its stockholders or purchased, redeemed or made any agreements to purchase or redeem any shares of its capital stock, other than purchases and redemptions of shares of Common Stock held by employees, officers or directors of the Company in connection with the satisfaction of the exercise price of compensatory awards or the satisfaction of tax withholding obligations, and (v) the Company has not issued any equity securities to any officer, director or Affiliate, except pursuant to existing Company equity incentive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which (i) adversely affects or challenges the legality, validity or enforceability of any of the Transaction Documents or the Securities or (ii) could, if there were an unfavorable decision, have or reasonably be expected to result in a Material Adverse Effect. Other than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Page 12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3" w:name="page114"/>
    <w:bookmarkEnd w:id="113"/>
    <w:p>
      <w:pPr>
        <w:jc w:val="both"/>
        <w:ind w:left="-460" w:firstLine="644"/>
        <w:spacing w:after="0" w:line="253" w:lineRule="auto"/>
        <w:tabs>
          <w:tab w:leader="none" w:pos="4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0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4" w:name="page115"/>
    <w:bookmarkEnd w:id="114"/>
    <w:p>
      <w:pPr>
        <w:jc w:val="both"/>
        <w:ind w:left="-460" w:firstLine="644"/>
        <w:spacing w:after="0" w:line="261" w:lineRule="auto"/>
        <w:tabs>
          <w:tab w:leader="none" w:pos="4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3.1(o)</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as described in the SEC Reports as necessary or required for use in connection with their respective businesses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other than such expiration, termination or abandonment as has been approved by the Board of Directors.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5" w:name="page116"/>
    <w:bookmarkEnd w:id="115"/>
    <w:p>
      <w:pPr>
        <w:jc w:val="both"/>
        <w:ind w:left="-460" w:firstLine="644"/>
        <w:spacing w:after="0" w:line="256" w:lineRule="auto"/>
        <w:tabs>
          <w:tab w:leader="none" w:pos="4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such amount as is customary for companies in the same type of business as is conducted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or restricted stock agreements under any equity incentive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Except as set forth in the SEC Reports,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each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6" w:name="page117"/>
    <w:bookmarkEnd w:id="116"/>
    <w:p>
      <w:pPr>
        <w:jc w:val="both"/>
        <w:ind w:left="-460" w:firstLine="644"/>
        <w:spacing w:after="0" w:line="258" w:lineRule="auto"/>
        <w:tabs>
          <w:tab w:leader="none" w:pos="4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3.1(v)</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7" w:name="page118"/>
    <w:bookmarkEnd w:id="117"/>
    <w:p>
      <w:pPr>
        <w:jc w:val="both"/>
        <w:ind w:left="-460" w:firstLine="644"/>
        <w:spacing w:after="0" w:line="253" w:lineRule="auto"/>
        <w:tabs>
          <w:tab w:leader="none" w:pos="4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or articles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Securities and the Purchaser’s ownership of the Securities. Notwithstanding the foregoing, this representation shall apply only with respect to beneficial ownership by the Purchaser, together with its Affiliates and Attribution Parties (as such term is defined in the Certificate of Designation), of Common Stock or Common Stock Equivalents up to 9.99% of the outstanding Common Stock determined in accordance with Section 13(d) of the Exchange Act and the rules and regulations promulgated thereunder, and shall not apply to, or be construed to render inapplicable, any anti-takeover provision with respect to beneficial ownership in excess of such 9.99% threshold.</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the Company nor any other Person acting on its behalf has provided any of the Purchaser or their agents or counsel with any information that it believes constitutes or might constitute material, non-public information which is not otherwise disclosed in the Transaction Documents.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17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8" w:name="page119"/>
    <w:bookmarkEnd w:id="118"/>
    <w:p>
      <w:pPr>
        <w:jc w:val="both"/>
        <w:ind w:left="4" w:firstLine="644"/>
        <w:spacing w:after="0" w:line="252" w:lineRule="auto"/>
        <w:tabs>
          <w:tab w:leader="none" w:pos="97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each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each Closing Date. </w:t>
      </w:r>
      <w:r>
        <w:rPr>
          <w:rFonts w:ascii="Times New Roman" w:cs="Times New Roman" w:eastAsia="Times New Roman" w:hAnsi="Times New Roman"/>
          <w:sz w:val="18"/>
          <w:szCs w:val="18"/>
          <w:u w:val="single" w:color="auto"/>
          <w:color w:val="auto"/>
        </w:rPr>
        <w:t>Schedule 3.1(aa)</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9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7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Page 18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9" w:name="page120"/>
    <w:bookmarkEnd w:id="119"/>
    <w:p>
      <w:pPr>
        <w:jc w:val="both"/>
        <w:ind w:left="4" w:firstLine="644"/>
        <w:spacing w:after="0" w:line="261" w:lineRule="auto"/>
        <w:tabs>
          <w:tab w:leader="none" w:pos="99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The Company’s accounting firm is set forth on </w:t>
      </w:r>
      <w:r>
        <w:rPr>
          <w:rFonts w:ascii="Times New Roman" w:cs="Times New Roman" w:eastAsia="Times New Roman" w:hAnsi="Times New Roman"/>
          <w:sz w:val="18"/>
          <w:szCs w:val="18"/>
          <w:u w:val="single" w:color="auto"/>
          <w:color w:val="auto"/>
        </w:rPr>
        <w:t>Schedule 3.1(dd)</w:t>
      </w:r>
      <w:r>
        <w:rPr>
          <w:rFonts w:ascii="Times New Roman" w:cs="Times New Roman" w:eastAsia="Times New Roman" w:hAnsi="Times New Roman"/>
          <w:sz w:val="18"/>
          <w:szCs w:val="18"/>
          <w:color w:val="auto"/>
        </w:rPr>
        <w:t xml:space="preserve"> of the Disclosure Schedules. To the knowledge and belief of the Company, such accounting firm: (i) is a registered public accounting firm as required by the Exchange Act and (ii) is duly engaged to audit the financial statements to be included in the Company’s Annual Report on Form 10-K for the fiscal year ending most recently prior to the date hereof.</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7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their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7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it is understood and acknowledged by the Company that: (i) the Purchaser has not been asked by the Company to agree, nor has the Purchaser agreed, to hold the Securities for any specified term, (ii) past or future open market or other transactions by the Purchaser, before or after the closing of this or future private placement transactions, may negatively impact the market price of the Company’s publicly-traded securities, and (iii) the Purchaser shall not be deemed to have any affiliation with or control over any arm’s length counter-party in any “derivative” transaction.</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02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1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equity incentive plans was granted (i) in accordance with the terms of the Company’s equity incentive plans and (ii) with an exercise price at least equal to the fair market value of the Common Stock on the date such stock option would be considered granted under GAAP and applicable law. No stock option granted under the Company’s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Page 19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20" w:name="page121"/>
    <w:bookmarkEnd w:id="120"/>
    <w:p>
      <w:pPr>
        <w:jc w:val="both"/>
        <w:ind w:left="-460" w:firstLine="644"/>
        <w:spacing w:after="0" w:line="266" w:lineRule="auto"/>
        <w:tabs>
          <w:tab w:leader="none" w:pos="4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Page 20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1" w:name="page122"/>
    <w:bookmarkEnd w:id="121"/>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660" w:firstLine="644"/>
        <w:spacing w:after="0" w:line="253" w:lineRule="auto"/>
        <w:tabs>
          <w:tab w:leader="none" w:pos="155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Conversion Shares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5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it expects to be on each date on which it converts the Preferred Shares or any Warrant Shares, an “accredited investor” as defined in Rule 501(a)(1), (a)(2), (a)(3), (a)</w:t>
      </w: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(a)(8) under the Securities Act.</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to other Persons party to this Agreement or to the Purchaser’s representatives, including, without limitation, its officers, directors, partners, legal and other advisors, employees, agents and Affiliates that were required to be informed in connection with the Purchaser’s review of the Transaction Documents, the Purchaser has maintained the confidentiality of all disclosures made to it in connection with this transaction (including the existence and terms of this transaction).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The Conversion Shares issuable upon conversion of the Preferred Shares or any Warrant Shares shall be issued free of legends to the extent permitted by the Certificate of Designation, the Registration Rights Agreement and applicable law. If at any time following the date hereof there is a Registration Statement Availability Failure, the Company shall immediately notify the holder of the Preferred Shares or Warrant Shares in writing of such Registration Statement Availability Failure and thereafter shall promptly notify such holder when such Registration Statement Availability Failure no longer exists (it being understood and agreed that the foregoing shall not limit the ability of the Company to issue, or the Purchaser to sell, any Conversion Shares in compliance with applicable federal and state securities laws). The Company shall use the efforts required under the Registration Rights Agreement to keep the Registration Statement (or any subsequent registration statement) registering the resale of the Conversion Shares effective and the related prospectus available for use as provided therein.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Conversion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 Until the earliest of the time that the Purchaser owns no Securities,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Conversion Procedures</w:t>
      </w:r>
      <w:r>
        <w:rPr>
          <w:rFonts w:ascii="Times New Roman" w:cs="Times New Roman" w:eastAsia="Times New Roman" w:hAnsi="Times New Roman"/>
          <w:sz w:val="18"/>
          <w:szCs w:val="18"/>
          <w:color w:val="auto"/>
        </w:rPr>
        <w:t>. The form of Notice of Conversion included in the Certificate of Designation and the Notice of Conversion attached to the Certificate of Designation set forth the totality of the procedures required of the Purchaser in order to convert the Preferred Shares or any Warrant Shares. Without limiting the preceding sentence, no ink-original Notice of Conversion shall be required, nor shall any medallion guarantee (or other type of guarantee or notarization) of any Notice of Conversion form be required in order to convert the Preferred Shares or any Warrant Shares. No additional legal opinion, other information or instructions shall be required of the Purchaser to convert the Preferred Shares or any Warrant Shares. The Company shall honor conversions of the Preferred Shares and Warrant Shares and shall deliver Conversion Shares in accordance with the terms, conditions and time periods set forth in the Transaction Documents.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by the Disclosure Time, file a Current Report on Form 8-K, disclosing the material terms of the transactions contemplated hereby and including the material Transaction Documents as exhibits thereto (“</w:t>
      </w:r>
      <w:r>
        <w:rPr>
          <w:rFonts w:ascii="Times New Roman" w:cs="Times New Roman" w:eastAsia="Times New Roman" w:hAnsi="Times New Roman"/>
          <w:sz w:val="18"/>
          <w:szCs w:val="18"/>
          <w:u w:val="single" w:color="auto"/>
          <w:color w:val="auto"/>
        </w:rPr>
        <w:t>Signing Form 8-K</w:t>
      </w:r>
      <w:r>
        <w:rPr>
          <w:rFonts w:ascii="Times New Roman" w:cs="Times New Roman" w:eastAsia="Times New Roman" w:hAnsi="Times New Roman"/>
          <w:sz w:val="18"/>
          <w:szCs w:val="18"/>
          <w:color w:val="auto"/>
        </w:rPr>
        <w:t>”), with the Commission. From and after the filing of the Signing Form 8-K, the Company represents to the Purchaser that the Company shall have publicly disclosed all material, non-public information delivered to the Purchaser by the Company or any of its Subsidiaries, or any of their respective officers, directors, employees or agents in connection with the transactions contemplated by the Transaction Documents. In addition, effective upon the filing of the Signing Form 8-K, the Company acknowledges and agrees that any and all confidentiality or similar obligations under any agreement, whether written or oral, between the Company, any of its Subsidiaries or any of their respective officers, directors, agents, employees or Affiliates on the one hand, and the Purchaser or any of its Affiliates on the other hand, shall terminate.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Purchaser is an “Acquiring Person”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 Notwithstanding the foregoing, the covenants set forth in this Section 4.7 and the representation in Section 3.1(z) shall not apply to, and shall not be construed to permit, beneficial ownership by the Purchaser, together with its Affiliates and Attribution Parties (as such term is defined in the Certificate of Designation), of Common Stock or Common Stock Equivalents in excess of 9.99% of the outstanding Common Stock determined in accordance with Section 13(d) of the Exchange Act and the rules and regulations promulgated thereunder. To the extent the Purchaser’s beneficial ownership exceeds 9.99%, the Company’s anti-takeover protections shall apply with full force and effect with respect to such excess.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material terms and conditions of the transactions contemplated by the Transaction Documents, which shall be disclosed pursuant to Section 4.6, the Company covenants and agrees that neither it, nor any other Person acting on its behalf will provide the Purchaser or its agents or counsel with any information that constitutes, or the Company reasonably believes constitutes, material non-public information, unless prior thereto the Purchaser shall have consented to the receipt of such information and agreed with the Company to keep such information confidential. The Company understands and confirms that the Purchaser shall be relying on the foregoing covenant in effecting transactions in securities of the Company. To the extent that the Company delivers any material, non-public information to the Purchaser without the Purchaser’s consent, the Company hereby covenants and agrees that the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publicly disclose such information as appropriate and legal.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both"/>
        <w:ind w:firstLine="1304"/>
        <w:spacing w:after="0" w:line="252" w:lineRule="auto"/>
        <w:tabs>
          <w:tab w:leader="none" w:pos="155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seeks the consent or election of the Purchaser under any Transaction Document with respect to a matter that may involve material, non-public information (including, without limitation, a Fundamental Transaction under the Certificate of Designation, a Subsequent Financing under Section 4.12 hereof, or the incurrence of Indebtedness in excess of $5,000,000 in aggregate principal amount outside the ordinary course of business), the following procedures shall apply (the “MNPI Consent Procedures”): (i) the Company shall first deliver to the Purchaser a written notice (a “Consent Solicitation Notice”) stating solely that the Company is seeking the Purchaser’s consent or election under the applicable provision (identifying such provision by section reference) and that the Purchaser may elect to receive material, non-public information regarding such matter; the Consent Solicitation Notice shall not include any terms, pricing, counterparty information, or other details regarding such matter; for the avoidance of doubt, receipt of the Consent Solicitation Notice alone shall not restrict the Purchaser from effecting transactions in the Company’s securities; (ii) the Purchaser shall have two (2) Business Days after receipt of the Consent Solicitation Notice to notify the Company in writing whether it elects to receive such information (the “MNPI Opt-In”); if the Purchaser does not timely deliver an MNPI Opt-In, the Purchaser shall be deemed to have declined to receive such information, and any consent or election right requiring receipt of such information shall be deemed waived solely with respect to that matter, without prejudice to the Purchaser’s other rights and remedies under the Transaction Documents; (iii) if the Purchaser timely delivers an MNPI Opt-In, the Company shall, within one (1) Business Day following receipt thereof, deliver to the Purchaser all material details regarding such matter, following which the Purchaser shall have the applicable response period set forth in the relevant provision of the Transaction Documents to deliver its consent, election, or other response; and (iv) if the matter described in the Consent Solicitation Notice has not been consummated or abandoned within ten (10) Business Days of the date of the Consent Solicitation Notice, such notice shall be deemed withdrawn, any information delivered in connection therewith shall be deemed stale, and the Company shall publicly disclose such information or confirm in writing to the Purchaser that such information is no longer material; the Company must deliver a new Consent Solicitation Notice if it wishes to proceed thereafter.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4.9</w:t>
      </w:r>
      <w:r>
        <w:rPr>
          <w:rFonts w:ascii="Times New Roman" w:cs="Times New Roman" w:eastAsia="Times New Roman" w:hAnsi="Times New Roman"/>
          <w:sz w:val="18"/>
          <w:szCs w:val="18"/>
          <w:color w:val="auto"/>
        </w:rPr>
        <w:t xml:space="preserve"> attached hereto, the Company shall use the net proceeds from the sale of the Securities hereunder for (i) general working capital purposes, including, but not limited to, research and development activities, and (ii) the funding, in whole or in part, of one or more acquisitions, business combinations, asset purchases, mergers, or strategic transactions approved by the Board of Directors of the Company, and shall not use such proceeds: (a) for the redemption of any Common Stock or Common Stock Equivalents (other than purchases and redemptions of shares of Common Stock held by employees, officers or directors of the Company in connection with the satisfaction of the exercise price of compensatory awards or the satisfaction of tax withholding obligations) or (b) in violation of FCPA or OFAC regulations.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Indemnification of Purchaser</w:t>
      </w:r>
      <w:r>
        <w:rPr>
          <w:rFonts w:ascii="Times New Roman" w:cs="Times New Roman" w:eastAsia="Times New Roman" w:hAnsi="Times New Roman"/>
          <w:sz w:val="18"/>
          <w:szCs w:val="18"/>
          <w:color w:val="auto"/>
        </w:rPr>
        <w:t>. Subject to the provisions of this Section 4.10, the Company will indemnify and hold the Purchaser and its directors, officers, shareholders, members, partners, managers, managing members, general partners, investment managers, investment advisers, employees and agents , each Person who controls the Purchaser (within the meaning of Section 15 of the Securities Act and Section 20 of the Exchange Act), and the directors, officers, shareholders, agents, members, partners, managers, managing members, general partners, investment managers, investment advisers, or employees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actions, suits, proceedings (including any investigations, litigation or inquiries), demands or causes of action and, in connection therewith, and promptly upon demand, pay or reimburse each of them for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suit, proceeding (including any investigation, litigation or inquiry), demand or cause of action instituted against the Purchaser Party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provided that no Purchaser Party shall be entitled to recover special or punitive damages under this Section 4.10.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Notwithstanding the foregoing, the Company shall have no obligation to indemnify any Purchaser Party for any losses arising from such Purchaser Party’s bad faith, fraud, gross negligence, willful misconduct, or violation of law.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Reservation and Listing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4" w:lineRule="auto"/>
        <w:tabs>
          <w:tab w:leader="none" w:pos="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reserve from its duly authorized shares of Common Stock for issuance pursuant to the Transaction Documents in such amounts as may then be required to fulfill its obligations in full under the Transaction Documents. Upon request by the Purchaser, the Company shall deliver, or cause the Transfer Agent to deliver, to the Purchaser a statement of the number of shares of Common Stock that are currently reserved for issuance pursuant to the Transaction Documents. On the Closing Date, the Company shall authorize the Transfer Agent that, at any time while any Preferred Shares remain outstanding or any Warrant Shares remain outstanding , upon delivery by the Purchaser to the Transfer Agent of a notice to increase the number of shares of Common Stock that are reserved for issuance pursuant to the Transaction Documents, the Transfer Agent shall promptly increase the reserved amount of shares of Common Stock and provide confirmation in writing thereof to the Purchaser.</w:t>
      </w:r>
    </w:p>
    <w:p>
      <w:pPr>
        <w:spacing w:after="0" w:line="191" w:lineRule="exact"/>
        <w:rPr>
          <w:rFonts w:ascii="Times New Roman" w:cs="Times New Roman" w:eastAsia="Times New Roman" w:hAnsi="Times New Roman"/>
          <w:sz w:val="18"/>
          <w:szCs w:val="18"/>
          <w:color w:val="auto"/>
        </w:rPr>
      </w:pPr>
    </w:p>
    <w:p>
      <w:pPr>
        <w:jc w:val="both"/>
        <w:ind w:firstLine="644"/>
        <w:spacing w:after="0" w:line="252" w:lineRule="auto"/>
        <w:tabs>
          <w:tab w:leader="none" w:pos="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the number of authorized but unissued (and otherwise unreserved) shares of Common Stock is less than the Required Minimum on such date, the Company shall use commercially reasonable best efforts to hold a special meeting of shareholders (which may also be at the annual meeting of shareholders) or take action by written consent of shareholders at the earliest practicable date to obtain shareholder approval to amend the Company’s certificate of incorporation to increase the number of authorized but unissued shares of Common Stock to at least the Required Minimum. The Company shall use its commercially reasonable best efforts to obtain such shareholder approval to increase the number of authorized but unissued shares of Common Stock to at least the Required Minimum at the earliest possible date, but in no event later than 75 days following the date on which the number of authorized but unissued (and otherwise unreserved) shares of Common Stock is less than the Required Minimum. If, at any time, the Company fails to or is unable to deliver shares of Common Stock upon conversion of the Preferred Shares on account of the unavailability of authorized but unissued (and otherwise unreserved) shares of Common Stock (an “</w:t>
      </w:r>
      <w:r>
        <w:rPr>
          <w:rFonts w:ascii="Times New Roman" w:cs="Times New Roman" w:eastAsia="Times New Roman" w:hAnsi="Times New Roman"/>
          <w:sz w:val="18"/>
          <w:szCs w:val="18"/>
          <w:u w:val="single" w:color="auto"/>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Failure</w:t>
      </w:r>
      <w:r>
        <w:rPr>
          <w:rFonts w:ascii="Times New Roman" w:cs="Times New Roman" w:eastAsia="Times New Roman" w:hAnsi="Times New Roman"/>
          <w:sz w:val="18"/>
          <w:szCs w:val="18"/>
          <w:color w:val="auto"/>
        </w:rPr>
        <w:t>”), the Company shall pay to the Purchaser, in cash, as partial liquidated damages and not as a penalty, by reason of the reduction of the Purchaser’s ability to convert the Preferred Shares, an amount in cash equal to 2% of the Purchaser’s Subscription Amount on the date of the</w:t>
      </w:r>
    </w:p>
    <w:p>
      <w:pPr>
        <w:spacing w:after="0" w:line="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Authorized Share Failure and on each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(pro-rated for periods totaling less than thirty days) thereafter until the Authorized Share Failure is cured by the availability of a number of shares of Common Stock that are authorized and unreserved that equals to at least 150% of the Required Minimum and evidence thereof is provided to the Purchaser and is reasonably satisfactory to the Purchaser. Such liquidated damages</w:t>
      </w:r>
    </w:p>
    <w:p>
      <w:pPr>
        <w:jc w:val="both"/>
        <w:spacing w:after="0" w:line="231" w:lineRule="auto"/>
        <w:rPr>
          <w:sz w:val="20"/>
          <w:szCs w:val="20"/>
          <w:color w:val="auto"/>
        </w:rPr>
      </w:pPr>
      <w:r>
        <w:rPr>
          <w:rFonts w:ascii="Times New Roman" w:cs="Times New Roman" w:eastAsia="Times New Roman" w:hAnsi="Times New Roman"/>
          <w:sz w:val="18"/>
          <w:szCs w:val="18"/>
          <w:color w:val="auto"/>
        </w:rPr>
        <w:t>shall be paid on the earlier of (i) the last day of the calendar month during which such liquidated damages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Authorized Share Failure is cured. In the event that the Company fails to make the payment of liquidated damages in a timely manner, such accrued liquidated damages shall bear interest at the rate of 1.5% per month (pro-rated for partial months) until paid in full. Nothing herein shall limit the Purchaser’s right to pursue actual damages for Authorized Share Failure and the Purchaser shall have the right to pursue all remedies available to it at law or in equity.</w:t>
      </w:r>
    </w:p>
    <w:p>
      <w:pPr>
        <w:spacing w:after="0" w:line="2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Page 26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7" w:name="page128"/>
    <w:bookmarkEnd w:id="127"/>
    <w:p>
      <w:pPr>
        <w:jc w:val="both"/>
        <w:ind w:left="660" w:firstLine="644"/>
        <w:spacing w:after="0" w:line="254" w:lineRule="auto"/>
        <w:tabs>
          <w:tab w:leader="none" w:pos="155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Company shall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 evidence of such listing or quotation and (iv) maintain the listing or quotation of such Common Stock on any date at least equal to the Required Minimum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Right of Participation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date that is twelve (12) months after the Closing Date (the “Participation Period”), the Holder shall have the Right of Participation set forth in this Section 4.12 with respect to any Subsequent Financing (as defined below). “Subsequent Financing” means any issuance by the Company or any of its Subsidiaries of Common Stock, Common Stock Equivalents for cash consideration, Indebtedness or a combination thereof, excluding (i) any Exempt Issuance, (ii) any issuance of Common Stock or Common Stock Equivalents as consideration in any acquisition, business combination, asset purchase, merger, or strategic transaction approved by the Board of Directors, (iii) the incurrence of senior secured indebtedness from a traditional commercial lender or institutional creditor not affiliated with the Holder, (iv) any “at-the-market” offering or equity line of credit (“ELOC”) facility pursuant to an existing or replacement sales agreement or equity line of credit purchase agreement filed with the Commission, provided that (A) the aggregate gross proceeds raised by the Company under all such offerings and facilities shall not exceed $2,500,000 in any calendar month, (B) the aggregate volume of shares sold by the Company under all such offerings and facilities on any given Trading Day shall not exceed twenty percent (20%) of the trading volume of the Common Stock on such Trading Day, and (C) no shares shall be sold under any such offering or facility at a price per share below $1.50; provided further, that the conditions set forth in clauses (A) through (C) shall automatically and permanently terminate, and the carve-out provided by this clause (iv) shall apply without any such conditions, at such time as both (1) the Company has registered for resale under the Securities Act all shares of Common Stock issuable pursuant to the Transaction Documents (including upon conversion of the Preferred Shares and exercise of the Warrant), and (2) the Company has obtained stockholder approval permitting the issuance of shares of Common Stock under the Transaction Documents in excess of 19.99% of the outstanding shares of Common Stock, and (v) any issuance pursuant to an employee stock purchase plan, equity incentive plan, or director compensation plan duly adopted by the Company, (vi) any grant, cooperative agreement, contract for the award of federal funds, loan, loan guaranty, or other form of financial assistance from any federal, state, or local governmental agency, instrumentality, or political subdivision, including without limitation the Department of Energy (and any of its loan programs), the Department of Defense, the Department of Commerce, the National Institute of Standards and Technology, the Small Business Administration, or any successor agency, and any indebtedness incurred to provide matching funds or other counterpart contributions to any such grant or financial assistance, and (vii) any Emergency Liquidity Financing pursuant to Section 4.12(e).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jc w:val="both"/>
        <w:ind w:firstLine="1304"/>
        <w:spacing w:after="0" w:line="255" w:lineRule="auto"/>
        <w:tabs>
          <w:tab w:leader="none" w:pos="15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Subsequent Financing during the Participation Period, the Holder shall have the right to participate in such Subsequent Financing in an amount up to fifty percent (50%) of the total amount of such Subsequent Financing on the same terms, conditions and price provided for in the Subsequent Financing (the “Right of Participation”). The Company shall provide the Holder written notice of its intent to proceed with the Subsequent Financing with third parties concurrently with or prior to the execution of definitive documents for such Subsequent Financing (the “ROP Notice”). The Holder may elect to exercise its Right of Participation by delivering written notice to the Company within three (3) Business Days after receipt of the ROP Notice, specifying the amount of the Holder’s participation, which shall not exceed fifty percent (50%) of the total amount of such Subsequent Financing.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definitive agreement related to a ROP Notice is not entered into within sixty (60) days following the date of delivery of such ROP Notice, or is entered into on terms more favorable, in the aggregate, to the investors in such Subsequent Financing than those set forth in the ROP Notice, the Company must provide the Holder with a new ROP Notice and the Right of Participation set forth in this Section 4.12 shall apply anew.</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agree that, if the Holder elects to participate in a Subsequent Financing, the transaction documents related to such Subsequent Financing shall not include any term or provision that, directly or indirectly, will, or is intended to, exclude the Holder from participating, including without limitation provisions requiring the Holder to agree to any restrictions on trading as to any of the Securities purchased hereunder, or requiring the Holder to consent to any amendment to or termination of, or grant any waiver under, this Agreement, without the prior written consent of the Holder.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jc w:val="both"/>
        <w:ind w:firstLine="1304"/>
        <w:spacing w:after="0" w:line="251" w:lineRule="auto"/>
        <w:tabs>
          <w:tab w:leader="none" w:pos="15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Liquidity Financings. Notwithstanding any other provision of this Section 4.12, if the Company in good faith determines that it requires immediate access to financing in response to one or more of the following conditions (each, an “Emergency Trigger”): (A) the Company’s available unrestricted cash and cash equivalents are projected, based on a reasonably prepared management forecast, to be insufficient to fund operating expenses, debt service obligations, and other liquidity needs for the ninety (90) days following the date of such determination; (B) the Company has received a written notice from The Nasdaq Stock Market LLC (or any successor exchange) of a continued listing deficiency or delisting determination, and the Company in good faith determines that the proposed financing is reasonably necessary to cure such deficiency or to avoid delisting; (C) the Company has a scheduled debt maturity, mandatory redemption, or other contractually scheduled payment obligation coming due within ninety (90) days of the date of such determination, and the Company in good faith determines that the proposed financing is reasonably necessary to satisfy such obligation; (D) the Audit Committee of the Board of Directors has determined in good faith, in consultation with the Company’s independent registered public accounting firm, that there is substantial doubt about the Company’s ability to continue as a going concern within the meaning of Accounting Standards Update 2014-15 (ASC 205-40) (any financing in response to an Emergency Trigger, an “Emergency Liquidity Financing”), then the Company may consummate such Emergency Liquidity Financing pursuant to the following expedited procedures, which shall apply in lieu of, and not in addition to, the procedures set forth in Sections 4.12(a) through (d): (i) the Company shall deliver to the Holder a written notice (the “Emergency Financing Notice”) describing in reasonable detail the proposed terms of such Emergency Liquidity Financing, the Emergency Trigger giving rise thereto, and the Person or Persons with whom the Emergency Liquidity Financing is proposed to be effected, together with a term sheet or material transaction documents relating thereto; (ii) the Holder shall have the right to provide all (but not less than all) of the financing proposed in the Emergency Financing Notice on the terms set forth therein by delivering to the Company a binding written commitment letter, executed by a duly authorized representative of the Holder, within (x) twenty-four (24) consecutive calendar hours after the Holder’s receipt of the Emergency Financing Notice if the applicable Emergency Trigger is described in clause (B) above (and the cure period set forth in the applicable Nasdaq written notice is less than thirty (30) days), or (y) forty-eight (48) consecutive calendar hours after the Holder’s receipt of the Emergency Financing Notice in all other cases (in either case, the “Emergency Election Period”); for the avoidance of doubt, the term “calendar hours” shall be measured continuously, without regard to weekends or holidays, commencing at the time of the Holder’s receipt of the Emergency Financing Notice; (iii) if the Holder does not deliver a binding written commitment letter on the terms set forth in the Emergency Financing Notice within the Emergency Election Period, the Holder shall be deemed to have permanently and irrevocably waived its rights under this Section 4.12 with respect to such Emergency Liquidity Financing, and the Company may consummate the Emergency Liquidity Financing with the third-party source identified in the Emergency Financing Notice or with any other Person on terms no less favorable to the Company, in the aggregate, than those set forth in the Emergency Financing Notice; (iv) for the avoidance of doubt, the Right of Participation set forth in Section 4.12(b) shall not apply to any Emergency Liquidity Financing, regardless of whether the Holder elects or declines to provide the Emergency Liquidity Financing pursuant to this Section 4.12(e); and (v) the Holder acknowledges and agrees that the expedited procedures set forth in this Section 4.12(e) are essential to the Company’s ability to address the liquidity emergencies described above, that time is of the essence with respect to such financings, and that, in the event of any breach by the Holder of this Section 4.12(e), the Holder’s sole and exclusive remedy shall be monetary damages, if any.</w:t>
      </w:r>
    </w:p>
    <w:p>
      <w:pPr>
        <w:spacing w:after="0" w:line="20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Section 4.12. Notwithstanding any other provision of this Section 4.12 or any other Transaction Document, the Right of Participation, the procedures set forth in this Section 4.12 (including, without limitation, the Emergency Liquidity Financing procedures set forth in Section 4.12(e)), and all other rights and obligations of the Company and the Holder under this Section 4.12 shall automatically terminate and be of no further force or effect on the date that is twelve (12) months after the Closing Date, and thereafter the Company shall be free to effect any issuance of Common Stock, Common Stock Equivalents, or Indebtedness, or any combination thereof, on such terms as the Company may determine, without regard to this Section 4.12.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Nasdaq Compliance; Transfer Agent</w:t>
      </w:r>
      <w:r>
        <w:rPr>
          <w:rFonts w:ascii="Times New Roman" w:cs="Times New Roman" w:eastAsia="Times New Roman" w:hAnsi="Times New Roman"/>
          <w:sz w:val="18"/>
          <w:szCs w:val="18"/>
          <w:color w:val="auto"/>
        </w:rPr>
        <w:t>. (a) Stockholder Approval Limitation. Notwithstanding anything to the contrary contained in this Agreement or any other Transaction Document, the Company shall not issue shares of Common Stock pursuant to the Transaction Documents to the extent (but only to the extent) that such issuance would require stockholder approval pursuant to the rules or regulations of the applicable Trading Market, including Nasdaq Listing Rule 5635(d) (or any successor provision), unless and until such stockholder approval is obtained. Any purported issuance in excess of such limitation shall be deemed null and void ab initio and of no force or effect. (b) Deferred Issuance. To the extent any issuance of Common Stock pursuant to the Transaction Documents is prohibited by the foregoing limitation, the Purchaser shall be entitled to receive such shares promptly upon the receipt of the requisite stockholder approval, without any further action, consent, or agreement of the Company. (c) Obligation to Seek Approval. If, at any time, conversion of the Preferred Shares or exercise of the Warrant would require the issuance of shares of Common Stock in excess of the limitation set forth in Section 4.13(a), the Company shall, at its sole cost and expense, take all necessary action to obtain stockholder approval for the issuance of all shares of Common Stock issuable pursuant to the Transaction Documents in compliance with Nasdaq Listing Rule 5635(d) (or any successor provision) at the next annual meeting of stockholders following such date, or a duly noticed special meeting of stockholders, in either case held no later than June 30, 2026. The Company shall use its commercially reasonable best efforts to obtain such stockholder approval. The failure of the Company to obtain such stockholder approval within such period, after exercising commercially reasonable best efforts, shall not by itself constitute a material breach hereunder. (d) Transfer Agent Reserve. The Company shall, on or prior to the Closing Date, cause its transfer agent to execute and deliver to the Purchaser an irrevocable transfer agent letter, in form and substance reasonably acceptable to the Purchaser, reserving initially 5,000,000 shares of Common Stock, provided that such reserve shall at all times equal no less than one hundred fifty percent (150%) of the Required Minimum. The Company shall at all times maintain a sufficient number of reserved shares of Common Stock for issuance to the Purchaser upon conversion of the Preferred Shares and Warrant Shares under the Transaction Documents, and shall promptly cause the transfer agent to increase such reserve upon any event requiring additional shares. The failure of the Company to maintain such reserve at any time shall constitute a material breach of this Agreement and the Transaction Documents.</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Prohibition on Merchant Cash Advances</w:t>
      </w:r>
      <w:r>
        <w:rPr>
          <w:rFonts w:ascii="Times New Roman" w:cs="Times New Roman" w:eastAsia="Times New Roman" w:hAnsi="Times New Roman"/>
          <w:sz w:val="18"/>
          <w:szCs w:val="18"/>
          <w:color w:val="auto"/>
        </w:rPr>
        <w:t>. From the date hereof until the date that is twelve (12) months after the Closing Date, neither the Company nor any Subsidiary shall incur, create, assume, or permit to exist any indebtedness or obligation arising from or in connection with a merchant cash advance or any similar revenue-based, receivables-based, or future receivables financing arrangement (each, an “MCA Obligation”). The incurrence of any MCA Obligation by the Company or any Subsidiary shall constitute a material breach of this Agreement. For the avoidance of doubt, the term “MCA Obligation” includes any arrangement in which a lender or financing party purchases or purports to purchase future receivables, revenues, or cash flows of the Company or any Subsidiary, regardless of how such arrangement is characterized or documented by the parties thereto.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Purchaser covenants that until such time as the transactions contemplated by this Agreement are publicly disclosed by the Company pursuant to the Signing Form 8-K as described in Section 4.6, the Purchaser will maintain the confidentiality of the existence and terms of this transaction and the information included in the Transaction Documents and the Disclosure Schedules, subject to customary disclosure to its representatives, including, without limitation, its officers, directors, partners, legal and other advisors, employees, agents and Affiliates that are required to be informed in connection with the transactions contemplated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Amended Registration Statement</w:t>
      </w:r>
      <w:r>
        <w:rPr>
          <w:rFonts w:ascii="Times New Roman" w:cs="Times New Roman" w:eastAsia="Times New Roman" w:hAnsi="Times New Roman"/>
          <w:sz w:val="18"/>
          <w:szCs w:val="18"/>
          <w:color w:val="auto"/>
        </w:rPr>
        <w:t>. If, at the time of Company’s filing of its Annual Report on Form 10-K or at any time while any Preferred Shares remain outstanding or any Warrant Shares remain outstanding , the Company shall cease to be eligible to use Form S-3 for the Registration Statement or a subsequent registration statement on Form S-3 for the registration of the Conversion Shares (“</w:t>
      </w:r>
      <w:r>
        <w:rPr>
          <w:rFonts w:ascii="Times New Roman" w:cs="Times New Roman" w:eastAsia="Times New Roman" w:hAnsi="Times New Roman"/>
          <w:sz w:val="18"/>
          <w:szCs w:val="18"/>
          <w:u w:val="single" w:color="auto"/>
          <w:color w:val="auto"/>
        </w:rPr>
        <w:t>Form S-3 Unavailability</w:t>
      </w:r>
      <w:r>
        <w:rPr>
          <w:rFonts w:ascii="Times New Roman" w:cs="Times New Roman" w:eastAsia="Times New Roman" w:hAnsi="Times New Roman"/>
          <w:sz w:val="18"/>
          <w:szCs w:val="18"/>
          <w:color w:val="auto"/>
        </w:rPr>
        <w:t>”), the Company shall file an amendment to the Registration Statement or such subsequent registration statement with the Commission to amend the form of the Registration Statement or such subsequent registration statement to Form S-1 or such other form as is available to register the Conversion Shares for resale on a continuous basis pursuant to Rule 415 (the “</w:t>
      </w:r>
      <w:r>
        <w:rPr>
          <w:rFonts w:ascii="Times New Roman" w:cs="Times New Roman" w:eastAsia="Times New Roman" w:hAnsi="Times New Roman"/>
          <w:sz w:val="18"/>
          <w:szCs w:val="18"/>
          <w:u w:val="single" w:color="auto"/>
          <w:color w:val="auto"/>
        </w:rPr>
        <w:t>Amended Registration Statement</w:t>
      </w:r>
      <w:r>
        <w:rPr>
          <w:rFonts w:ascii="Times New Roman" w:cs="Times New Roman" w:eastAsia="Times New Roman" w:hAnsi="Times New Roman"/>
          <w:sz w:val="18"/>
          <w:szCs w:val="18"/>
          <w:color w:val="auto"/>
        </w:rPr>
        <w:t>” ). The Company covenants that the Company shall file the Amended Registration Statement within the time period required by the Registration Rights Agreement and shall use the efforts required thereunder to cause the Amended Registration Statement to be declared effective under the Securities Act as promptly as possible after the filing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No Short Sales or Hedging</w:t>
      </w:r>
      <w:r>
        <w:rPr>
          <w:rFonts w:ascii="Times New Roman" w:cs="Times New Roman" w:eastAsia="Times New Roman" w:hAnsi="Times New Roman"/>
          <w:sz w:val="18"/>
          <w:szCs w:val="18"/>
          <w:color w:val="auto"/>
        </w:rPr>
        <w:t>. From the date hereof until six (6) months after the effective date of the initial Registration Statement, the Purchaser shall not, and shall cause its Affiliates not to, directly or indirectly, (A) effect any “short sale” of the Common Stock (as defined in Rule 200 of Regulation SHO), (B) establish any “put equivalent position” (as defined in Rule 16a-1(h) under the Exchange Act), or (C) enter into any swap, hedge, derivative, collar, option, or similar transaction transferring any economic consequence of ownership of the Common Stock. Within ten (10) Business Days after each calendar month-end, the Purchaser shall deliver to the Company a senior-officer certificate confirming compliance with this Section and disclosing the Purchaser’s and its Affiliates’ aggregate long position in, and all sales of, the Common Stock during such month, together with such broker confirmations as the Company may reasonably request to verify compliance. Any breach shall constitute a material breach of this Agreement, and the Company shall be entitled to specific performance and injunctive relief without the necessity of posting a bond.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either party, without any effect whatsoever on the obligations between the Company and the Purchaser under Sections intended to survive termination, by written notice to the other party, if the Closing has not been consummated on or before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will not affect the right of any party to sue for any breach by the other party.</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Company shall reimburse the Purchaser for its legal fees and expenses not to exceed $25,000 in connection with the transactions contemplated by the Transaction Documents which amount shall be withheld by the Purchaser from the Subscription Amount at Closing as set forth in the Closing Statement attached hereto as Annex A. The Company shall pay all Transfer Agent fees (including, without limitation, any fees required for same-day processing of any instruction letter delivered by the Company and any conversion notice delivered by the Purchaser), stamp taxes and other taxes and duties levied in connection with the delivery of any Securities to the Purchaser.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and other communications required or permitted hereunder or under any other Transaction Document shall be in writing and shall be transmitted exclusively by electronic mail to the email addresses set forth below or to such other email address as such party shall have specified most recently by written notice in accordance with this Section. No notice delivered by mail, courier, overnight delivery service or any other method shall constitute effective notice hereunder or under any Transaction Document. Any notice or other communication required or permitted to be given hereunder or under any Transaction Document shall be deemed effective upon electronic mail delivery at the designated email address below (if delivered on a Business Day during normal business hours where such notice is to be received), or the first Business Day following such delivery (if delivered other than on a Business Day during normal business hours where such notice is to be received). The physical addresses set forth below are provided for identification purposes only.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Mobix Labs,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Venture, Suite 220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Keyvan Samini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ksamini@mobixlabs.com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Purchaser: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Kips Bay Select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78 SW 7th St, Ste 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John Miller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accounting@kipsbaycm.com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(which shall not constitute notice): dberger@bergerlawpllc.com</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 of Securities and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in connection with a transfer of any Securities, provided that such transferee agrees in writing to be bound, with respect to the transferred Securities, by the provisions of the Transaction Documents that apply to the “Purchaser.”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principles of conflicts of laws. Notwithstanding anything to the contrary herein or any other document executed in connection herewith, any dispute, claim or controversy arising out of or relating to this Agreement, or the other Transaction Documents, or the breach, termination, enforcement, interpretation or validity thereof, including the determination of the scope or applicability of this agreement to arbitrate, shall be determined by arbitration administered by Mediation and Civil Arbitration, Inc. d/b/a RapidRuling (www.rapidruling.com) in accordance with its Commercial Arbitration Rules effective at the time a claim is made, and judgment on the award rendered by the arbitrator(s) may be entered in any court having jurisdiction thereof. Arbitrators shall be appointed by RapidRuling and any hearing shall be held via video or telephone conference. The parties agree that no objection shall be taken to the decision, order or award of the tribunal following any such hearing on the basis that the hearing was held by video or telephone conference. In the event of any legal action (including arbitration) to enforce or interpret this Agreement or any Transaction Document, the non-prevailing Party shall pay (x) the attorneys’ fees and other costs and expenses (including expert witness fees) of the prevailing Party in such amount as may be determined, plus (y) reasonable attorneys’ fees incurred by the prevailing Party in enforcing, or on appeal from, a judgment in favor of the prevailing Party. In any arbitration, the arbitrator shall include any such award in the arbitration award. EACH PARTY HEREBY WAIVES ITS RIGHT TO A TRIAL BY JURY. Each party hereby irrevocably waives personal service of process and consents to process being served in any suit, action or proceeding in connection with this Agreement or any other Transaction Document either by (i) mailing a copy thereof via registered or certified mail or overnight delivery (with evidence of delivery) to such party at the address in effect for notices to it under this Agreement or by (ii) electronic service at the email addresses provided in Section 5.4 (or such other address as may be designated by notice in accordance with this Agreement), and agrees that such service shall constitute good and sufficient service of process and notice thereof. Nothing contained herein shall be deemed to limit in any way any right to serve process in any other manner permitted by law. No claimed breach of contract or violation of law by the Purchaser or any of its affiliates shall operate to extinguish the Company’s obligations under this Section.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jc w:val="both"/>
        <w:ind w:firstLine="1304"/>
        <w:spacing w:after="0" w:line="253" w:lineRule="auto"/>
        <w:tabs>
          <w:tab w:leader="none" w:pos="15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request by any Party for specific performance and temporary, preliminary or permanent injunctive relief, whether prohibitive or mandatory, the appointment of a receiver, and the enforcement of security interests and other remedies with respect to the Collateral under the Security Agreement or other Transaction Documents, shall not be subject to arbitration and shall be adjudicated only by the state and/or federal courts residing in Wilmington, Delaware, and each Party irrevocably submits to the exclusive jurisdiction of such courts for such purposes, and waives and agrees not to assert in any such proceeding a claim that he or it is not personally subject to the courts referred to above, that the suit or action was brought in an inconvenient forum or that the venue of the suit or action is improper. The Company further acknowledges that a breach by it of its obligations hereunder will cause irreparable harm to the Purchaser, by vitiating the intent and purpose of the transaction contemplated hereby. Accordingly, the Company acknowledges that the remedy at law for a breach of its obligations under this Agreement may be inadequate and agrees, in the event of a breach or threatened breach by the Company of the provisions of this Agreement, that the Purchaser shall be entitled, in addition to all other available remedies at law or in equity, and in addition to the penalties assessable herein, to seek equitable relief, including without limitation temporary restraining orders, temporary and permanent injunctions, and specific performance, and such equitable relief may be sought without the necessity of showing economic loss and without the necessity of posting a bond or other security.</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5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notice and service provisions of this Section 5.9 shall control with respect to the commencement and conduct of any arbitration or legal proceeding, notwithstanding Section 5.4 or any other notice provision in this Agreement or any Transaction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 conversion of the Preferred Shares, the applicable Purchaser shall be required to return any shares of Common Stock subject to any such rescinded conversion notice concurrently with the restoration of such Purchaser’s rights under the Certificate of Designation with respect to such rescinded conversion.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Usury</w:t>
      </w:r>
      <w:r>
        <w:rPr>
          <w:rFonts w:ascii="Times New Roman" w:cs="Times New Roman" w:eastAsia="Times New Roman" w:hAnsi="Times New Roman"/>
          <w:sz w:val="18"/>
          <w:szCs w:val="18"/>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each Closing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Nothing contained herein or in any other Transaction Document, and no action taken by the Purchaser pursuant hereto or thereto, shall be deemed to create a partnership, an association, a joint venture or any other kind of entity between the Company and the Purchaser other than the contractual relationship expressly set forth herein and therein. The Purchaser shall be entitled to independently protect and enforce its rights, including, without limitation, the rights arising out of this Agreement or out of the other Transaction Documents. It is expressly understood and agreed that each provision contained in this Agreement and in each other Transaction Document is between the Company and the Purchaser, solely.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Any breach of any representation, warranty, covenant, agreement or obligation contained in any Transaction Document shall constitute a breach of this Agreement and each other Transaction Document.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KIPS BAY SELECT LP</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Miller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38" w:name="page139"/>
    <w:bookmarkEnd w:id="138"/>
    <w:p>
      <w:pPr>
        <w:ind w:left="1032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19, 2026, is entered into by and among Mobix Labs,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Kips Bay Select LP, a limited partnership organized under the laws of the State of Delaware, or registered assigns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In connection with the Securities Purchase Agreement by and among the parties hereto, dated as of the date hereof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the Investor,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Preferred Shares, the Warrant, and the Warrant Shares (each as defined in the Securities Purchase Agreement), which are convertible or exercisable into Conversion Shares (as defined in the Securities Purchase Agreement) in accordance with the terms of the Certificate of Designation (as defined in the Securities Purchase Agreement), as applicable. All Conversion Shares issuable pursuant to the Transaction Documents, including all shares of Common Stock issuable upon (i) conversion of the Preferred Shares and (ii) conversion of the Warrant Shares, are herein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To induce the Investor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 hereby agree as follows: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firstLine="1304"/>
        <w:spacing w:after="0" w:line="286" w:lineRule="auto"/>
        <w:tabs>
          <w:tab w:leader="none" w:pos="158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9" w:name="page140"/>
    <w:bookmarkEnd w:id="139"/>
    <w:p>
      <w:pPr>
        <w:jc w:val="both"/>
        <w:ind w:firstLine="1304"/>
        <w:spacing w:after="0" w:line="268" w:lineRule="auto"/>
        <w:tabs>
          <w:tab w:leader="none" w:pos="15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and any Common Stock issued or issuable with respect to the Shares as a result of any stock split or subdivision, stock dividend, recapitalization, exchange or similar event. Registrable Securities shall cease to be Registrable Securities upon the earlier of (i) the date on which the Investor shall have resold all the Registrable Securities held by the Investor covered by the Registration Statement and (ii) the date on which the Registrable Securities may be resold by the Investor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15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the Investor’s disposition of the Registrable Securities.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0" w:name="page141"/>
    <w:bookmarkEnd w:id="140"/>
    <w:p>
      <w:pPr>
        <w:ind w:left="840" w:hanging="184"/>
        <w:spacing w:after="0"/>
        <w:tabs>
          <w:tab w:leader="none" w:pos="8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10 calendar days after the Closing Date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prepare and file with the SEC an initial Registration Statement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xml:space="preserve">”) covering the resale of all Registrable Securities on a new Registration Statement on Form S-1 (or such other form as is then available to the Company). The Initial Registration Statement shall cover a minimum of 3,300,000 shares of Common Stock. Before filing the Registration Statement, the Company shall furnish to the Investor a copy of the Registration Statement. The Investor and its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of securities of the Company without the prior written consent of the Investor. The Company shall (a) use commercially reasonable efforts to address in each such document prior to being so filed with the SEC such comments as the Investor or its counsel reasonably proposed by the Investor, and (b) not file any Registration Statement or Prospectus or any amendment or supplement thereto containing information regarding the Investor to which Investor reasonably objects, unless such information is required to comply with any applicable law or regulation. The Investor shall furnish all information reasonably requested by the Company and as shall be reasonably required in connection with any registration referred to in this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reasonable best efforts to have the Initial Registration Statement and any amendment declared effective by the SEC at the earliest possible date but no later than the earlier of (a) the 30th calendar day following the Closing Date and (b) the third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provided, however, that in the event of a United States federal government shutdown (a “Government Shutdown”), the Effectiveness Deadline shall be automatically extended by a period equal to the lesser of (i) one (1) calendar day for each calendar day during which such Government Shutdown continues and (ii) fifteen (15) calendar days following the date on which the United States federal government reopens and normal SEC operations resume (the “Shutdown Extension”).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 of all of the Registrable Securities covered thereby at all times until the earliest to occur of the following events: (i) the date on which the Investor shall have resold all the Registrable Securities covered thereby; and (ii) the date on which the Registrable Securities may be resold by the Investor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1" w:name="page142"/>
    <w:bookmarkEnd w:id="141"/>
    <w:p>
      <w:pPr>
        <w:jc w:val="both"/>
        <w:ind w:firstLine="1304"/>
        <w:spacing w:after="0" w:line="251" w:lineRule="auto"/>
        <w:tabs>
          <w:tab w:leader="none" w:pos="15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Liquidated Damages for Registration Failures. If (i) the Company fails to file the Initial Registration Statement with the SEC on or prior to the Filing Deadline, (ii) the Initial Registration Statement is not declared effective by the SEC on or prior to the Effectiveness Deadline (as the same may be extended pursuant to the Shutdown Extension set forth in Section 2(b)), or any New Registration Statement is not declared effective by the SEC on or prior to the New Registration Effectiveness Deadline, in each case as required under this Agreement, or (iii) any Registration Statement required to be maintained effective pursuant to this Agreement is withdrawn, ceases to remain effective as required by this Agreement or otherwise no longer complies in all material respects with the requirements of Section 10(a) of the Securities Act or Rule 415 of the Securities Act, then, upon the occurrence of any such failure, the Company shall automatically pay to the Investor, as liquidated damages and not as a penalty, an aggregate cash amount equal to $100,000 within three (3) calendar days after the date of such failure. In addition, for each 30-day period (or part thereof) during which any such failure continues and remains uncured, the Company shall automatically pay to the Investor additional liquidated damages equal to 2% of the aggregate value of all Registrable Securities (calculated based on the VWAP of the Common Stock on the Trading Day immediately preceding the applicable payment date), due within three (3) calendar days after the end of each such 30-day period; provided that, if such failure is cured prior to the end of any 30-day period, the pro rata portion of such 2% amount accrued through the cure date shall be due within three (3) calendar days after such cure date. Notwithstanding the foregoing, no liquidated damages shall accrue or be payable to the extent that any failure to meet the Effectiveness Deadline is solely attributable to a Government Shutdown, and only for the number of days of such failure that fall within the applicable Shutdown Extension period. The liquidated damages payable for each of the foregoing failures are separate and independent obligations to the extent more than one such failure occurs. All such liquidated damages shall be in addition to, and not in lieu of, any other remedies available to the Investor under this Agreement or otherwise. Notwithstanding anything to the contrary in this Section 2(c): (i) the Company may, at its option, satisfy any obligation to pay liquidated damages under this Section 2(c) by issuing duly authorized, validly issued, fully paid and non-assessable shares of Preferred Stock, with each $1,000 of liquidated damages amount (or portion thereof) to be satisfied by the issuance of one share of Preferred Stock with a Stated Value of $1,200 (or a pro rata portion of a share thereof) (the “LD Share Amount”), provided that the following conditions are satisfied at the time of such issuance (the “RRA Equity Conditions”): (A) the Corporation shall have duly honored all conversions scheduled to occur or occurring by virtue of one or more Notices of Conversion of the applicable Holder on or prior to the dates so requested or required, (B) the Common Stock is trading on a Trading Market and all of the shares issuable pursuant to the Transaction Documents are listed or quoted for trading on such Trading Market, (C) there is a sufficient number of authorized but unissued and otherwise unreserved shares of Preferred Stock for the issuance of all shares of Preferred Stock then issuable pursuant to the Transaction Documents and there is no existing Authorized Share Failure with respect thereto, (D) there has been no public announcement of a pending or proposed Fundamental Transaction or Change of Control Transaction that has not been consummated, and (E) the applicable Holder is not in possession of any information provided by the Corporation, any of its Subsidiaries, or any of their officers, directors, employees, agents or Affiliates, that constitutes, or may constitute, material non-public information; and provided further that, for the avoidance of doubt, the RRA Equity Conditions shall not include any requirement that there be an effective Registration Statement, that all liquidated damages or other amounts be currently paid, or that no Triggering Event exist or be imminent, in each case to the extent that such condition would be automatically unsatisfied solely by reason of the registration failure giving rise to the liquidated damages obligation being settled; with such Preferred Stock shares to be delivered to the Investor no later than the earlier of (x) two (2) Trading Days and (y) the number of days comprising the Standard Settlement Period (as defined in the Certificate of Designation) following the applicable payment date, and the Investor shall be deemed for all corporate purposes to have become the holder of record of such shares as of such payment date; if the RRA Equity Conditions are not satisfied at the time any liquidated damages payment is due, the Company shall pay such amount in cash; (ii) no liquidated damages shall accrue or be payable to the extent any failure to meet the Filing Deadline, the Effectiveness Deadline, the New Registration Filing Deadline, the New Registration Effectiveness Deadline, the Replenishment Filing Deadline or the Replenishment Effectiveness Deadline is solely attributable to delays caused by the SEC or its staff acting outside the ordinary course (including review periods exceeding customary norms or comments materially extending the timeline); and (iii) any amounts paid or payable by the Company as liquidated damages under this Section 2(c) in respect of a registration failure shall be credited against, and shall not be duplicative of, any Triggering Event Liquidated Damages payable under Section 10(c) of the Certificate of Designation with respect to the same registration failure, and any Triggering Event Liquidated Damages paid under the Certificate of Designation in respect of the same registration failure shall correspondingly reduce the amounts payable hereunder; provided that such credit shall not limit any other remedies available to the Investor that are not duplicative of such liquidated damages.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jc w:val="both"/>
        <w:ind w:firstLine="1304"/>
        <w:spacing w:after="0" w:line="253" w:lineRule="auto"/>
        <w:tabs>
          <w:tab w:leader="none" w:pos="15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five Business Days after the necessity therefor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reasonable best efforts to have such amendment and/or New Registration Statement become effective as soon as reasonably practicable following the filing thereof but no later than the earlier of (a) the 30th calendar day following the initial filing date of the New Registration Statement, if the SEC notifies the Company that it will “review” the New Registration Statement, and (b) the third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 Registration Effectiveness Deadline</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apply to the New Registration Statement, except as modified hereby.</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Replenishment Registration</w:t>
      </w:r>
      <w:r>
        <w:rPr>
          <w:rFonts w:ascii="Times New Roman" w:cs="Times New Roman" w:eastAsia="Times New Roman" w:hAnsi="Times New Roman"/>
          <w:sz w:val="18"/>
          <w:szCs w:val="18"/>
          <w:color w:val="auto"/>
        </w:rPr>
        <w:t>. In the event that the aggregate number of shares of Common Stock issued to the Investor upon conversion pursuant to the Transaction Documents equals or exceeds fifty percent (50%) of the total Registrable Securities covered by any Registration Statement as of its effective date, the Company shall, within five (5) Business Days of such event (the “Replenishment Filing Deadline”), file a new Registration Statement on Form S-1 (or such other form as is then available to the Company) registering for resale all remaining Registrable Securities not then covered by an effective Registration Statement. The Company shall cause such new Registration Statement to be declared effective by the SEC no later than the earlier of (a) thirty (30) calendar days following the Replenishment Filing Deadline and (b) the third Business Day after the date the Company is notified (orally or in writing, whichever is earlier) by the SEC that such Registration Statement will not be “reviewed” or will not be subject to further review (the “Replenishment Effectiveness Deadline”). The liquidated damages provisions of Section 2(c) shall apply to any failure to meet the Replenishment Filing Deadline or the Replenishment Effectiveness Deadline.</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3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the Investor to be named as an “underwriter,” the Company shall (i) promptly notify the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the Investor is not an “underwriter.” The Investor shall have the right to select one legal counsel to review and oversee any registration or matters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reasonable best efforts and compliance with the terms of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Cut 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provided, however, that the Company shall not name the Investor as an “underwriter” in such Registration Statement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consent of the Investor (provided that, in the event the Investor withholds such consent, the Company shall have no obligation hereunder to include any Registrable Securities of the Investor in any Registration Statement covering the resale thereof until such time as the SEC no longer requires the Investor to be named as an “underwriter” in such Registration Statement or the Investor otherwise consents in writing to being so named). Any cut-back imposed on the Investor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applied first to any of the Registrable Securities of the Investor as the Investor shall designate, unless the SEC Restrictions otherwise require or provide.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2(f), the Investor shall respond to any request from the Company for consent to a written submission to the SEC pursuant to this Section 2(f) within twenty (20) Business Days of the Company’s delivery of such request (together with the proposed submission). If the Investor does not respond within such twenty (20) Business Day period, the Investor shall be deemed to have withheld consent to the inclusion of its Cut Back Shares in such submission, and the Company shall proceed with such submission excluding all of the Investor’s Cut Back Shares; provided that the exclusion of the Investor’s Cut Back Shares from any such submission shall not affect or limit any of the Investor’s rights under this Agreement with respect to such Cut Back Shares, including the right to have such Cut Back Shares registered pursuant to a subsequent Registration Statement in accordance with the terms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RELATED COMPANY OBLIGATIONS.</w:t>
      </w:r>
    </w:p>
    <w:p>
      <w:pPr>
        <w:spacing w:after="0" w:line="229"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spacing w:after="0" w:line="180" w:lineRule="exact"/>
        <w:rPr>
          <w:sz w:val="20"/>
          <w:szCs w:val="20"/>
          <w:color w:val="auto"/>
        </w:rPr>
      </w:pPr>
    </w:p>
    <w:p>
      <w:pPr>
        <w:jc w:val="both"/>
        <w:ind w:firstLine="1304"/>
        <w:spacing w:after="0" w:line="261" w:lineRule="auto"/>
        <w:tabs>
          <w:tab w:leader="none" w:pos="1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(b) in the reasonable opinion of the Investor and the Company, as may be necessary or advisable in connection with any acquisition or sale of Registrable Securities by the Investor.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 the Registrable Securities or the transactions contemplated hereby unless (A) the Investor and its counsel shall have been advised and afforded the opportunity to review and comment thereon at least three (3) Business Days prior to filing with the SEC and (B) the Company shall have given reasonable due consideration to any comments thereon received from the Investor or its counsel.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both"/>
        <w:ind w:firstLine="1304"/>
        <w:spacing w:after="0" w:line="253" w:lineRule="auto"/>
        <w:tabs>
          <w:tab w:leader="none" w:pos="15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will furnish to the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the Investor may reasonably request in order to facilitate the disposition of the Registrable Securities owned by the Investor that are covered by such Registration Statement, in each case as soon as reasonably practicable upon the Investor’s request and in such quantities as the Investor may from time to time reasonably request; provided, however, that the Company shall not be required to furnish any document to the Investor to the extent such document is available on EDGAR.</w:t>
      </w:r>
    </w:p>
    <w:p>
      <w:pPr>
        <w:spacing w:after="0" w:line="194"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 the substance of specific reasons of any of the events set forth in clause (i) to (iii)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both"/>
        <w:ind w:firstLine="1304"/>
        <w:spacing w:after="0" w:line="261" w:lineRule="auto"/>
        <w:tabs>
          <w:tab w:leader="none" w:pos="15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the Investor at any time in respect of any Registration Statement, the Company shall deliver to the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best efforts to cause all Registrable Securities covered by a Registration Statement to be listed on the Nasdaq Capital Market.</w:t>
      </w:r>
    </w:p>
    <w:p>
      <w:pPr>
        <w:spacing w:after="0" w:line="161" w:lineRule="exact"/>
        <w:rPr>
          <w:rFonts w:ascii="Times New Roman" w:cs="Times New Roman" w:eastAsia="Times New Roman" w:hAnsi="Times New Roman"/>
          <w:sz w:val="18"/>
          <w:szCs w:val="18"/>
          <w:color w:val="auto"/>
        </w:rPr>
      </w:pPr>
    </w:p>
    <w:p>
      <w:pPr>
        <w:jc w:val="both"/>
        <w:ind w:firstLine="1303"/>
        <w:spacing w:after="0" w:line="241" w:lineRule="auto"/>
        <w:tabs>
          <w:tab w:leader="none" w:pos="15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subsection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w:t>
      </w:r>
    </w:p>
    <w:p>
      <w:pPr>
        <w:spacing w:after="0" w:line="7"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such Registration Statement,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end of such fourth fiscal quarter).</w:t>
      </w:r>
    </w:p>
    <w:p>
      <w:pPr>
        <w:spacing w:after="0" w:line="198" w:lineRule="exact"/>
        <w:rPr>
          <w:sz w:val="20"/>
          <w:szCs w:val="20"/>
          <w:color w:val="auto"/>
        </w:rPr>
      </w:pPr>
    </w:p>
    <w:p>
      <w:pPr>
        <w:jc w:val="both"/>
        <w:ind w:firstLine="1304"/>
        <w:spacing w:after="0" w:line="258" w:lineRule="auto"/>
        <w:tabs>
          <w:tab w:leader="none" w:pos="151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register or qualify or cooperate with the Investor and its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both"/>
        <w:ind w:firstLine="1304"/>
        <w:spacing w:after="0" w:line="257" w:lineRule="auto"/>
        <w:tabs>
          <w:tab w:leader="none" w:pos="1524"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 the benefits of Rule 144 (or its successor rule) and any other rule or regulation of the SEC that may at any time permit the Investor to sell shares of Common Stock to the public without registration, the Company covenants and agrees to: (i) make and keep adequate current public information available, as those terms are understood and defined in Rule 144, until the earlier of</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after such date as all of the Registrable Securities may be sold without restriction by the holder thereof pursuant to Rule 144 or any other rule of similar effect or (B) such date as there are no longer Registrable Securities; and (ii) file with the SEC in a timely manner all reports and other documents required of the Company under the Exchange Act; (iii) furnish electronically to the Investor upon request, as long as the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the Investor of any rule or regulation of the SEC that permits the selling of any such Registrable Securities without registration.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4"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The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connection with the registration of the Registrable Securities. If the Company has not received such completed Questionnaire from the Investor within three business days of the Company’s request, the Company may file the Registration Statement without including the Investor’s Registrable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Investor agrees that, upon receipt of any notice from the Company of the existence of a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 will promptly discontinue disposition of Registrable Securities pursuant to any Registration Statement covering such Registrable Securities until the Investor’s receipt of a notice from the Company confirming the resolution of such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the Investor’s receipt of the notice from the Company of the existence of the Suspension Event. The Company shall cause its transfer agent to deliver unlegended shares of Common Stock to a transferee of the Investor in accordance with any sale of Registrable Securities pursuant to a Registration Statement with respect to which the Investor has entered into a contract for sale prior to the Investor’s receipt of the notice from the Company of the existence of the Suspension Event.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jc w:val="both"/>
        <w:ind w:firstLine="1304"/>
        <w:spacing w:after="0" w:line="266" w:lineRule="auto"/>
        <w:tabs>
          <w:tab w:leader="none" w:pos="155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The Investor agrees to cooperate with the Company as reasonably requested by the Company in connection with the preparation and filing of any amendments and supplements to any Registration Statement or New Registration Statement hereunder, unless the Investor has notified the Company in writing of its election to exclude all of its Registrable Securities from such Registration Statement.</w:t>
      </w:r>
    </w:p>
    <w:p>
      <w:pPr>
        <w:spacing w:after="0" w:line="17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 shall be borne by the Investor.</w:t>
      </w:r>
    </w:p>
    <w:p>
      <w:pPr>
        <w:spacing w:after="0" w:line="158" w:lineRule="exact"/>
        <w:rPr>
          <w:sz w:val="20"/>
          <w:szCs w:val="20"/>
          <w:color w:val="auto"/>
        </w:rPr>
      </w:pPr>
    </w:p>
    <w:p>
      <w:pPr>
        <w:ind w:left="840" w:hanging="184"/>
        <w:spacing w:after="0"/>
        <w:tabs>
          <w:tab w:leader="none" w:pos="8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1" w:lineRule="auto"/>
        <w:tabs>
          <w:tab w:leader="none" w:pos="155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the Investor, each Person, if any, who controls the Investor, the members, the directors, officers, partners, employees, members, managers, agents, representatives and advisors of the Investor and each Person, if any, who controls the Investor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Investor or such Indemnified Person specifically for use in such Registration Statement or prospectus and was reviewed and approved in writing by the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jc w:val="both"/>
        <w:ind w:firstLine="1304"/>
        <w:spacing w:after="0" w:line="253" w:lineRule="auto"/>
        <w:tabs>
          <w:tab w:leader="none" w:pos="157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Initial Registration Statement, any New Registration Statement or any Prospectus, the Investor agrees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the Investor furnished in writing by the Investor to the Company and reviewed and approved in writing by the Investor or such Indemnified Person expressly for use in connection with the preparation of the Registration Statement, any New Registration Statement, any prospectus or any such amendment thereof or supplement thereto. In no event shall the liability of the Investor be greater in amount than the dollar amount of the proceeds (net of all expense paid by the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the Investor has otherwise been required to pay by reason of such untrue statement or omission) received by the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the Investor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w:t>
      </w:r>
    </w:p>
    <w:p>
      <w:pPr>
        <w:spacing w:after="0" w:line="189" w:lineRule="exact"/>
        <w:rPr>
          <w:rFonts w:ascii="Times New Roman" w:cs="Times New Roman" w:eastAsia="Times New Roman" w:hAnsi="Times New Roman"/>
          <w:sz w:val="18"/>
          <w:szCs w:val="18"/>
          <w:color w:val="auto"/>
        </w:rPr>
      </w:pPr>
    </w:p>
    <w:p>
      <w:pPr>
        <w:jc w:val="both"/>
        <w:ind w:firstLine="1303"/>
        <w:spacing w:after="0" w:line="251" w:lineRule="auto"/>
        <w:tabs>
          <w:tab w:leader="none" w:pos="15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9" w:name="page150"/>
    <w:bookmarkEnd w:id="149"/>
    <w:p>
      <w:pPr>
        <w:jc w:val="both"/>
        <w:ind w:firstLine="1304"/>
        <w:spacing w:after="0" w:line="261" w:lineRule="auto"/>
        <w:tabs>
          <w:tab w:leader="none" w:pos="156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4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5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ASSIGNMENT OF REGISTRATION RIGHTS.</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Investor;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 shall not be required for such transaction.</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Investor may transfer or assign its rights hereunder, in whole or from time to time in part, to one or more Persons in connection with the transfer by the Investor to such Person, provided that the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Investor and its successors and permitted assigns.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b w:val="1"/>
          <w:bCs w:val="1"/>
          <w:color w:val="auto"/>
        </w:rPr>
        <w:t>9. AMENDMENTS AND WAIVERS.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provisions of this Agreement, including the provisions of this sentence, may be amended, modified or supplemented, or waived only by a written instrument executed by (i) the Company and (ii) the Investor, provided that (1) any party may give a waiver as to itself, and (2) any amendments to Section 6, Section 2(c), or to the definitions of “Filing Deadline,” “Effectiveness Deadline,” or “Registration Period” shall require the written consent of the Investor.</w:t>
      </w:r>
    </w:p>
    <w:p>
      <w:pPr>
        <w:spacing w:after="0" w:line="176" w:lineRule="exact"/>
        <w:rPr>
          <w:sz w:val="20"/>
          <w:szCs w:val="20"/>
          <w:color w:val="auto"/>
        </w:rPr>
      </w:pPr>
    </w:p>
    <w:p>
      <w:pPr>
        <w:ind w:left="920" w:hanging="264"/>
        <w:spacing w:after="0"/>
        <w:tabs>
          <w:tab w:leader="none" w:pos="9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6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and other communications required or permitted hereunder shall be governed exclusively by Section 5.4 of the Securities Purchase Agreement, which is incorporated herein by reference as if set forth herein in full, including with respect to permitted methods of delivery, timing, effectiveness, addresses and electronic service. In the event of any inconsistency between this Agreement and the Securities Purchase Agreement with respect to notices, the Securities Purchase Agreement shall control.</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1" w:name="page152"/>
    <w:bookmarkEnd w:id="151"/>
    <w:p>
      <w:pPr>
        <w:jc w:val="both"/>
        <w:ind w:firstLine="1304"/>
        <w:spacing w:after="0" w:line="258" w:lineRule="auto"/>
        <w:tabs>
          <w:tab w:leader="none" w:pos="15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2"/>
          <w:szCs w:val="1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MOBIX LABS,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Keyvan Samini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Keyvan Samini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CFO and Acting General Counsel</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KIPS BAY SELECT LP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Miller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dispositions may be at fixed prices, at prevailing market prices at the time of sale, at prices related to the prevailing market price, at varying prices determined at the time of sale, or at negotiated prices.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4" w:name="page155"/>
    <w:bookmarkEnd w:id="154"/>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-1908175</wp:posOffset>
            </wp:positionV>
            <wp:extent cx="63093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-1222375</wp:posOffset>
            </wp:positionV>
            <wp:extent cx="63093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-399415</wp:posOffset>
            </wp:positionV>
            <wp:extent cx="63093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E-Mail: _______________________________________________________________________________________</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Contact Person:</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56" w:name="page157"/>
    <w:bookmarkEnd w:id="156"/>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ind w:left="5620"/>
        <w:spacing w:after="0" w:line="207" w:lineRule="exact"/>
        <w:tabs>
          <w:tab w:leader="none" w:pos="6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ind w:left="5620"/>
        <w:spacing w:after="0" w:line="207" w:lineRule="exact"/>
        <w:tabs>
          <w:tab w:leader="none" w:pos="6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3(b), the Commission’s staff has indicated that you should be identified as an underwriter in the Registration Statement.</w:t>
      </w:r>
    </w:p>
    <w:p>
      <w:pPr>
        <w:spacing w:after="0" w:line="237"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ind w:left="5620"/>
        <w:spacing w:after="0" w:line="207" w:lineRule="exact"/>
        <w:tabs>
          <w:tab w:leader="none" w:pos="6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ind w:left="1300" w:hanging="644"/>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ind w:left="5620"/>
        <w:spacing w:after="0" w:line="207" w:lineRule="exact"/>
        <w:tabs>
          <w:tab w:leader="none" w:pos="6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3(d), the Commission’s staff has indicated that you should be identified as an underwriter in the Registration Statement.</w:t>
      </w:r>
    </w:p>
    <w:p>
      <w:pPr>
        <w:spacing w:after="0" w:line="233"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Investor.</w:t>
      </w:r>
    </w:p>
    <w:p>
      <w:pPr>
        <w:spacing w:after="0" w:line="227" w:lineRule="exact"/>
        <w:rPr>
          <w:rFonts w:ascii="Times New Roman" w:cs="Times New Roman" w:eastAsia="Times New Roman" w:hAnsi="Times New Roman"/>
          <w:sz w:val="18"/>
          <w:szCs w:val="18"/>
          <w:b w:val="1"/>
          <w:bCs w:val="1"/>
          <w:color w:val="auto"/>
        </w:rPr>
      </w:pPr>
    </w:p>
    <w:p>
      <w:pPr>
        <w:ind w:left="6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rFonts w:ascii="Times New Roman" w:cs="Times New Roman" w:eastAsia="Times New Roman" w:hAnsi="Times New Roman"/>
          <w:sz w:val="18"/>
          <w:szCs w:val="18"/>
          <w:b w:val="1"/>
          <w:bCs w:val="1"/>
          <w:color w:val="auto"/>
        </w:rPr>
      </w:pPr>
    </w:p>
    <w:p>
      <w:pPr>
        <w:ind w:left="1480" w:hanging="824"/>
        <w:spacing w:after="0"/>
        <w:tabs>
          <w:tab w:leader="none" w:pos="14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-545465</wp:posOffset>
            </wp:positionV>
            <wp:extent cx="61976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-399415</wp:posOffset>
            </wp:positionV>
            <wp:extent cx="61976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283210</wp:posOffset>
            </wp:positionV>
            <wp:extent cx="67208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428625</wp:posOffset>
            </wp:positionV>
            <wp:extent cx="67208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7" w:name="page158"/>
    <w:bookmarkEnd w:id="157"/>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20" w:type="dxa"/>
            <w:vAlign w:val="bottom"/>
            <w:tcBorders>
              <w:bottom w:val="single" w:sz="8" w:color="auto"/>
            </w:tcBorders>
          </w:tcPr>
          <w:p>
            <w:pPr>
              <w:spacing w:after="0"/>
              <w:rPr>
                <w:sz w:val="20"/>
                <w:szCs w:val="20"/>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Beneficial Owner:</w:t>
            </w:r>
          </w:p>
        </w:tc>
      </w:tr>
      <w:tr>
        <w:trPr>
          <w:trHeight w:val="4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Pr>
          <w:p>
            <w:pPr>
              <w:spacing w:after="0"/>
              <w:rPr>
                <w:sz w:val="24"/>
                <w:szCs w:val="24"/>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-419735</wp:posOffset>
            </wp:positionV>
            <wp:extent cx="24942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Sansone, certify that:</w:t>
      </w:r>
    </w:p>
    <w:p>
      <w:pPr>
        <w:spacing w:after="0" w:line="225"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Mobix Labs,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Philip Sansone</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 Sansone</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Keyvan Samini, certify that:</w:t>
      </w:r>
    </w:p>
    <w:p>
      <w:pPr>
        <w:spacing w:after="0" w:line="225"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Mobix Labs,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Keyvan Samini</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Mobix Labs, Inc. (the “Registrant”) on Form 10-Q for the quarter ended March 31, 2026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Philip Sansone</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 Sansone</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Mobix Labs, Inc. (the “Registrant”) on Form 10-Q for the quarter ended March 31, 2026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Keyvan Samini</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lvl w:ilvl="1">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3"/>
    </w:lvl>
  </w:abstractNum>
  <w:abstractNum w:abstractNumId="11">
    <w:nsid w:val="4AD084E9"/>
    <w:multiLevelType w:val="hybridMultilevel"/>
    <w:lvl w:ilvl="0">
      <w:lvlJc w:val="left"/>
      <w:lvlText w:val="%1."/>
      <w:numFmt w:val="decimal"/>
      <w:start w:val="8"/>
    </w:lvl>
  </w:abstractNum>
  <w:abstractNum w:abstractNumId="12">
    <w:nsid w:val="1F48EAA1"/>
    <w:multiLevelType w:val="hybridMultilevel"/>
    <w:lvl w:ilvl="0">
      <w:lvlJc w:val="left"/>
      <w:lvlText w:val="%1)"/>
      <w:numFmt w:val="lowerLetter"/>
      <w:start w:val="1"/>
    </w:lvl>
  </w:abstractNum>
  <w:abstractNum w:abstractNumId="13">
    <w:nsid w:val="1381823A"/>
    <w:multiLevelType w:val="hybridMultilevel"/>
    <w:lvl w:ilvl="0">
      <w:lvlJc w:val="left"/>
      <w:lvlText w:val="%1)"/>
      <w:numFmt w:val="lowerLetter"/>
      <w:start w:val="2"/>
    </w:lvl>
  </w:abstractNum>
  <w:abstractNum w:abstractNumId="14">
    <w:nsid w:val="5DB70AE5"/>
    <w:multiLevelType w:val="hybridMultilevel"/>
    <w:lvl w:ilvl="0">
      <w:lvlJc w:val="left"/>
      <w:lvlText w:val="%1)"/>
      <w:numFmt w:val="lowerLetter"/>
      <w:start w:val="4"/>
    </w:lvl>
    <w:lvl w:ilvl="1">
      <w:lvlJc w:val="left"/>
      <w:lvlText w:val="%2."/>
      <w:numFmt w:val="lowerRoman"/>
      <w:start w:val="1"/>
    </w:lvl>
  </w:abstractNum>
  <w:abstractNum w:abstractNumId="15">
    <w:nsid w:val="100F8FCA"/>
    <w:multiLevelType w:val="hybridMultilevel"/>
    <w:lvl w:ilvl="0">
      <w:lvlJc w:val="left"/>
      <w:lvlText w:val="%1."/>
      <w:numFmt w:val="lowerRoman"/>
      <w:start w:val="6"/>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lowerLetter"/>
      <w:start w:val="4"/>
    </w:lvl>
  </w:abstractNum>
  <w:abstractNum w:abstractNumId="18">
    <w:nsid w:val="5F5E7FD0"/>
    <w:multiLevelType w:val="hybridMultilevel"/>
    <w:lvl w:ilvl="0">
      <w:lvlJc w:val="left"/>
      <w:lvlText w:val="%1)"/>
      <w:numFmt w:val="lowerLetter"/>
      <w:start w:val="7"/>
    </w:lvl>
    <w:lvl w:ilvl="1">
      <w:lvlJc w:val="left"/>
      <w:lvlText w:val="%2."/>
      <w:numFmt w:val="lowerRoman"/>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2"/>
    </w:lvl>
  </w:abstractNum>
  <w:abstractNum w:abstractNumId="22">
    <w:nsid w:val="42C296BD"/>
    <w:multiLevelType w:val="hybridMultilevel"/>
    <w:lvl w:ilvl="0">
      <w:lvlJc w:val="left"/>
      <w:lvlText w:val="%1)"/>
      <w:numFmt w:val="lowerLetter"/>
      <w:start w:val="5"/>
    </w:lvl>
  </w:abstractNum>
  <w:abstractNum w:abstractNumId="23">
    <w:nsid w:val="168E121F"/>
    <w:multiLevelType w:val="hybridMultilevel"/>
    <w:lvl w:ilvl="0">
      <w:lvlJc w:val="left"/>
      <w:lvlText w:val="%1)"/>
      <w:numFmt w:val="lowerLetter"/>
      <w:start w:val="9"/>
    </w:lvl>
  </w:abstractNum>
  <w:abstractNum w:abstractNumId="24">
    <w:nsid w:val="1EBA5D23"/>
    <w:multiLevelType w:val="hybridMultilevel"/>
    <w:lvl w:ilvl="0">
      <w:lvlJc w:val="left"/>
      <w:lvlText w:val="(%1)"/>
      <w:numFmt w:val="decimal"/>
      <w:start w:val="2"/>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1)"/>
      <w:numFmt w:val="lowerLetter"/>
      <w:start w:val="8"/>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1)"/>
      <w:numFmt w:val="lowerLetter"/>
      <w:start w:val="3"/>
    </w:lvl>
  </w:abstractNum>
  <w:abstractNum w:abstractNumId="29">
    <w:nsid w:val="51D9C564"/>
    <w:multiLevelType w:val="hybridMultilevel"/>
    <w:lvl w:ilvl="0">
      <w:lvlJc w:val="left"/>
      <w:lvlText w:val="(%1)"/>
      <w:numFmt w:val="lowerLetter"/>
      <w:start w:val="1"/>
    </w:lvl>
    <w:lvl w:ilvl="1">
      <w:lvlJc w:val="left"/>
      <w:lvlText w:val="(%2)"/>
      <w:numFmt w:val="lowerRoman"/>
      <w:start w:val="1"/>
    </w:lvl>
  </w:abstractNum>
  <w:abstractNum w:abstractNumId="30">
    <w:nsid w:val="613EFDC5"/>
    <w:multiLevelType w:val="hybridMultilevel"/>
    <w:lvl w:ilvl="0">
      <w:lvlJc w:val="left"/>
      <w:lvlText w:val="(%1)"/>
      <w:numFmt w:val="lowerRoman"/>
      <w:start w:val="3"/>
    </w:lvl>
  </w:abstractNum>
  <w:abstractNum w:abstractNumId="31">
    <w:nsid w:val="BF72B14"/>
    <w:multiLevelType w:val="hybridMultilevel"/>
    <w:lvl w:ilvl="0">
      <w:lvlJc w:val="left"/>
      <w:lvlText w:val="(%1)"/>
      <w:numFmt w:val="lowerRoman"/>
      <w:start w:val="5"/>
    </w:lvl>
  </w:abstractNum>
  <w:abstractNum w:abstractNumId="32">
    <w:nsid w:val="11447B73"/>
    <w:multiLevelType w:val="hybridMultilevel"/>
    <w:lvl w:ilvl="0">
      <w:lvlJc w:val="left"/>
      <w:lvlText w:val="(%1)"/>
      <w:numFmt w:val="lowerLetter"/>
      <w:start w:val="4"/>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1"/>
    </w:lvl>
    <w:lvl w:ilvl="1">
      <w:lvlJc w:val="left"/>
      <w:lvlText w:val="(%2)"/>
      <w:numFmt w:val="lowerLetter"/>
      <w:start w:val="6"/>
    </w:lvl>
  </w:abstractNum>
  <w:abstractNum w:abstractNumId="35">
    <w:nsid w:val="8F2B15E"/>
    <w:multiLevelType w:val="hybridMultilevel"/>
    <w:lvl w:ilvl="0">
      <w:lvlJc w:val="left"/>
      <w:lvlText w:val="(%1)"/>
      <w:numFmt w:val="lowerLetter"/>
      <w:start w:val="61"/>
    </w:lvl>
    <w:lvl w:ilvl="1">
      <w:lvlJc w:val="left"/>
      <w:lvlText w:val="%2"/>
      <w:numFmt w:val="lowerLetter"/>
      <w:start w:val="1"/>
    </w:lvl>
  </w:abstractNum>
  <w:abstractNum w:abstractNumId="36">
    <w:nsid w:val="1A32234B"/>
    <w:multiLevelType w:val="hybridMultilevel"/>
    <w:lvl w:ilvl="0">
      <w:lvlJc w:val="left"/>
      <w:lvlText w:val="(%1)"/>
      <w:numFmt w:val="lowerLetter"/>
      <w:start w:val="7"/>
    </w:lvl>
    <w:lvl w:ilvl="1">
      <w:lvlJc w:val="left"/>
      <w:lvlText w:val="(%2)"/>
      <w:numFmt w:val="lowerRoman"/>
      <w:start w:val="1"/>
    </w:lvl>
  </w:abstractNum>
  <w:abstractNum w:abstractNumId="37">
    <w:nsid w:val="3B0FD379"/>
    <w:multiLevelType w:val="hybridMultilevel"/>
    <w:lvl w:ilvl="0">
      <w:lvlJc w:val="left"/>
      <w:lvlText w:val="(%1)"/>
      <w:numFmt w:val="lowerLetter"/>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5"/>
    </w:lvl>
  </w:abstractNum>
  <w:abstractNum w:abstractNumId="40">
    <w:nsid w:val="60B6DF70"/>
    <w:multiLevelType w:val="hybridMultilevel"/>
    <w:lvl w:ilvl="0">
      <w:lvlJc w:val="left"/>
      <w:lvlText w:val="(%1)"/>
      <w:numFmt w:val="lowerLetter"/>
      <w:start w:val="1"/>
    </w:lvl>
    <w:lvl w:ilvl="1">
      <w:lvlJc w:val="left"/>
      <w:lvlText w:val="(%2)"/>
      <w:numFmt w:val="lowerRoman"/>
      <w:start w:val="1"/>
    </w:lvl>
  </w:abstractNum>
  <w:abstractNum w:abstractNumId="41">
    <w:nsid w:val="6A5EE64"/>
    <w:multiLevelType w:val="hybridMultilevel"/>
    <w:lvl w:ilvl="0">
      <w:lvlJc w:val="left"/>
      <w:lvlText w:val="(%1)"/>
      <w:numFmt w:val="lowerRoman"/>
      <w:start w:val="10"/>
    </w:lvl>
  </w:abstractNum>
  <w:abstractNum w:abstractNumId="42">
    <w:nsid w:val="14330624"/>
    <w:multiLevelType w:val="hybridMultilevel"/>
    <w:lvl w:ilvl="0">
      <w:lvlJc w:val="left"/>
      <w:lvlText w:val="%1"/>
      <w:numFmt w:val="lowerLetter"/>
      <w:start w:val="1"/>
    </w:lvl>
    <w:lvl w:ilvl="1">
      <w:lvlJc w:val="left"/>
      <w:lvlText w:val="(%2)"/>
      <w:numFmt w:val="lowerRoman"/>
      <w:start w:val="13"/>
    </w:lvl>
  </w:abstractNum>
  <w:abstractNum w:abstractNumId="43">
    <w:nsid w:val="7FFFCA11"/>
    <w:multiLevelType w:val="hybridMultilevel"/>
    <w:lvl w:ilvl="0">
      <w:lvlJc w:val="left"/>
      <w:lvlText w:val="(%1)"/>
      <w:numFmt w:val="lowerLetter"/>
      <w:start w:val="2"/>
    </w:lvl>
    <w:lvl w:ilvl="1">
      <w:lvlJc w:val="left"/>
      <w:lvlText w:val="%2"/>
      <w:numFmt w:val="lowerRoman"/>
      <w:start w:val="1"/>
    </w:lvl>
  </w:abstractNum>
  <w:abstractNum w:abstractNumId="44">
    <w:nsid w:val="1A27709E"/>
    <w:multiLevelType w:val="hybridMultilevel"/>
    <w:lvl w:ilvl="0">
      <w:lvlJc w:val="left"/>
      <w:lvlText w:val="(%1)"/>
      <w:numFmt w:val="lowerLetter"/>
      <w:start w:val="3"/>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lowerLetter"/>
      <w:start w:val="6"/>
    </w:lvl>
  </w:abstractNum>
  <w:abstractNum w:abstractNumId="47">
    <w:nsid w:val="7FB7E0AA"/>
    <w:multiLevelType w:val="hybridMultilevel"/>
    <w:lvl w:ilvl="0">
      <w:lvlJc w:val="left"/>
      <w:lvlText w:val="(%1)"/>
      <w:numFmt w:val="lowerLetter"/>
      <w:start w:val="1"/>
    </w:lvl>
  </w:abstractNum>
  <w:abstractNum w:abstractNumId="48">
    <w:nsid w:val="6EB5BD4"/>
    <w:multiLevelType w:val="hybridMultilevel"/>
    <w:lvl w:ilvl="0">
      <w:lvlJc w:val="left"/>
      <w:lvlText w:val="(%1)"/>
      <w:numFmt w:val="lowerLetter"/>
      <w:start w:val="3"/>
    </w:lvl>
  </w:abstractNum>
  <w:abstractNum w:abstractNumId="49">
    <w:nsid w:val="6F6DD9AC"/>
    <w:multiLevelType w:val="hybridMultilevel"/>
    <w:lvl w:ilvl="0">
      <w:lvlJc w:val="left"/>
      <w:lvlText w:val="(%1)"/>
      <w:numFmt w:val="lowerLetter"/>
      <w:start w:val="8"/>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8"/>
    </w:lvl>
  </w:abstractNum>
  <w:abstractNum w:abstractNumId="52">
    <w:nsid w:val="76272110"/>
    <w:multiLevelType w:val="hybridMultilevel"/>
    <w:lvl w:ilvl="0">
      <w:lvlJc w:val="left"/>
      <w:lvlText w:val="(%1)"/>
      <w:numFmt w:val="lowerLetter"/>
      <w:start w:val="1"/>
    </w:lvl>
  </w:abstractNum>
  <w:abstractNum w:abstractNumId="53">
    <w:nsid w:val="4C04A8AF"/>
    <w:multiLevelType w:val="hybridMultilevel"/>
    <w:lvl w:ilvl="0">
      <w:lvlJc w:val="left"/>
      <w:lvlText w:val="(%1)"/>
      <w:numFmt w:val="lowerLetter"/>
      <w:start w:val="1"/>
    </w:lvl>
  </w:abstractNum>
  <w:abstractNum w:abstractNumId="54">
    <w:nsid w:val="1716703B"/>
    <w:multiLevelType w:val="hybridMultilevel"/>
    <w:lvl w:ilvl="0">
      <w:lvlJc w:val="left"/>
      <w:lvlText w:val="(%1)"/>
      <w:numFmt w:val="lowerLetter"/>
      <w:start w:val="7"/>
    </w:lvl>
  </w:abstractNum>
  <w:abstractNum w:abstractNumId="55">
    <w:nsid w:val="14E17E33"/>
    <w:multiLevelType w:val="hybridMultilevel"/>
    <w:lvl w:ilvl="0">
      <w:lvlJc w:val="left"/>
      <w:lvlText w:val="(%1)"/>
      <w:numFmt w:val="lowerLetter"/>
      <w:start w:val="1"/>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1)"/>
      <w:numFmt w:val="lowerLetter"/>
      <w:start w:val="1"/>
    </w:lvl>
  </w:abstractNum>
  <w:abstractNum w:abstractNumId="58">
    <w:nsid w:val="68EBC550"/>
    <w:multiLevelType w:val="hybridMultilevel"/>
    <w:lvl w:ilvl="0">
      <w:lvlJc w:val="left"/>
      <w:lvlText w:val="(%1)"/>
      <w:numFmt w:val="lowerLetter"/>
      <w:start w:val="1"/>
    </w:lvl>
    <w:lvl w:ilvl="1">
      <w:lvlJc w:val="left"/>
      <w:lvlText w:val="(%2)"/>
      <w:numFmt w:val="lowerRoman"/>
      <w:start w:val="1"/>
    </w:lvl>
  </w:abstractNum>
  <w:abstractNum w:abstractNumId="59">
    <w:nsid w:val="2DF6D648"/>
    <w:multiLevelType w:val="hybridMultilevel"/>
    <w:lvl w:ilvl="0">
      <w:lvlJc w:val="left"/>
      <w:lvlText w:val="%1"/>
      <w:numFmt w:val="lowerLetter"/>
      <w:start w:val="1"/>
    </w:lvl>
    <w:lvl w:ilvl="1">
      <w:lvlJc w:val="left"/>
      <w:lvlText w:val="(%2)"/>
      <w:numFmt w:val="lowerRoman"/>
      <w:start w:val="9"/>
    </w:lvl>
  </w:abstractNum>
  <w:abstractNum w:abstractNumId="60">
    <w:nsid w:val="46B7D447"/>
    <w:multiLevelType w:val="hybridMultilevel"/>
    <w:lvl w:ilvl="0">
      <w:lvlJc w:val="left"/>
      <w:lvlText w:val="(%1)"/>
      <w:numFmt w:val="lowerLetter"/>
      <w:start w:val="2"/>
    </w:lvl>
    <w:lvl w:ilvl="1">
      <w:lvlJc w:val="left"/>
      <w:lvlText w:val="(%2)"/>
      <w:numFmt w:val="lowerRoman"/>
      <w:start w:val="1"/>
    </w:lvl>
  </w:abstractNum>
  <w:abstractNum w:abstractNumId="61">
    <w:nsid w:val="4A2AC315"/>
    <w:multiLevelType w:val="hybridMultilevel"/>
    <w:lvl w:ilvl="0">
      <w:lvlJc w:val="left"/>
      <w:lvlText w:val="(%1)"/>
      <w:numFmt w:val="lowerLetter"/>
      <w:start w:val="1"/>
    </w:lvl>
    <w:lvl w:ilvl="1">
      <w:lvlJc w:val="left"/>
      <w:lvlText w:val="(%2)"/>
      <w:numFmt w:val="lowerRoman"/>
      <w:start w:val="1"/>
    </w:lvl>
  </w:abstractNum>
  <w:abstractNum w:abstractNumId="62">
    <w:nsid w:val="39EE015C"/>
    <w:multiLevelType w:val="hybridMultilevel"/>
    <w:lvl w:ilvl="0">
      <w:lvlJc w:val="left"/>
      <w:lvlText w:val="(%1)"/>
      <w:numFmt w:val="lowerRoman"/>
      <w:start w:val="4"/>
    </w:lvl>
  </w:abstractNum>
  <w:abstractNum w:abstractNumId="63">
    <w:nsid w:val="57FC4FBB"/>
    <w:multiLevelType w:val="hybridMultilevel"/>
    <w:lvl w:ilvl="0">
      <w:lvlJc w:val="left"/>
      <w:lvlText w:val="(%1)"/>
      <w:numFmt w:val="lowerLetter"/>
      <w:start w:val="1"/>
    </w:lvl>
  </w:abstractNum>
  <w:abstractNum w:abstractNumId="64">
    <w:nsid w:val="CC1016F"/>
    <w:multiLevelType w:val="hybridMultilevel"/>
    <w:lvl w:ilvl="0">
      <w:lvlJc w:val="left"/>
      <w:lvlText w:val="(%1)"/>
      <w:numFmt w:val="lowerLetter"/>
      <w:start w:val="3"/>
    </w:lvl>
  </w:abstractNum>
  <w:abstractNum w:abstractNumId="65">
    <w:nsid w:val="43F18422"/>
    <w:multiLevelType w:val="hybridMultilevel"/>
    <w:lvl w:ilvl="0">
      <w:lvlJc w:val="left"/>
      <w:lvlText w:val="(%1)"/>
      <w:numFmt w:val="lowerLetter"/>
      <w:start w:val="5"/>
    </w:lvl>
  </w:abstractNum>
  <w:abstractNum w:abstractNumId="66">
    <w:nsid w:val="60EF0119"/>
    <w:multiLevelType w:val="hybridMultilevel"/>
    <w:lvl w:ilvl="0">
      <w:lvlJc w:val="left"/>
      <w:lvlText w:val="(%1)"/>
      <w:numFmt w:val="lowerLetter"/>
      <w:start w:val="7"/>
    </w:lvl>
  </w:abstractNum>
  <w:abstractNum w:abstractNumId="67">
    <w:nsid w:val="26F324BA"/>
    <w:multiLevelType w:val="hybridMultilevel"/>
    <w:lvl w:ilvl="0">
      <w:lvlJc w:val="left"/>
      <w:lvlText w:val="%1"/>
      <w:numFmt w:val="upperLetter"/>
      <w:start w:val="1"/>
    </w:lvl>
    <w:lvl w:ilvl="1">
      <w:lvlJc w:val="left"/>
      <w:lvlText w:val="(%2)"/>
      <w:numFmt w:val="lowerLetter"/>
      <w:start w:val="9"/>
    </w:lvl>
  </w:abstractNum>
  <w:abstractNum w:abstractNumId="68">
    <w:nsid w:val="7F01579B"/>
    <w:multiLevelType w:val="hybridMultilevel"/>
    <w:lvl w:ilvl="0">
      <w:lvlJc w:val="left"/>
      <w:lvlText w:val="(%1)"/>
      <w:numFmt w:val="upperLetter"/>
      <w:start w:val="1"/>
    </w:lvl>
    <w:lvl w:ilvl="1">
      <w:lvlJc w:val="left"/>
      <w:lvlText w:val="(%2)"/>
      <w:numFmt w:val="lowerLetter"/>
      <w:start w:val="10"/>
    </w:lvl>
  </w:abstractNum>
  <w:abstractNum w:abstractNumId="69">
    <w:nsid w:val="49DA307D"/>
    <w:multiLevelType w:val="hybridMultilevel"/>
    <w:lvl w:ilvl="0">
      <w:lvlJc w:val="left"/>
      <w:lvlText w:val="(%1)"/>
      <w:numFmt w:val="lowerLetter"/>
      <w:start w:val="11"/>
    </w:lvl>
  </w:abstractNum>
  <w:abstractNum w:abstractNumId="70">
    <w:nsid w:val="7055A5F5"/>
    <w:multiLevelType w:val="hybridMultilevel"/>
    <w:lvl w:ilvl="0">
      <w:lvlJc w:val="left"/>
      <w:lvlText w:val="(%1)"/>
      <w:numFmt w:val="lowerLetter"/>
      <w:start w:val="14"/>
    </w:lvl>
  </w:abstractNum>
  <w:abstractNum w:abstractNumId="71">
    <w:nsid w:val="5FB8370B"/>
    <w:multiLevelType w:val="hybridMultilevel"/>
    <w:lvl w:ilvl="0">
      <w:lvlJc w:val="left"/>
      <w:lvlText w:val="(%1)"/>
      <w:numFmt w:val="lowerLetter"/>
      <w:start w:val="17"/>
    </w:lvl>
  </w:abstractNum>
  <w:abstractNum w:abstractNumId="72">
    <w:nsid w:val="50801EE1"/>
    <w:multiLevelType w:val="hybridMultilevel"/>
    <w:lvl w:ilvl="0">
      <w:lvlJc w:val="left"/>
      <w:lvlText w:val="(%1)"/>
      <w:numFmt w:val="lowerLetter"/>
      <w:start w:val="20"/>
    </w:lvl>
  </w:abstractNum>
  <w:abstractNum w:abstractNumId="73">
    <w:nsid w:val="488AC1A"/>
    <w:multiLevelType w:val="hybridMultilevel"/>
    <w:lvl w:ilvl="0">
      <w:lvlJc w:val="left"/>
      <w:lvlText w:val="(%1)"/>
      <w:numFmt w:val="lowerLetter"/>
      <w:start w:val="24"/>
    </w:lvl>
  </w:abstractNum>
  <w:abstractNum w:abstractNumId="74">
    <w:nsid w:val="5FB8011C"/>
    <w:multiLevelType w:val="hybridMultilevel"/>
    <w:lvl w:ilvl="0">
      <w:lvlJc w:val="left"/>
      <w:lvlText w:val="%1"/>
      <w:numFmt w:val="lowerLetter"/>
      <w:start w:val="1"/>
    </w:lvl>
    <w:lvl w:ilvl="1">
      <w:lvlJc w:val="left"/>
      <w:lvlText w:val="(%2)"/>
      <w:numFmt w:val="lowerLetter"/>
      <w:start w:val="27"/>
    </w:lvl>
  </w:abstractNum>
  <w:abstractNum w:abstractNumId="75">
    <w:nsid w:val="6AA78F7F"/>
    <w:multiLevelType w:val="hybridMultilevel"/>
    <w:lvl w:ilvl="0">
      <w:lvlJc w:val="left"/>
      <w:lvlText w:val="(%1)"/>
      <w:numFmt w:val="lowerLetter"/>
      <w:start w:val="61"/>
    </w:lvl>
    <w:lvl w:ilvl="1">
      <w:lvlJc w:val="left"/>
      <w:lvlText w:val="(%2)"/>
      <w:numFmt w:val="lowerLetter"/>
      <w:start w:val="29"/>
    </w:lvl>
  </w:abstractNum>
  <w:abstractNum w:abstractNumId="76">
    <w:nsid w:val="7672BD23"/>
    <w:multiLevelType w:val="hybridMultilevel"/>
    <w:lvl w:ilvl="0">
      <w:lvlJc w:val="left"/>
      <w:lvlText w:val="%1"/>
      <w:numFmt w:val="lowerLetter"/>
      <w:start w:val="1"/>
    </w:lvl>
    <w:lvl w:ilvl="1">
      <w:lvlJc w:val="left"/>
      <w:lvlText w:val="(%2)"/>
      <w:numFmt w:val="lowerLetter"/>
      <w:start w:val="30"/>
    </w:lvl>
  </w:abstractNum>
  <w:abstractNum w:abstractNumId="77">
    <w:nsid w:val="6FC75AF8"/>
    <w:multiLevelType w:val="hybridMultilevel"/>
    <w:lvl w:ilvl="0">
      <w:lvlJc w:val="left"/>
      <w:lvlText w:val="(%1)"/>
      <w:numFmt w:val="lowerLetter"/>
      <w:start w:val="61"/>
    </w:lvl>
    <w:lvl w:ilvl="1">
      <w:lvlJc w:val="left"/>
      <w:lvlText w:val="(%2)"/>
      <w:numFmt w:val="lowerLetter"/>
      <w:start w:val="34"/>
    </w:lvl>
  </w:abstractNum>
  <w:abstractNum w:abstractNumId="78">
    <w:nsid w:val="6A5F7029"/>
    <w:multiLevelType w:val="hybridMultilevel"/>
    <w:lvl w:ilvl="0">
      <w:lvlJc w:val="left"/>
      <w:lvlText w:val="(%1)"/>
      <w:numFmt w:val="lowerLetter"/>
      <w:start w:val="35"/>
    </w:lvl>
  </w:abstractNum>
  <w:abstractNum w:abstractNumId="79">
    <w:nsid w:val="7D5E18F8"/>
    <w:multiLevelType w:val="hybridMultilevel"/>
    <w:lvl w:ilvl="0">
      <w:lvlJc w:val="left"/>
      <w:lvlText w:val="%1"/>
      <w:numFmt w:val="decimal"/>
      <w:start w:val="1"/>
    </w:lvl>
    <w:lvl w:ilvl="1">
      <w:lvlJc w:val="left"/>
      <w:lvlText w:val="(%2)"/>
      <w:numFmt w:val="lowerLetter"/>
      <w:start w:val="1"/>
    </w:lvl>
  </w:abstractNum>
  <w:abstractNum w:abstractNumId="80">
    <w:nsid w:val="5F3534A4"/>
    <w:multiLevelType w:val="hybridMultilevel"/>
    <w:lvl w:ilvl="0">
      <w:lvlJc w:val="left"/>
      <w:lvlText w:val="(%1)"/>
      <w:numFmt w:val="decimal"/>
      <w:start w:val="7"/>
    </w:lvl>
    <w:lvl w:ilvl="1">
      <w:lvlJc w:val="left"/>
      <w:lvlText w:val="(%2)"/>
      <w:numFmt w:val="lowerLetter"/>
      <w:start w:val="4"/>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2"/>
    </w:lvl>
  </w:abstractNum>
  <w:abstractNum w:abstractNumId="83">
    <w:nsid w:val="555C55B5"/>
    <w:multiLevelType w:val="hybridMultilevel"/>
    <w:lvl w:ilvl="0">
      <w:lvlJc w:val="left"/>
      <w:lvlText w:val="(%1)"/>
      <w:numFmt w:val="lowerLetter"/>
      <w:start w:val="1"/>
    </w:lvl>
  </w:abstractNum>
  <w:abstractNum w:abstractNumId="84">
    <w:nsid w:val="3FA62ACA"/>
    <w:multiLevelType w:val="hybridMultilevel"/>
    <w:lvl w:ilvl="0">
      <w:lvlJc w:val="left"/>
      <w:lvlText w:val="(%1)"/>
      <w:numFmt w:val="lowerLetter"/>
      <w:start w:val="3"/>
    </w:lvl>
  </w:abstractNum>
  <w:abstractNum w:abstractNumId="85">
    <w:nsid w:val="14FCE74E"/>
    <w:multiLevelType w:val="hybridMultilevel"/>
    <w:lvl w:ilvl="0">
      <w:lvlJc w:val="left"/>
      <w:lvlText w:val="(%1)"/>
      <w:numFmt w:val="lowerLetter"/>
      <w:start w:val="1"/>
    </w:lvl>
  </w:abstractNum>
  <w:abstractNum w:abstractNumId="86">
    <w:nsid w:val="6A3DD3E8"/>
    <w:multiLevelType w:val="hybridMultilevel"/>
    <w:lvl w:ilvl="0">
      <w:lvlJc w:val="left"/>
      <w:lvlText w:val="(%1)"/>
      <w:numFmt w:val="lowerLetter"/>
      <w:start w:val="2"/>
    </w:lvl>
  </w:abstractNum>
  <w:abstractNum w:abstractNumId="87">
    <w:nsid w:val="71C91298"/>
    <w:multiLevelType w:val="hybridMultilevel"/>
    <w:lvl w:ilvl="0">
      <w:lvlJc w:val="left"/>
      <w:lvlText w:val="(%1)"/>
      <w:numFmt w:val="lowerLetter"/>
      <w:start w:val="5"/>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2"/>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lowerLetter"/>
      <w:start w:val="3"/>
    </w:lvl>
  </w:abstractNum>
  <w:abstractNum w:abstractNumId="92">
    <w:nsid w:val="1D545C4D"/>
    <w:multiLevelType w:val="hybridMultilevel"/>
    <w:lvl w:ilvl="0">
      <w:lvlJc w:val="left"/>
      <w:lvlText w:val="%1."/>
      <w:numFmt w:val="decimal"/>
      <w:start w:val="2"/>
    </w:lvl>
    <w:lvl w:ilvl="1">
      <w:lvlJc w:val="left"/>
      <w:lvlText w:val="(%2)"/>
      <w:numFmt w:val="lowerLetter"/>
      <w:start w:val="1"/>
    </w:lvl>
  </w:abstractNum>
  <w:abstractNum w:abstractNumId="93">
    <w:nsid w:val="59ADEA3D"/>
    <w:multiLevelType w:val="hybridMultilevel"/>
    <w:lvl w:ilvl="0">
      <w:lvlJc w:val="left"/>
      <w:lvlText w:val="(%1)"/>
      <w:numFmt w:val="lowerLetter"/>
      <w:start w:val="3"/>
    </w:lvl>
  </w:abstractNum>
  <w:abstractNum w:abstractNumId="94">
    <w:nsid w:val="288F1A34"/>
    <w:multiLevelType w:val="hybridMultilevel"/>
    <w:lvl w:ilvl="0">
      <w:lvlJc w:val="left"/>
      <w:lvlText w:val="(%1)"/>
      <w:numFmt w:val="lowerLetter"/>
      <w:start w:val="4"/>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4"/>
    </w:lvl>
  </w:abstractNum>
  <w:abstractNum w:abstractNumId="97">
    <w:nsid w:val="97E1B4E"/>
    <w:multiLevelType w:val="hybridMultilevel"/>
    <w:lvl w:ilvl="0">
      <w:lvlJc w:val="left"/>
      <w:lvlText w:val="(%1)"/>
      <w:numFmt w:val="lowerLetter"/>
      <w:start w:val="6"/>
    </w:lvl>
  </w:abstractNum>
  <w:abstractNum w:abstractNumId="98">
    <w:nsid w:val="51088277"/>
    <w:multiLevelType w:val="hybridMultilevel"/>
    <w:lvl w:ilvl="0">
      <w:lvlJc w:val="left"/>
      <w:lvlText w:val="(%1)"/>
      <w:numFmt w:val="lowerRoman"/>
      <w:start w:val="1"/>
    </w:lvl>
  </w:abstractNum>
  <w:abstractNum w:abstractNumId="99">
    <w:nsid w:val="1CA0C5F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0"/>
    </w:lvl>
  </w:abstractNum>
  <w:abstractNum w:abstractNumId="100">
    <w:nsid w:val="53584BC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1"/>
    </w:lvl>
  </w:abstractNum>
  <w:abstractNum w:abstractNumId="101">
    <w:nsid w:val="415E286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2">
    <w:nsid w:val="7C58FD05"/>
    <w:multiLevelType w:val="hybridMultilevel"/>
    <w:lvl w:ilvl="0">
      <w:lvlJc w:val="left"/>
      <w:lvlText w:val="%1"/>
      <w:numFmt w:val="decimal"/>
      <w:start w:val="1"/>
    </w:lvl>
    <w:lvl w:ilvl="1">
      <w:lvlJc w:val="left"/>
      <w:lvlText w:val="(%2)"/>
      <w:numFmt w:val="lowerLetter"/>
      <w:start w:val="3"/>
    </w:lvl>
  </w:abstractNum>
  <w:abstractNum w:abstractNumId="103">
    <w:nsid w:val="23D86AAC"/>
    <w:multiLevelType w:val="hybridMultilevel"/>
    <w:lvl w:ilvl="0">
      <w:lvlJc w:val="left"/>
      <w:lvlText w:val="%1."/>
      <w:numFmt w:val="decimal"/>
      <w:start w:val="5"/>
    </w:lvl>
    <w:lvl w:ilvl="1">
      <w:lvlJc w:val="left"/>
      <w:lvlText w:val="%2"/>
      <w:numFmt w:val="lowerLetter"/>
      <w:start w:val="1"/>
    </w:lvl>
  </w:abstractNum>
  <w:abstractNum w:abstractNumId="104">
    <w:nsid w:val="45E6D486"/>
    <w:multiLevelType w:val="hybridMultilevel"/>
    <w:lvl w:ilvl="0">
      <w:lvlJc w:val="left"/>
      <w:lvlText w:val="%1."/>
      <w:numFmt w:val="decimal"/>
      <w:start w:val="6"/>
    </w:lvl>
    <w:lvl w:ilvl="1">
      <w:lvlJc w:val="left"/>
      <w:lvlText w:val="(%2)"/>
      <w:numFmt w:val="lowerLetter"/>
      <w:start w:val="1"/>
    </w:lvl>
  </w:abstractNum>
  <w:abstractNum w:abstractNumId="105">
    <w:nsid w:val="5C10FE21"/>
    <w:multiLevelType w:val="hybridMultilevel"/>
    <w:lvl w:ilvl="0">
      <w:lvlJc w:val="left"/>
      <w:lvlText w:val="(%1)"/>
      <w:numFmt w:val="lowerLetter"/>
      <w:start w:val="2"/>
    </w:lvl>
  </w:abstractNum>
  <w:abstractNum w:abstractNumId="106">
    <w:nsid w:val="E7FFA2B"/>
    <w:multiLevelType w:val="hybridMultilevel"/>
    <w:lvl w:ilvl="0">
      <w:lvlJc w:val="left"/>
      <w:lvlText w:val="%1"/>
      <w:numFmt w:val="decimal"/>
      <w:start w:val="1"/>
    </w:lvl>
    <w:lvl w:ilvl="1">
      <w:lvlJc w:val="left"/>
      <w:lvlText w:val="(%2)"/>
      <w:numFmt w:val="lowerLetter"/>
      <w:start w:val="4"/>
    </w:lvl>
  </w:abstractNum>
  <w:abstractNum w:abstractNumId="107">
    <w:nsid w:val="3C5991AA"/>
    <w:multiLevelType w:val="hybridMultilevel"/>
    <w:lvl w:ilvl="0">
      <w:lvlJc w:val="left"/>
      <w:lvlText w:val="%1."/>
      <w:numFmt w:val="decimal"/>
      <w:start w:val="7"/>
    </w:lvl>
    <w:lvl w:ilvl="1">
      <w:lvlJc w:val="left"/>
      <w:lvlText w:val="%2"/>
      <w:numFmt w:val="lowerLetter"/>
      <w:start w:val="1"/>
    </w:lvl>
  </w:abstractNum>
  <w:abstractNum w:abstractNumId="108">
    <w:nsid w:val="4BD8591A"/>
    <w:multiLevelType w:val="hybridMultilevel"/>
    <w:lvl w:ilvl="0">
      <w:lvlJc w:val="left"/>
      <w:lvlText w:val="%1."/>
      <w:numFmt w:val="decimal"/>
      <w:start w:val="10"/>
    </w:lvl>
    <w:lvl w:ilvl="1">
      <w:lvlJc w:val="left"/>
      <w:lvlText w:val="(%2)"/>
      <w:numFmt w:val="lowerLetter"/>
      <w:start w:val="1"/>
    </w:lvl>
  </w:abstractNum>
  <w:abstractNum w:abstractNumId="109">
    <w:nsid w:val="78DF6A55"/>
    <w:multiLevelType w:val="hybridMultilevel"/>
    <w:lvl w:ilvl="0">
      <w:lvlJc w:val="left"/>
      <w:lvlText w:val="(%1)"/>
      <w:numFmt w:val="lowerLetter"/>
      <w:start w:val="8"/>
    </w:lvl>
  </w:abstractNum>
  <w:abstractNum w:abstractNumId="110">
    <w:nsid w:val="39B7AAA2"/>
    <w:multiLevelType w:val="hybridMultilevel"/>
    <w:lvl w:ilvl="0">
      <w:lvlJc w:val="left"/>
      <w:lvlText w:val="●"/>
      <w:numFmt w:val="bullet"/>
      <w:start w:val="1"/>
    </w:lvl>
  </w:abstractNum>
  <w:abstractNum w:abstractNumId="111">
    <w:nsid w:val="2B0D8DBE"/>
    <w:multiLevelType w:val="hybridMultilevel"/>
    <w:lvl w:ilvl="0">
      <w:lvlJc w:val="left"/>
      <w:lvlText w:val="%1."/>
      <w:numFmt w:val="decimal"/>
      <w:start w:val="1"/>
    </w:lvl>
    <w:lvl w:ilvl="1">
      <w:lvlJc w:val="left"/>
      <w:lvlText w:val="(%2)"/>
      <w:numFmt w:val="lowerLetter"/>
      <w:start w:val="1"/>
    </w:lvl>
  </w:abstractNum>
  <w:abstractNum w:abstractNumId="112">
    <w:nsid w:val="6C80EC70"/>
    <w:multiLevelType w:val="hybridMultilevel"/>
    <w:lvl w:ilvl="0">
      <w:lvlJc w:val="left"/>
      <w:lvlText w:val="%1."/>
      <w:numFmt w:val="decimal"/>
      <w:start w:val="3"/>
    </w:lvl>
    <w:lvl w:ilvl="1">
      <w:lvlJc w:val="left"/>
      <w:lvlText w:val="(%2)"/>
      <w:numFmt w:val="lowerLetter"/>
      <w:start w:val="1"/>
    </w:lvl>
  </w:abstractNum>
  <w:abstractNum w:abstractNumId="113">
    <w:nsid w:val="379E21B5"/>
    <w:multiLevelType w:val="hybridMultilevel"/>
    <w:lvl w:ilvl="0">
      <w:lvlJc w:val="left"/>
      <w:lvlText w:val="(%1)"/>
      <w:numFmt w:val="lowerLetter"/>
      <w:start w:val="2"/>
    </w:lvl>
  </w:abstractNum>
  <w:abstractNum w:abstractNumId="114">
    <w:nsid w:val="69E373"/>
    <w:multiLevelType w:val="hybridMultilevel"/>
    <w:lvl w:ilvl="0">
      <w:lvlJc w:val="left"/>
      <w:lvlText w:val="(%1)"/>
      <w:numFmt w:val="lowerLetter"/>
      <w:start w:val="3"/>
    </w:lvl>
  </w:abstractNum>
  <w:abstractNum w:abstractNumId="115">
    <w:nsid w:val="2C27173B"/>
    <w:multiLevelType w:val="hybridMultilevel"/>
    <w:lvl w:ilvl="0">
      <w:lvlJc w:val="left"/>
      <w:lvlText w:val="(%1)"/>
      <w:numFmt w:val="lowerLetter"/>
      <w:start w:val="4"/>
    </w:lvl>
  </w:abstractNum>
  <w:abstractNum w:abstractNumId="116">
    <w:nsid w:val="4C9B0904"/>
    <w:multiLevelType w:val="hybridMultilevel"/>
    <w:lvl w:ilvl="0">
      <w:lvlJc w:val="left"/>
      <w:lvlText w:val="%1."/>
      <w:numFmt w:val="decimal"/>
      <w:start w:val="4"/>
    </w:lvl>
    <w:lvl w:ilvl="1">
      <w:lvlJc w:val="left"/>
      <w:lvlText w:val="(%2)"/>
      <w:numFmt w:val="lowerLetter"/>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63" Type="http://schemas.openxmlformats.org/officeDocument/2006/relationships/hyperlink" Target="https://www.sec.gov/Archives/edgar/data/1855467/000149315226019180/ex4-17.htm" TargetMode="External"/><Relationship Id="rId64" Type="http://schemas.openxmlformats.org/officeDocument/2006/relationships/hyperlink" Target="https://www.sec.gov/Archives/edgar/data/1855467/000149315226019180/ex10-57.htm" TargetMode="External"/><Relationship Id="rId65" Type="http://schemas.openxmlformats.org/officeDocument/2006/relationships/hyperlink" Target="https://www.sec.gov/Archives/edgar/data/1855467/000149315226019180/ex10-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2026-05-22T06:31:59Z</dcterms:created>
  <dcterms:modified xsi:type="dcterms:W3CDTF">2026-05-22T06:31:59Z</dcterms:modified>
</cp:coreProperties>
</file>