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51001__20"/>
      <w:bookmarkEnd w:id="2"/>
      <w:r>
        <w:rPr>
          <w:rFonts w:ascii="Times New Roman;Times;Serif" w:hAnsi="Times New Roman;Times;Serif"/>
          <w:b/>
          <w:i w:val="false"/>
          <w:caps w:val="false"/>
          <w:smallCaps w:val="false"/>
          <w:sz w:val="36"/>
        </w:rPr>
        <w:t>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D_edei--EntityRegistrantName_c2025"/>
      <w:bookmarkEnd w:id="3"/>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2585"/>
        <w:gridCol w:w="60"/>
        <w:gridCol w:w="2405"/>
        <w:gridCol w:w="60"/>
        <w:gridCol w:w="1910"/>
      </w:tblGrid>
      <w:tr>
        <w:trPr/>
        <w:tc>
          <w:tcPr>
            <w:tcW w:w="25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4_edei--EntityTaxIdentificationNum"/>
            <w:bookmarkEnd w:id="4"/>
            <w:r>
              <w:rPr>
                <w:rFonts w:ascii="Times New Roman;Times;Serif" w:hAnsi="Times New Roman;Times;Serif"/>
                <w:b/>
                <w:i w:val="false"/>
                <w:caps w:val="false"/>
                <w:smallCaps w:val="false"/>
                <w:sz w:val="20"/>
              </w:rPr>
              <w:t>98-1591717</w:t>
            </w:r>
          </w:p>
        </w:tc>
      </w:tr>
      <w:tr>
        <w:trPr/>
        <w:tc>
          <w:tcPr>
            <w:tcW w:w="258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F_edei--EntityAddressAddressLine1_"/>
      <w:bookmarkEnd w:id="5"/>
      <w:r>
        <w:rPr>
          <w:rFonts w:ascii="Times New Roman;Times;Serif" w:hAnsi="Times New Roman;Times;Serif"/>
          <w:b/>
          <w:i w:val="false"/>
          <w:caps w:val="false"/>
          <w:smallCaps w:val="false"/>
          <w:sz w:val="20"/>
        </w:rPr>
        <w:t xml:space="preserve">1 Venture, </w:t>
      </w:r>
      <w:bookmarkStart w:id="6" w:name="xdx_905_edei--EntityAddressAddressLine2_"/>
      <w:bookmarkEnd w:id="6"/>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8_edei--EntityAddressCityOrTown_c2"/>
      <w:bookmarkEnd w:id="7"/>
      <w:r>
        <w:rPr>
          <w:rFonts w:ascii="Times New Roman;Times;Serif" w:hAnsi="Times New Roman;Times;Serif"/>
          <w:b/>
          <w:i w:val="false"/>
          <w:caps w:val="false"/>
          <w:smallCaps w:val="false"/>
          <w:sz w:val="20"/>
        </w:rPr>
        <w:t xml:space="preserve">Irvine, </w:t>
      </w:r>
      <w:bookmarkStart w:id="8" w:name="xdx_905_edei--EntityAddressStateOrProvin"/>
      <w:bookmarkEnd w:id="8"/>
      <w:r>
        <w:rPr>
          <w:rFonts w:ascii="Times New Roman;Times;Serif" w:hAnsi="Times New Roman;Times;Serif"/>
          <w:b/>
          <w:i w:val="false"/>
          <w:caps w:val="false"/>
          <w:smallCaps w:val="false"/>
          <w:sz w:val="20"/>
        </w:rPr>
        <w:t xml:space="preserve">California </w:t>
      </w:r>
      <w:bookmarkStart w:id="9" w:name="xdx_907_edei--EntityAddressPostalZipCode"/>
      <w:bookmarkEnd w:id="9"/>
      <w:r>
        <w:rPr>
          <w:rFonts w:ascii="Times New Roman;Times;Serif" w:hAnsi="Times New Roman;Times;Serif"/>
          <w:b/>
          <w:i w:val="false"/>
          <w:caps w:val="false"/>
          <w:smallCaps w:val="false"/>
          <w:sz w:val="20"/>
        </w:rPr>
        <w:t>92618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CityAreaCode_c20251001__20"/>
      <w:bookmarkEnd w:id="10"/>
      <w:r>
        <w:rPr>
          <w:rFonts w:ascii="Times New Roman;Times;Serif" w:hAnsi="Times New Roman;Times;Serif"/>
          <w:b/>
          <w:i w:val="false"/>
          <w:caps w:val="false"/>
          <w:smallCaps w:val="false"/>
          <w:sz w:val="20"/>
        </w:rPr>
        <w:t xml:space="preserve">(949) </w:t>
      </w:r>
      <w:bookmarkStart w:id="11" w:name="xdx_90A_edei--LocalPhoneNumber_c20251001"/>
      <w:bookmarkEnd w:id="11"/>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including zip code, and telephone number, including area code, of registrant’s principal executive offices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3_edei--ContactPersonnelName_c2025"/>
      <w:bookmarkEnd w:id="12"/>
      <w:r>
        <w:rPr>
          <w:rFonts w:ascii="Times New Roman;Times;Serif" w:hAnsi="Times New Roman;Times;Serif"/>
          <w:b/>
          <w:i w:val="false"/>
          <w:caps w:val="false"/>
          <w:smallCaps w:val="false"/>
          <w:sz w:val="20"/>
        </w:rPr>
        <w:t>Keyvan Samini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E_edei--EntityAddressAddressLine1_"/>
      <w:bookmarkEnd w:id="13"/>
      <w:r>
        <w:rPr>
          <w:rFonts w:ascii="Times New Roman;Times;Serif" w:hAnsi="Times New Roman;Times;Serif"/>
          <w:b/>
          <w:i w:val="false"/>
          <w:caps w:val="false"/>
          <w:smallCaps w:val="false"/>
          <w:sz w:val="20"/>
        </w:rPr>
        <w:t xml:space="preserve">1 Venture, </w:t>
      </w:r>
      <w:bookmarkStart w:id="14" w:name="xdx_90A_edei--EntityAddressAddressLine2_"/>
      <w:bookmarkEnd w:id="14"/>
      <w:r>
        <w:rPr>
          <w:rFonts w:ascii="Times New Roman;Times;Serif" w:hAnsi="Times New Roman;Times;Serif"/>
          <w:b/>
          <w:i w:val="false"/>
          <w:caps w:val="false"/>
          <w:smallCaps w:val="false"/>
          <w:sz w:val="20"/>
        </w:rPr>
        <w:t>Suite 220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6_edei--EntityAddressCityOrTown_c2"/>
      <w:bookmarkEnd w:id="15"/>
      <w:r>
        <w:rPr>
          <w:rFonts w:ascii="Times New Roman;Times;Serif" w:hAnsi="Times New Roman;Times;Serif"/>
          <w:b/>
          <w:i w:val="false"/>
          <w:caps w:val="false"/>
          <w:smallCaps w:val="false"/>
          <w:sz w:val="20"/>
        </w:rPr>
        <w:t xml:space="preserve">Irvine, </w:t>
      </w:r>
      <w:bookmarkStart w:id="16" w:name="xdx_90B_edei--EntityAddressStateOrProvin"/>
      <w:bookmarkEnd w:id="16"/>
      <w:r>
        <w:rPr>
          <w:rFonts w:ascii="Times New Roman;Times;Serif" w:hAnsi="Times New Roman;Times;Serif"/>
          <w:b/>
          <w:i w:val="false"/>
          <w:caps w:val="false"/>
          <w:smallCaps w:val="false"/>
          <w:sz w:val="20"/>
        </w:rPr>
        <w:t xml:space="preserve">California </w:t>
      </w:r>
      <w:bookmarkStart w:id="17" w:name="xdx_904_edei--EntityAddressPostalZipCode"/>
      <w:bookmarkEnd w:id="17"/>
      <w:r>
        <w:rPr>
          <w:rFonts w:ascii="Times New Roman;Times;Serif" w:hAnsi="Times New Roman;Times;Serif"/>
          <w:b/>
          <w:i w:val="false"/>
          <w:caps w:val="false"/>
          <w:smallCaps w:val="false"/>
          <w:sz w:val="20"/>
        </w:rPr>
        <w:t>92618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xdx_909_edei--CityAreaCode_c20251001__20"/>
      <w:bookmarkEnd w:id="18"/>
      <w:r>
        <w:rPr>
          <w:rFonts w:ascii="Times New Roman;Times;Serif" w:hAnsi="Times New Roman;Times;Serif"/>
          <w:b/>
          <w:i w:val="false"/>
          <w:caps w:val="false"/>
          <w:smallCaps w:val="false"/>
          <w:sz w:val="20"/>
        </w:rPr>
        <w:t xml:space="preserve">(949) </w:t>
      </w:r>
      <w:bookmarkStart w:id="19" w:name="xdx_904_edei--LocalPhoneNumber_c20251001"/>
      <w:bookmarkEnd w:id="19"/>
      <w:r>
        <w:rPr>
          <w:rFonts w:ascii="Times New Roman;Times;Serif" w:hAnsi="Times New Roman;Times;Serif"/>
          <w:b/>
          <w:i w:val="false"/>
          <w:caps w:val="false"/>
          <w:smallCaps w:val="false"/>
          <w:sz w:val="20"/>
        </w:rPr>
        <w:t>808-8888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Address, including zip code, and telephone number, including area code, of agent for service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Lee,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Laurie L. Green,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18565 Jamboree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500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 92612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732-6510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From time to time after this registration statement becomes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060"/>
        <w:gridCol w:w="1580"/>
        <w:gridCol w:w="194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0" w:name="xdx_90F_edei--EntityFilerCategory_c20251"/>
            <w:bookmarkEnd w:id="20"/>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1" w:name="xdx_90B_edei--EntitySmallBusiness_c20251"/>
            <w:bookmarkEnd w:id="21"/>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23" w:name="xdx_907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AUGUST 28, 2026</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These securities may not be sold until the registration statement filed with the SEC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5,000,000</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or other distribution by the selling stockholder named herein (the “Selling Stockholder”) of up to 5,000,000 shares of Class A Common Stock of Mobix Labs, Inc., par value $0.00001 per share (the “Class A Common Stock”), issuable to an investor upon the conversion of (i) 1,000 shares of Series A 10% Convertible Preferred Stock and (ii) 6,000 shares of Series A 10% Convertible Preferred Stock issuable upon the exercise of a Preferred Stock Purchase Warrant (the “August 2026 Preferred Warrant”). The 1,000 shares of Series A 10% Convertible Preferred Stock issued and the 6,000 shares of Series A 10% Convertible Preferred Stock underlying the August 2026 Preferred Warrant, including any future shares issued as a dividend on the Series A 10% Convertible Preferred Stock, are hereinafter referred to as the “Preferred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Stockholder are collectively referred to in this prospectus as the “Offered Securities.” Our registration of the resale of the Offered Securities does not mean that the Selling Stockholder will offer or sell any of the Offered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by the Selling Stockholder of any of the Offered Securities. We may receive up to $6,000,000 to the extent the August 2026 Preferred Warrant is exercised. We intend to use any proceeds from the exercise of the August 2026 Preferred Warrant for working capital and general corporate purposes. We will bear all costs, expenses and fees in connection with the registration of the resale of the Offered Securities. The Selling Stockholder will bear all commissions and discounts, if any, attributable to their respective sales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Securities offered for resale in this prospectus represent a substantial percentage of the total outstanding shares of our Class A Common Stock as of August 24, 2026. Assuming the issuance of all of the Offered Securities being registered for resale pursuant to this prospectus to the Selling Stockholder, the Offered Securities would represent approximately 22.9% of the outstanding Class A Common Stock as of August 24, 2026. The resale of the Offered Securities, or the perception that these sales could occur, pursuant to this prospectus, could result in a significant decline in the public trading price of our Class A Common Stock. In addition to the Selling Stockholder,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offer and sell the securities covered by this prospectus in a number of different ways and at varying prices. We provide more information about how the Selling Stockholder may sell the securities in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markets, including by the Selling Stockholder, who obtained their shares at prices or values below the current market price, or the perception in the market that such sales could occur, could result in a significant decline in the public trading price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before you invest in any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Stock Market LLC (“Nasdaq”) and our public warrants (the “Public Warrants”) are listed on Nasdaq under the symbols “MOBX” and “MOBXW,” respectively. On August 27, 2026, the last closing price of the Class A Common Stock as reported on Nasdaq was $1.14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or any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7"/>
        <w:gridCol w:w="298"/>
      </w:tblGrid>
      <w:tr>
        <w:trPr/>
        <w:tc>
          <w:tcPr>
            <w:tcW w:w="9907"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ABOUT THIS PROSPECTUS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907"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IMPLICATIONS OF BEING AN EMERGING GROWTH COMPANY AND A SMALLER REPORTING COMPANY</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907"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 SUMMARY</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907"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SOURCES OF INDUSTRY AND MARKET DATA</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SUMMARY OF THE PROSPECTUS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7"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THE OFFERING</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7"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RISK FACTORS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7"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USE OF PROCEEDS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7"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MARKET PRICE OF THE CLASS A COMMON STOCK AND DIVIDENDS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7"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MANAGEMENT’S DISCUSSION AND ANALYSIS OF FINANCIAL CONDITION AND RESULTS OF OPERATIONS OF MOBIX LABS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07"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BUSINESS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907"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907"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EXECUTIVE AND DIRECTOR COMPENSATION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907"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SECURITIES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907"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SECURITIES ACT RESTRICTIONS ON RESALE OF SECURITIES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07"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907"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SELLING STOCKHOLDERS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907"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CERTAIN RELATIONSHIPS AND RELATED TRANSACTIONS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907"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PLAN OF DISTRIBUTION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907"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LEGAL MATTERS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EXPERTS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WHERE YOU CAN FIND ADDITIONAL INFORMATION</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f_1">
              <w:r>
                <w:rPr>
                  <w:rStyle w:val="InternetLink"/>
                  <w:rFonts w:ascii="Times New Roman;Times;Serif" w:hAnsi="Times New Roman;Times;Serif"/>
                  <w:b w:val="false"/>
                  <w:i w:val="false"/>
                  <w:caps w:val="false"/>
                  <w:smallCaps w:val="false"/>
                  <w:sz w:val="20"/>
                </w:rPr>
                <w:t>INDEX TO FINANCIAL STATEMENTS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sp_001"/>
      <w:bookmarkEnd w:id="24"/>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 identified in this prospectus under the caption “Selling Stockholder,” from time to time, of up to an aggregate of 5,000,000 shares of Class A Common Stock. We are not selling any shares of Class A Common Stock under this prospectus, and we will not receive any proceeds from the sale of shares of Class A Common Stock offered hereby by the Selling Stockholder. We may receive up to $6,000,000 to the extent the August 2026 Preferred Warrant is 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sp_002"/>
      <w:bookmarkEnd w:id="25"/>
      <w:r>
        <w:rPr>
          <w:rFonts w:ascii="Times New Roman;Times;Serif" w:hAnsi="Times New Roman;Times;Serif"/>
          <w:b/>
          <w:i w:val="false"/>
          <w:caps/>
          <w:sz w:val="20"/>
        </w:rPr>
        <w:t>IMPLICATIONS OF BEING AN EMERGING GROWTH COMPANY AND A SMALLER REPORTING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the Company’s executive compensation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non-binding shareholder advisory votes on executive compensation or golden parachute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sp_003"/>
      <w:bookmarkEnd w:id="26"/>
      <w:r>
        <w:rPr>
          <w:rFonts w:ascii="Times New Roman;Times;Serif" w:hAnsi="Times New Roman;Times;Serif"/>
          <w:b/>
          <w:i w:val="false"/>
          <w:caps/>
          <w:sz w:val="20"/>
        </w:rPr>
        <w:t>RISK FACTORS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it remains difficult to evaluate our future prospects and the risks and challenges we may encounter.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maintain revenue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in the operation of our business and anticipate that our expenses will increase, potentially leading to continued losses from operations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achieve or maintain profitability and there is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execute our business plan to fund our operations and execute our business plan, which may not be available on terms acceptable to us, or at all. Any fundraising involving the sale and issuance of equity securities can substantially dilute existing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definitive agreements to acquire Vision Aerial, Inc., and Special Project Delivery, Inc. and such acquisitions are subject to significant uncertainty and may require additional dilutive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new lines of business under our NSM Initiative, including through acquisitions, may not be successful and could strain our financial and management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issue shares of Class A Common Stock upon conversion of the Series A 10% Convertible Preferred Stock and exercise of the Preferred Warrants is limited by Nasdaq listing standards unless we obtain stockholder approval, and conversions of the Series A 10% Convertible Preferred Stock may be substantially dilutive.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Preferred Stock and outstanding convertible notes impose significant restrictions on our operations and our ability to raise capital.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successfully acquire or integrate new businesses, products, and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widespread market acceptance of their products which incorporate our products, we may not be able to generate the revenue necessary to support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require our products to undergo a lengthy qualification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 for our mmWave wireless semiconductor products are still developing and may not develop at the speed and scale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execute our growth strategies effectively, our business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semiconductor products and solutions are highly competitive.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are subject to intense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successfully introduce new products and solutions for our markets that meet the needs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or vertical integration of our customers may adversely affect our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substantial portion of our revenues from one customer and expect that we will generate revenue from a limited number of customers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obtain long-term purchase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in our products or poor design and engineering solutions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offshore suppliers for many of the components and materials used in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unfavorable global economic conditions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growth of our operations, our performance may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laws and regulations to which we are subject could have a material adverse effect on our business, prospects,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trade policy, tariffs and import/export regulations may have a material adverse effect on our business,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key employees and to attract qualified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suffer in the event of a security breach involving our information technology (“IT”) systems or our intellectual property or other confidential or proprietary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and defending against intellectual property or other types of litigation and administrative proceedings could cause us to spend substantial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and must remain in compliance with, laws and governmental regulations across various jurisdictions concerning the development and sale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our officers and directors, and their loss could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may require us to comply with additional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violations of applicable anti-corruption laws or violations of our internal policies designed to ensure ethical business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applications may not be issued or granted or may take longer than expected, which may have a material adverse effect on our ability to enforce our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intellectual property, and our failure to protect that intellectual property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 laws and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has led to a decrease in the overall market capitalization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research analysts do not publish research or reports, or if they publish unfavorable research or reports about our company, our stock price and its trading volume could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have increased both our costs and the risk of non-compliance.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class action litigation, which is expensive and could divert management’s attention.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Common Stock may cause the market price to drop significantly, even if our business is doing well.</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7" w:name="sp_004"/>
      <w:bookmarkEnd w:id="27"/>
      <w:r>
        <w:rPr>
          <w:rFonts w:ascii="Times New Roman;Times;Serif" w:hAnsi="Times New Roman;Times;Serif"/>
          <w:b/>
          <w:i w:val="false"/>
          <w:caps/>
          <w:sz w:val="20"/>
        </w:rPr>
        <w:t>SOURCES OF 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sp_005"/>
      <w:bookmarkEnd w:id="28"/>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listing rules of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pending acquisitions of Vision Aerial, Inc. and Special Project Delivery, Inc. in the expected time frames or at all, and to finance those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whether the assets and focus areas we have prioritized in furtherance of the National Security Matters (“NSM”) Initiative advance U.S. national security, reduce foreign dependency in critical supply chains, respond to announced federal supply-chain, stockpile and defense initiatives, and position us to help strengthen America’s defense industrial base and supply-chain resilience;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growth of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commit significant resources to technology and product innovation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acquisitions of EMI Solutions, Inc. (“EMI Solutions”) and RaGE Systems, Inc. (“RaGE Systems”), and any impact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 including our expectations regarding our ability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the advantages of our products and technology over competing products and technology existing in the market, and competitive factors including with respect to technological capabilities, cost and scalability;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reliance on a limited number of customers and efforts to diversify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assumptions underlying our critical accounting estimates;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obtaining stockholder approval for certain issuances;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socio-political conditions and their impact on demand for our technology and on the supply chain on which we 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compliance with the Nasdaq listing requirements, including the $1.00 minimum bid price requirement and the minimum $35 million market value of listed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conversions of the Series A 10% Convertible Preferred Stock and the Additional Notes, the conversion price of which floats with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risks related to our ability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income from operations in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including Vision Aerial, Inc. and Special Project Delivery, Inc.,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on page 4 of this prospectus, in our annual report on Form 10-K for our fiscal year ended September 30, 2025, filed with the SEC on January 13, 2026 or in other periodic and current reports that we file with the SEC.</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9" w:name="sp_006"/>
      <w:bookmarkEnd w:id="29"/>
      <w:r>
        <w:rPr>
          <w:rFonts w:ascii="Times New Roman;Times;Serif" w:hAnsi="Times New Roman;Times;Serif"/>
          <w:b/>
          <w:i w:val="false"/>
          <w:caps/>
          <w:sz w:val="20"/>
        </w:rPr>
        <w:t>SUMMARY OF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Class B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pStyle w:val="TextBody"/>
        <w:shd w:fill="FFFFFF" w:val="clear"/>
        <w:bidi w:val="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Bay Select, LP (“Kips”), pursuant to which we agreed to sell to Kips (i) 2,000 shares of Series A 10% Convertible Preferred Stock (“Series A Preferred Stock”) for aggregate gross proceeds of $2.4 million, and (ii) a Preferred Stock Purchase Warrant to purchase up to an additional 6,000 shares of Series A Preferred Stock at an exercise price of $1,000 per share (the “May 2026 Preferred Warrant”, and together with the August 2026 Preferred Warrant, the “Preferred Warrants”). The Preferred Shares are convertible into shares of our Class A Common Stock in accordance with the terms of the Certificate of Designation of Preferences, Rights and Limitations of Series A 10% Convertible Preferred Stock (the “COD”). On August 28, 2026, we amended the registration rights agreement and the securities purchase agreement, each entered into on May 19, 2026 with Kips, to issue and sell to Kips an additional 1,000 shares of Series A Preferred Stock and the August 2026 Preferred Warrant to purchase 6,000 additional shares of Series A Preferred Stock. We are registering the resale of the shares of Class A Common Stock pursuant to this prospectus to comply with the registration rights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Upcoming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September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4"/>
        <w:gridCol w:w="9986"/>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as amended, to effect a reclassification and combination of our shares of Class A Common Stock that are issued and outstanding immediately prior to a further reverse stock split at a ratio between 1:2 and 1:20;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Kips in connection with the conversion of the Series A Preferred Stock; and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Leviston Resources, LLC (“Leviston”) in connection with the conversion of senior secured promissory notes in the aggregate principal amount of $5.2 million.</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definitive proxy materials for the expected stockholder meeting. The specific terms of the proposals, including the number of shares subject to the proposals and the full text of any proposed charter amendment or equity incentive plan amendment, are set forth in our proxy materials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proposals described above will be approved by stockholders. If we do not obtain the required stockholder approvals, our ability to complete certain financing transactions, issue securities in connection with acquisitions, or implement certain corporate-governance and compensation-related matters may be limited.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Convertible Promissory Note</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with Leviston, pursuant to which we agreed to issue a convertible promissory note. The $3 million principal amount of the promissory note was payable with interest on July 31, 2026. On May 13, 2026, we entered into a first amendment to the securities purchase agreement and promissory note with Leviston, amending the promissory note originally issued on March 31, 2026. Pursuant to the amendment, Leviston advanced an additional $0.8 million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Additional Notes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an Investor Rights Agreement (the “IRA”) with Leviston, in connection with the promissory note originally entered into on March 31, 2026 and amended pursuant to the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 million.</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a senior secured convertible promissory note in the original principal amount of $1.2 million, for gross proceeds to us of approximately $1 million. On June 22, 2026, we issued to Leviston a senior secured convertible promissory note in the original principal amount of $2.8 million, for gross proceeds to us of approximately $2.3 million.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we entered into an amendment to the securities purchase agreement entered into on March 31, 2026 with Leviston, pursuant to which we issued an additional senior secured convertible promissory note with a principal amount of $1.2 million in favor of Leviston. In connection with this promissory note, we entered into a new investor rights agreement on August 28, 2026, which grants Leviston the right to purchase additional notes in an aggregate principal amount of up to $3.6 million.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Vision Aerial Merger Agreement</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 million, based on a 20-trading-day volume-weighted average price subject to a $2.00 floor and $3.00 cap per share, and (ii) $3 million in cash, subject to customary adjustments and holdbacks. The closing is subject to customary closing conditions, and there can be no assurance a transaction will be consummated. See Note 18 to our condensed consolidated financial statements.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Project Delivery Merger Agreement</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National Security Matters Initiative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acquisitions of Vision Aerial and SPD described above.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Name Change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1 Venture, Suite 220, Irvine, CA 92618, and our telephone number at that location is (949) 808-8888. Our website address is </w:t>
      </w:r>
      <w:r>
        <w:rPr>
          <w:rFonts w:ascii="Times New Roman;Times;Serif" w:hAnsi="Times New Roman;Times;Serif"/>
          <w:b w:val="false"/>
          <w:i/>
          <w:caps w:val="false"/>
          <w:smallCaps w:val="false"/>
          <w:sz w:val="20"/>
        </w:rPr>
        <w:t>https://www.mobixlabs.com</w:t>
      </w:r>
      <w:r>
        <w:rPr>
          <w:rFonts w:ascii="Times New Roman;Times;Serif" w:hAnsi="Times New Roman;Times;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sp_007"/>
      <w:bookmarkEnd w:id="30"/>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0"/>
        <w:gridCol w:w="60"/>
        <w:gridCol w:w="8095"/>
      </w:tblGrid>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5,000,000 shares of Class A Common Stock consisting entirely of shares issuable to an investor upon conversion of the Preferred Shares. </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A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16,847,921 shares (as of August 24, 2026).</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Class A Common Stock included in this prospectus by the Selling Stockholder. We may receive up to $6,000,000 to the extent the August 2026 Preferred Warrant is exercised. We intend to use any proceeds from the exercise of the August 2026 Preferred Warrant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MOBX” and “MOBXW” for the Class A Common Stock and Public Warrants,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outstanding is based on 16,847,921 shares of Class A Common Stock as of August 24, 2026 and excludes, in addition to the shares issuable upon conversion of the Preferred Shares, the following, in each case as of August 24, 2026, except as otherwise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200,397 shares of Class A Common Stock issuable upon the exercise of outstanding options under the Legacy Mobix equity plans that were assumed in the Merger;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593,562 shares of Class A Common Stock issuable upon settlement of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308,526 shares of Class A Common Stock reserved for future issuance under the 2023 Equity Incentive Plan and 68,705 shares of Class A Common Stock reserved for future issuance under the 2023 Employee Stock Purchase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2,598,074 shares of Class A Common Stock issuable upon exercise of outstanding warrants at exercise prices ranging from $0.10 to $57.90;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 shares of Class A Common Stock issuable as earnout shares to certain Legacy Mobix stockholders and option holders based on the achievement of trading price targets during the seven-year earnout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3,866,593 shares of Class A Common Stock underlying outstanding convertible promissory notes.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1" w:name="sp_008"/>
      <w:bookmarkEnd w:id="31"/>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and it remains difficult to evaluate our future prospects and the risks and challenges we may encounter.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commercialize new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and grow sales of our existing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growth strategies including through mergers and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 and budget for and manage our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additional capital on acceptable terms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retain existing customers and expand existing commercial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successfully in the highly competitive industries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and manage capital expenditures for our current and future products, and manage our supply chain and supplier relationships related to our current and future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or modified laws and regulations applicable to our business in and outside the United States, including compliance requirements of U.S. customs and export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 and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protect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security of our IT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defend our company in any legal proceeding that may arise and enforce our rights in any legal proceedings we may initiate;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and difficulties that we face, including those associated with the challenges listed above as well as those described elsewhere in this “</w:t>
      </w:r>
      <w:r>
        <w:rPr>
          <w:rFonts w:ascii="Times New Roman;Times;Serif" w:hAnsi="Times New Roman;Times;Serif"/>
          <w:b w:val="false"/>
          <w:i/>
          <w:caps w:val="false"/>
          <w:smallCaps w:val="false"/>
          <w:sz w:val="20"/>
        </w:rPr>
        <w:t>Risks Related to Our Business and Industry</w:t>
      </w:r>
      <w:r>
        <w:rPr>
          <w:rFonts w:ascii="Times New Roman;Times;Serif" w:hAnsi="Times New Roman;Times;Serif"/>
          <w:b w:val="false"/>
          <w:i w:val="false"/>
          <w:caps w:val="false"/>
          <w:smallCaps w:val="false"/>
          <w:sz w:val="20"/>
        </w:rPr>
        <w:t>” section, our business, financial condition, and results of operations could be adversely affected. Moreover, as we have limited historical financial data and operate in a rapidly evolving and highly competitive market, any predictions about our future revenue and expenses may not be as accurate as they would be if we had a longer operating history or operated in a more predictable market.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whether we will succeed in maintaining revenue growth, or when we will be able to generate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nine months ended June 30, 2026 and 2025, we incurred losses from operations of $22.3 million and $30.5 million, respectively. As of June 30, 2026, we had an accumulated deficit of $183.4 million. Since then, we have continued to incur losses from operations, and we expect this trend to persist, along with negative cash flows from operations,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achieve or maintain profitability or that we will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definitive agreements to acquire Vision Aerial, Inc. and Special Project Delivery, Inc. and such acquisitions are subject to significant uncertainty and may require additional dilutive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a definitive agreement relating to the proposed acquisition of Vision Aerial for aggregate consideration of approximately $15 million, payable in a combination of cash and shares of our Class A Common Stock. Additionally, on August 13, 2026, we entered into a definitive merger agreement to acquire Special Project Delivery, Inc. for 4,800,000 shares of our Class A Common Stock. The closing of the proposed transactions are subject to the completion of due diligence and the satisfaction of customary closing conditions. There is no assurance that the proposed acquisitions will be completed. If we complete the proposed acquisitions,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new lines of business under our NSM Initiative, including through acquisitions, may not be successful and could strain our financial and management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our NSM Initiative, we have entered into a definitive agreement to acquire Vision Aerial, Inc. and a definite agreement to acquire Special Project Delivery, Inc.,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issue shares of Class A Common Stock upon conversion of the Series A Preferred Stock, exercise of the Preferred Warrants, and conversion of the Additional Notes is limited by Nasdaq listing standards unless we obtain stockholder approval, and conversions of the Series A Preferred Stock may be substantially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listing standards, our ability to issue shares of Class A Common Stock to Kips Bay Select, LP upon conversion of the Series A Preferred Stock and exercise of the Preferred Warrants may be limited to 19.99% of our outstanding Class A Common Stock unless we obtain stockholder approval. Separately, our ability to issue shares of Class A Common Stock to Leviston upon conversion of the Additional Notes may be limited to 19.99% of our outstanding Class A Common Stock unless we obtain stockholder approval. We currently expect to seek such approvals at an upcoming meeting of our stockholders. If we do not obtain stockholder approval, the number of shares of Class A Common Stock issuable upon conversion of the Series A Preferred Stock and exercise of the Preferred Warrants, and therefore the number of shares that may be resold under this prospectus,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A Preferred Stock and outstanding convertible notes impose significant restrictions on our operations and our ability to raise capital.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Preferred Stock and the convertible notes may differ from those of holders of our Class A Common Stock, and the exercise of these rights could result in outcomes that are less favorable to Class A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under certain circumstances, to redeem or repay the outstanding Series A Preferred Stock and our outstanding convertible notes for cash, at a premium, and to pay additional penalties and default interest, and such obligations could adversely affect our liquidity and financial condition.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triggering events or events of default, each holder of our Series A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Preferred Stock. Upon such an event and a holder’s election, we may be required to redeem or repay the affected security at a redemption or repayment price that represents a premium to its stated value or outstanding balance or, in the case of the Series A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cash on hand to fund a redemption or repayment of the Series A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acquire or integrate new businesses, products, and technology, and we may not realize expected benefits, resulting in harm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growing our businesses, including through the acquisition of complementary businesses, products, or technologies rather than through internal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are unable to achieve widespread market acceptance of their products which incorporate our products, we may not be able to generate the revenue necessary to support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among others, may affect the level of market acceptance of our products:</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customers’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user perceptions of the convenience, safety, efficiency and benefits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independent sales representative organizations and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or maintain market acceptance of our products, and if our products do not win widespread market acceptance, our business may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generally require our products to undergo a lengthy qualification process, which does not assure product sales. If we are unsuccessful or delayed in qualifying these products with a customer, our business and operating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Markets for our mmWave wireless semiconductor products are still developing and may not develop at the speed and scale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execute our growth strategies effectively,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pStyle w:val="TextBody"/>
        <w:bidi w:val="0"/>
        <w:spacing w:before="0" w:after="0"/>
        <w:ind w:left="0" w:right="0" w:firstLine="72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additional products and services to our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technology and product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effective financial disclosure, controls and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interconnect products are also subject to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will greatly depend on our ability to successfully introduce new products and solutions for our markets that meet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consolidation of our customers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substantial portion of our revenues from one customer and expect that we will generate revenue from a limited number of customers in the near future; and the loss of any key customer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obtain long-term purchase commitments, and although most of our customer orders are non-cancellable, some customers may choose to unilaterally cancel their purchase order which may adversely impact our revenue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our products or poor design and engineering solutions could result in lost sales and subject us to substantial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suppliers for many of the components used in our products, and in the event of a disruption in our supply chain, any efforts to develop alternative supply sources may take longer to take effect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shortages, delivery delays and potential discontinuation of supply as a result of any recurrence of pandemics such as COVID-19, or other reasons outside of our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legal and economic changes, crises or instability and civil unrest in the jurisdictions where our manufacturers’ plants are located, such as changes in China-Taiwan relations that may adversely affect our manufacturers’ operations in Taiwan;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conversion risks and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requirements of U.S. customs and international trade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unfavorable global economic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expected growth in the scale and complexity of our operations, our performance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laws and regulations to which we are subject could have a material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employees,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our officers and directors, and their loss could adversely affect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in the event of a security breach involving our IT systems, intellectual property or other proprietary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Instituting and defending against intellectual property or other types of litigation and administrative proceedings could cause us to spend substantial resources, distract our personnel from their normal responsibilities, and have uncertain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potential customers, including those in the military and aerospace industries, may require us to comply with additional regulatory requirements, which will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violations of applicable anti-corruption laws or violations of our internal policies designed to ensure ethical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our failure to protect that intellectual property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state, federal and international privacy and data protection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development and sale of our products, including engagement of employees and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pStyle w:val="TextBody"/>
        <w:bidi w:val="0"/>
        <w:spacing w:before="0" w:after="0"/>
        <w:ind w:left="0" w:right="0" w:firstLine="72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Reverse Stock Split has led to a decrease in the overall market capitalization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is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the market price of our securities to fluctuate or decline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from period to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regarding our growth, profitability or other performance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business, including contracts, acquisitions, financings,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 or the failure to meet analysts’ or investors’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or stock price performance of other companies that investors may view as comparable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a significant number of shares of our Class A Common Stock by us or by our directors, executive officers or other large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including future issuances of equity or convertible securities or the incurrence of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litigation, regulatory matters or governmental investigations involving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accounting standards or interpretations applicable to us or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economic, industry and geopolitical conditions, including recessions, interest rate changes, currency fluctuations and acts of war, terrorism or natural disasters.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if they publish unfavorable research or reports about our company,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laws and regulations regarding corporate governance and public disclosure that have increased both our costs and the risk of non-compliance and may adversely affect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securities or class action litigation, which is expensive and could divert management’s attention.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applicable to each of the Series A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Series A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pStyle w:val="TextBody"/>
        <w:shd w:fill="FFFFFF" w:val="clear"/>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Common Stock may cause the market price of our Class A Common Stock to drop significantly, even if our business is doing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These issuances will have a dilutive effect on our earnings per share, which could adversely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Preferred Shares and the Additional Notes, including pursuant to the adjustment provisions of the Preferred Shares and the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outstanding warrants are exercisable for Class A Common Stock, and, if exercised, would increase the number of shares eligible for future resale in the public market and would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we have warrants outstanding, which are exercisable to purchase an aggregate of 2,598,074 shares of our Class A Common Stock for prices ranging from $0.10 to $57.90 per share (subject to adjustments as set forth in the applicable warrants). In addition, we may issue up to 11,000 shares of Series A Preferred Stock upon exercise of the Preferred Warrants,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any of our current or former director, officer, or other employee, which may discourage such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the Charter and the Bylaws could make a takeover proposal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classified board of directors with staggered, three-year terms, which could delay the ability of stockholders to change the membership of a majority of the Board;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forces stockholder action to be taken at an annual or special meeting of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requirements for nominations for election to the Board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certain provisions of the Charter or the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right of the Board to make, alter or repeal the Bylaws, which may allow the Board to take additional actions to prevent an unsolicited takeover and inhibit the ability of an acquirer to amend the Bylaws to facilitate an unsolicited takeover attempt.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our company or changes in the Board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rendering your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2" w:name="sp_009"/>
      <w:bookmarkEnd w:id="32"/>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shares of Class A Common Stock that may be offered and sold from time to time by the Selling Stockholder. All of our shares offered by the Selling Stockholder pursuant to this prospectus will be sold by the Selling Stockholder for their own accounts. We will not receive any of the proceeds from these sales. We may receive up to $6,000,000 to the extent the August 2026 Preferred Warrant is exercised. We intend to use any proceeds from the exercise of the August 2026 Preferred Warrant for working capital and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any underwriting fees, discounts, selling commissions, stock transfer taxes and certain legal expenses incurred by such Selling Stockholder,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3" w:name="sp_010"/>
      <w:bookmarkEnd w:id="33"/>
      <w:r>
        <w:rPr>
          <w:rFonts w:ascii="Times New Roman;Times;Serif" w:hAnsi="Times New Roman;Times;Serif"/>
          <w:b/>
          <w:i w:val="false"/>
          <w:caps/>
          <w:sz w:val="20"/>
        </w:rPr>
        <w:t>MARKET PRICE OF THE CLASS A COMMON STOCK AND DIVIDENDS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the Public Warrants are listed on Nasdaq under the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the last closing price of the Class A Common Stock and the Public Warrants as reported on Nasdaq were $1.14 per share and $0.0812 per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16,847,921 shares of Class A Common Stock outstanding held of record by 235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4" w:name="sp_011"/>
      <w:bookmarkEnd w:id="34"/>
      <w:r>
        <w:rPr>
          <w:rFonts w:ascii="Times New Roman;Times;Serif" w:hAnsi="Times New Roman;Times;Serif"/>
          <w:b/>
          <w:i w:val="false"/>
          <w:caps/>
          <w:sz w:val="20"/>
        </w:rPr>
        <w:t>MANAGEMENT’S DISCUSSION AND ANALYSIS OF FINANCIAL CONDITION AND RESULTS OF OPERATIONS OF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this “Management’s Discussion and Analysis of Financial Condition and Results of Operations” are in thousands, except numbers of shares and per share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discussion, unless otherwise noted or otherwise suggested by context, all references to “we,” “us” or “our” refer to Legacy Mobix prior to the consummation of the Merger, and to the Company and its subsidiaries after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Class B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$2,400, and (ii) the May 2026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We are registering the resale of the shares of Class A Common Stock pursuant to this prospectus to comply with the amended May 2026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 Aerial Merger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closing is subject to customary closing conditions, and there can be no assurance a transaction will be consummated. See Note 18 to our condensed consolidated financial statements.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Project Delivery Merger Agreement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Upcoming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September 2026. At the meeting, we expect to request that stockholders approve, among other matters: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5"/>
        <w:gridCol w:w="998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as amended, to effect a reclassification and combination of our shares of Class A Common Stock that are issued and outstanding immediately prior to the reverse stock split at a ratio between 1:2 and 1:20;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the conversion of the Series A Preferred Stock;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Leviston Resources, LLC (“Leviston”) in connection with the conversion of senior secured promissory notes in the aggregate principal amount of $5,200,000.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definitive proxy materials for the expected stockholder meeting. The specific terms of the proposals, including the number of shares subject to the proposals and the full text of any proposed charter amendment or equity incentive plan amendment, are set forth in our proxy materials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proposals described above will be approved by stockholders. If we do not obtain the required stockholder approvals, our ability to complete certain financing transactions, issue securities in connection with acquisitions, or implement certain corporate-governance and compensation-related matters may be limited.</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Leviston Additional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the IRA with Leviston. Pursuant to the IRA, we granted Leviston the right, but not the obligation, to purchase one or more additional senior secured convertible notes from us during the seven-month period commencing May 13, 2026 and ending December 13, 2026, in an aggregate principal amount not to exceed $4,000.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the May 2026 Additional Note in the original principal amount of $1,200, for gross proceeds to us of approximately $1,000. On June 22, 2026, we issued to Leviston the June 2026 Additional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we entered into an amendment to the securities purchase agreement entered into on March 31, 2026 with Leviston, pursuant to which we issued an additional senior secured convertible promissory note with a principal amount of $1,200 in favor of Leviston. In connection with this promissory note, we entered into a new investor rights agreement on August 28, 2026, which grants Leviston the right to purchase additional notes in an aggregate principal amount of up to $3,600.</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 The Market Offering Agreement</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National Security Matters Initiative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acquisitions of Vision Aerial and SPD described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93"/>
        <w:gridCol w:w="60"/>
        <w:gridCol w:w="209"/>
        <w:gridCol w:w="1134"/>
        <w:gridCol w:w="142"/>
        <w:gridCol w:w="89"/>
        <w:gridCol w:w="209"/>
        <w:gridCol w:w="954"/>
        <w:gridCol w:w="95"/>
        <w:gridCol w:w="60"/>
        <w:gridCol w:w="140"/>
        <w:gridCol w:w="635"/>
        <w:gridCol w:w="95"/>
        <w:gridCol w:w="60"/>
        <w:gridCol w:w="60"/>
        <w:gridCol w:w="680"/>
        <w:gridCol w:w="290"/>
      </w:tblGrid>
      <w:tr>
        <w:trPr/>
        <w:tc>
          <w:tcPr>
            <w:tcW w:w="5293"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737"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b/>
              </w:rPr>
            </w:pPr>
            <w:r>
              <w:rPr>
                <w:b/>
              </w:rPr>
              <w:t>Change</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3" w:type="dxa"/>
            <w:gridSpan w:val="2"/>
            <w:tcBorders>
              <w:bottom w:val="single" w:sz="8" w:space="0" w:color="000000"/>
            </w:tcBorders>
            <w:vAlign w:val="center"/>
          </w:tcPr>
          <w:p>
            <w:pPr>
              <w:pStyle w:val="TableContents"/>
              <w:bidi w:val="0"/>
              <w:spacing w:before="0" w:after="283"/>
              <w:jc w:val="center"/>
              <w:rPr>
                <w:b/>
              </w:rPr>
            </w:pPr>
            <w:r>
              <w:rPr>
                <w:b/>
              </w:rPr>
              <w:t>2026</w:t>
            </w:r>
          </w:p>
        </w:tc>
        <w:tc>
          <w:tcPr>
            <w:tcW w:w="14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1163"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3" w:type="dxa"/>
            <w:gridSpan w:val="2"/>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1163"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1134" w:type="dxa"/>
            <w:tcBorders/>
            <w:shd w:fill="FFFFFF" w:val="clear"/>
            <w:tcMar>
              <w:bottom w:w="0" w:type="dxa"/>
            </w:tcMar>
            <w:vAlign w:val="center"/>
          </w:tcPr>
          <w:p>
            <w:pPr>
              <w:pStyle w:val="TableContents"/>
              <w:bidi w:val="0"/>
              <w:spacing w:before="0" w:after="283"/>
              <w:jc w:val="right"/>
              <w:rPr/>
            </w:pPr>
            <w:r>
              <w:rPr/>
              <w:t>529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954" w:type="dxa"/>
            <w:tcBorders/>
            <w:shd w:fill="FFFFFF" w:val="clear"/>
            <w:tcMar>
              <w:bottom w:w="0" w:type="dxa"/>
            </w:tcMar>
            <w:vAlign w:val="center"/>
          </w:tcPr>
          <w:p>
            <w:pPr>
              <w:pStyle w:val="TableContents"/>
              <w:bidi w:val="0"/>
              <w:spacing w:before="0" w:after="283"/>
              <w:jc w:val="right"/>
              <w:rPr/>
            </w:pPr>
            <w:r>
              <w:rPr/>
              <w:t>1,503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(974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(65</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260</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(587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(69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789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2,350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(66</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528</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655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1134" w:type="dxa"/>
            <w:tcBorders>
              <w:bottom w:val="single" w:sz="8" w:space="0" w:color="000000"/>
            </w:tcBorders>
            <w:shd w:fill="FFFFFF" w:val="clear"/>
            <w:vAlign w:val="center"/>
          </w:tcPr>
          <w:p>
            <w:pPr>
              <w:pStyle w:val="TableContents"/>
              <w:bidi w:val="0"/>
              <w:spacing w:before="0" w:after="283"/>
              <w:jc w:val="right"/>
              <w:rPr/>
            </w:pPr>
            <w:r>
              <w:rPr/>
              <w:t>159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954" w:type="dxa"/>
            <w:tcBorders>
              <w:bottom w:val="single" w:sz="8" w:space="0" w:color="000000"/>
            </w:tcBorders>
            <w:shd w:fill="FFFFFF" w:val="clear"/>
            <w:vAlign w:val="center"/>
          </w:tcPr>
          <w:p>
            <w:pPr>
              <w:pStyle w:val="TableContents"/>
              <w:bidi w:val="0"/>
              <w:spacing w:before="0" w:after="283"/>
              <w:jc w:val="right"/>
              <w:rPr/>
            </w:pPr>
            <w:r>
              <w:rPr/>
              <w:t>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687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1,001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(31</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102</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1,349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(1,247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(92</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411</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486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7,045</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8,208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(1,163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(7,354</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(8,070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868</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547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(108</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(612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504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600</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35</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27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3,791</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22,201</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3,707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1134" w:type="dxa"/>
            <w:tcBorders>
              <w:bottom w:val="single" w:sz="8" w:space="0" w:color="000000"/>
            </w:tcBorders>
            <w:shd w:fill="FFFFFF" w:val="clear"/>
            <w:vAlign w:val="center"/>
          </w:tcPr>
          <w:p>
            <w:pPr>
              <w:pStyle w:val="TableContents"/>
              <w:bidi w:val="0"/>
              <w:spacing w:before="0" w:after="283"/>
              <w:jc w:val="right"/>
              <w:rPr/>
            </w:pPr>
            <w:r>
              <w:rPr/>
              <w:t>553</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954" w:type="dxa"/>
            <w:tcBorders>
              <w:bottom w:val="single" w:sz="8" w:space="0" w:color="000000"/>
            </w:tcBorders>
            <w:shd w:fill="FFFFFF" w:val="clear"/>
            <w:vAlign w:val="center"/>
          </w:tcPr>
          <w:p>
            <w:pPr>
              <w:pStyle w:val="TableContents"/>
              <w:bidi w:val="0"/>
              <w:spacing w:before="0" w:after="283"/>
              <w:jc w:val="right"/>
              <w:rPr/>
            </w:pPr>
            <w:r>
              <w:rPr/>
              <w:t>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2,810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(16,792</w:t>
            </w:r>
          </w:p>
        </w:tc>
        <w:tc>
          <w:tcPr>
            <w:tcW w:w="142" w:type="dxa"/>
            <w:tcBorders/>
            <w:shd w:fill="FFFFFF" w:val="clear"/>
            <w:tcMar>
              <w:bottom w:w="0" w:type="dxa"/>
            </w:tcMar>
            <w:vAlign w:val="center"/>
          </w:tcPr>
          <w:p>
            <w:pPr>
              <w:pStyle w:val="TableContents"/>
              <w:bidi w:val="0"/>
              <w:spacing w:before="0" w:after="283"/>
              <w:jc w:val="left"/>
              <w:rPr/>
            </w:pPr>
            <w:r>
              <w:rPr/>
              <w:t>)</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(8,274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(8,518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103</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Income tax provision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3</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(250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vAlign w:val="center"/>
          </w:tcPr>
          <w:p>
            <w:pPr>
              <w:pStyle w:val="TableContents"/>
              <w:bidi w:val="0"/>
              <w:spacing w:before="0" w:after="283"/>
              <w:jc w:val="left"/>
              <w:rPr/>
            </w:pPr>
            <w:r>
              <w:rPr/>
              <w:t>$</w:t>
            </w:r>
          </w:p>
        </w:tc>
        <w:tc>
          <w:tcPr>
            <w:tcW w:w="1134" w:type="dxa"/>
            <w:tcBorders>
              <w:bottom w:val="double" w:sz="6" w:space="0" w:color="000000"/>
            </w:tcBorders>
            <w:shd w:fill="CCEEFF" w:val="clear"/>
            <w:vAlign w:val="center"/>
          </w:tcPr>
          <w:p>
            <w:pPr>
              <w:pStyle w:val="TableContents"/>
              <w:bidi w:val="0"/>
              <w:spacing w:before="0" w:after="283"/>
              <w:jc w:val="right"/>
              <w:rPr/>
            </w:pPr>
            <w:r>
              <w:rPr/>
              <w:t>(16,795</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vAlign w:val="center"/>
          </w:tcPr>
          <w:p>
            <w:pPr>
              <w:pStyle w:val="TableContents"/>
              <w:bidi w:val="0"/>
              <w:spacing w:before="0" w:after="283"/>
              <w:jc w:val="left"/>
              <w:rPr/>
            </w:pPr>
            <w:r>
              <w:rPr/>
              <w:t>$</w:t>
            </w:r>
          </w:p>
        </w:tc>
        <w:tc>
          <w:tcPr>
            <w:tcW w:w="954" w:type="dxa"/>
            <w:tcBorders>
              <w:bottom w:val="double" w:sz="6" w:space="0" w:color="000000"/>
            </w:tcBorders>
            <w:shd w:fill="CCEEFF" w:val="clear"/>
            <w:vAlign w:val="center"/>
          </w:tcPr>
          <w:p>
            <w:pPr>
              <w:pStyle w:val="TableContents"/>
              <w:bidi w:val="0"/>
              <w:spacing w:before="0" w:after="283"/>
              <w:jc w:val="right"/>
              <w:rPr/>
            </w:pPr>
            <w:r>
              <w:rPr/>
              <w:t>(8,272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35" w:type="dxa"/>
            <w:tcBorders>
              <w:bottom w:val="double" w:sz="6" w:space="0" w:color="000000"/>
            </w:tcBorders>
            <w:shd w:fill="CCEEFF" w:val="clear"/>
            <w:vAlign w:val="center"/>
          </w:tcPr>
          <w:p>
            <w:pPr>
              <w:pStyle w:val="TableContents"/>
              <w:bidi w:val="0"/>
              <w:spacing w:before="0" w:after="283"/>
              <w:jc w:val="right"/>
              <w:rPr/>
            </w:pPr>
            <w:r>
              <w:rPr/>
              <w:t>(8,523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pPr>
            <w:r>
              <w:rPr/>
              <w:t>103</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53"/>
        <w:gridCol w:w="60"/>
        <w:gridCol w:w="192"/>
        <w:gridCol w:w="1040"/>
        <w:gridCol w:w="130"/>
        <w:gridCol w:w="82"/>
        <w:gridCol w:w="192"/>
        <w:gridCol w:w="1040"/>
        <w:gridCol w:w="95"/>
        <w:gridCol w:w="60"/>
        <w:gridCol w:w="140"/>
        <w:gridCol w:w="755"/>
        <w:gridCol w:w="95"/>
        <w:gridCol w:w="60"/>
        <w:gridCol w:w="60"/>
        <w:gridCol w:w="560"/>
        <w:gridCol w:w="291"/>
      </w:tblGrid>
      <w:tr>
        <w:trPr/>
        <w:tc>
          <w:tcPr>
            <w:tcW w:w="5353"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676" w:type="dxa"/>
            <w:gridSpan w:val="6"/>
            <w:tcBorders>
              <w:bottom w:val="single" w:sz="8" w:space="0" w:color="000000"/>
            </w:tcBorders>
            <w:vAlign w:val="center"/>
          </w:tcPr>
          <w:p>
            <w:pPr>
              <w:pStyle w:val="TableContents"/>
              <w:bidi w:val="0"/>
              <w:spacing w:before="0" w:after="283"/>
              <w:jc w:val="center"/>
              <w:rPr>
                <w:b/>
              </w:rPr>
            </w:pPr>
            <w:r>
              <w:rPr>
                <w:b/>
              </w:rPr>
              <w:t>Nine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b/>
              </w:rPr>
            </w:pPr>
            <w:r>
              <w:rPr>
                <w:b/>
              </w:rPr>
              <w:t>Change</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2" w:type="dxa"/>
            <w:gridSpan w:val="2"/>
            <w:tcBorders>
              <w:bottom w:val="single" w:sz="8" w:space="0" w:color="000000"/>
            </w:tcBorders>
            <w:vAlign w:val="center"/>
          </w:tcPr>
          <w:p>
            <w:pPr>
              <w:pStyle w:val="TableContents"/>
              <w:bidi w:val="0"/>
              <w:spacing w:before="0" w:after="283"/>
              <w:jc w:val="center"/>
              <w:rPr>
                <w:b/>
              </w:rPr>
            </w:pPr>
            <w:r>
              <w:rPr>
                <w:b/>
              </w:rPr>
              <w:t>2026</w:t>
            </w:r>
          </w:p>
        </w:tc>
        <w:tc>
          <w:tcPr>
            <w:tcW w:w="130"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1232"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2" w:type="dxa"/>
            <w:gridSpan w:val="2"/>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1232"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2,533</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4,911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(2,378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1,101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(2,018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(65</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3,634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(4,396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(55</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1,933</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(979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(34</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834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(21</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2,767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(1,207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(30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867</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4,056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(3,189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(79</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1,281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(29</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21,864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32,043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(10,179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(22,278</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(30,528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(27</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3,637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2,605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252</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(960</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(470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96</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320</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(1,237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1,557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(126</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600</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35</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4,218</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1,306</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3,707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Other non-operating gains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(1,036</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(871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528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(32,791</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(30,411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(32,773</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(30,402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(2,371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pPr>
            <w:r>
              <w:rPr/>
              <w:t>8</w:t>
            </w:r>
          </w:p>
        </w:tc>
        <w:tc>
          <w:tcPr>
            <w:tcW w:w="29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$529 for the three months ended June 30, 2026 compared to $1,503 for the three months ended June 30, 2025, a decrease of $974 or 65%. The change is principally driven by a drop in sales of our filtered connectors products.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$834 for the nine months ended June 30, 2026 compared to $1,062 for the nine months ended June 30, 2025, a decrease of $228 or 21%.</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$411 for the three months ended June 30, 2026 compared to $486 for the three months ended June 30, 2025, a decrease of $75 or 15%. The decrease primarily relates to lower stock-based compensation expense.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1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$7,045 for the three months ended June 30, 2026 compared to $8,208 for the three months ended June 30, 2025, a decrease of $1,163 or 14%. The change principally reflects a decrease in stock-based compensation expense.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related liabilities of $3,047 and $6,859, respectively, are included in “Liability-classified warrants” in the condensed consolidated balance sheet.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 </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4760"/>
        <w:gridCol w:w="60"/>
        <w:gridCol w:w="140"/>
        <w:gridCol w:w="755"/>
        <w:gridCol w:w="95"/>
        <w:gridCol w:w="60"/>
        <w:gridCol w:w="140"/>
        <w:gridCol w:w="755"/>
        <w:gridCol w:w="95"/>
        <w:gridCol w:w="60"/>
        <w:gridCol w:w="140"/>
        <w:gridCol w:w="755"/>
        <w:gridCol w:w="95"/>
        <w:gridCol w:w="60"/>
        <w:gridCol w:w="60"/>
        <w:gridCol w:w="455"/>
        <w:gridCol w:w="305"/>
      </w:tblGrid>
      <w:tr>
        <w:trPr/>
        <w:tc>
          <w:tcPr>
            <w:tcW w:w="476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3,364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609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6,442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1,204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872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4,905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2,419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39,556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41,835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1,333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(37,693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(46,395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8,702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31,439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(99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PIPE make-whole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Merger-related transaction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Financing costs expensed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(46,124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(23,661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(46,131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(20,034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(26,097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vAlign w:val="center"/>
          </w:tcPr>
          <w:p>
            <w:pPr>
              <w:pStyle w:val="TableContents"/>
              <w:bidi w:val="0"/>
              <w:spacing w:before="0" w:after="283"/>
              <w:jc w:val="right"/>
              <w:rPr/>
            </w:pPr>
            <w:r>
              <w:rPr/>
              <w:t>(130</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Times;Serif" w:hAnsi="Times New Roman;Times;Serif"/>
          <w:b w:val="false"/>
          <w:i/>
          <w:caps w:val="false"/>
          <w:smallCaps w:val="false"/>
          <w:sz w:val="20"/>
        </w:rPr>
        <w:t>Net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on our related and unrelated party promissory notes and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and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PIPE Make-Whole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other non-operating losses, net of $84 principally consisted of net losses on the settlement of notes payable and other liabilities in shares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other non-operating losses, net of $1,707 principally consisted of commitment and other fees of $1,577 incurred in connection with the 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782" w:type="dxa"/>
        <w:jc w:val="left"/>
        <w:tblInd w:w="0" w:type="dxa"/>
        <w:tblLayout w:type="fixed"/>
        <w:tblCellMar>
          <w:top w:w="0" w:type="dxa"/>
          <w:left w:w="0" w:type="dxa"/>
          <w:bottom w:w="0" w:type="dxa"/>
          <w:right w:w="0" w:type="dxa"/>
        </w:tblCellMar>
      </w:tblPr>
      <w:tblGrid>
        <w:gridCol w:w="4745"/>
        <w:gridCol w:w="60"/>
        <w:gridCol w:w="222"/>
        <w:gridCol w:w="1199"/>
        <w:gridCol w:w="150"/>
        <w:gridCol w:w="95"/>
        <w:gridCol w:w="222"/>
        <w:gridCol w:w="1009"/>
        <w:gridCol w:w="95"/>
        <w:gridCol w:w="60"/>
        <w:gridCol w:w="147"/>
        <w:gridCol w:w="66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(14,719</w:t>
            </w:r>
          </w:p>
        </w:tc>
        <w:tc>
          <w:tcPr>
            <w:tcW w:w="15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(5,600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(9,119</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(9</w:t>
            </w:r>
          </w:p>
        </w:tc>
        <w:tc>
          <w:tcPr>
            <w:tcW w:w="15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13,597</w:t>
            </w:r>
          </w:p>
        </w:tc>
        <w:tc>
          <w:tcPr>
            <w:tcW w:w="1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5,563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8,034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(1,131</w:t>
            </w:r>
          </w:p>
        </w:tc>
        <w:tc>
          <w:tcPr>
            <w:tcW w:w="15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(1,105</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2026 was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$11 for the nine months ended June 30, 2025 consisted of proceeds from the sale of property and equipment, partially offset by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cash flows for the years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4745"/>
        <w:gridCol w:w="60"/>
        <w:gridCol w:w="140"/>
        <w:gridCol w:w="755"/>
        <w:gridCol w:w="95"/>
        <w:gridCol w:w="60"/>
        <w:gridCol w:w="140"/>
        <w:gridCol w:w="755"/>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(10,113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8,275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1,109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19,673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(6,554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increase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2,830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3,273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 for the year ended September 30, 2025 consisted of proceeds from the sale of property and equipment, almost entirely offset by payments for the acquisition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$1,108 for the year ended September 30, 2024 consisted of payments for the acquisition EMI Solutions and RaGE, net of acquired cash, and payments of $44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balance was $3,273 compared to $266 at September 30, 2024. We had a working capital deficit of $21,071 as of September 30, 2025 compared to a working capital deficit of $20,836 at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balance was $2,142 compared to $3,273 at September 30, 2025. We had a working capital deficit of $16,117 as of June 30, 2026 compared to a working capital deficit of $21,071 at September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and related disclosures in accordance with U.S. GAAP requires that we make judgments, assumptions and estimates that affect the amounts reported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RSUs and RSAs based on the grant-date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fair value of liability-classified warrants, other than the Private Warrants, using the Black-Scholes option-pricing model (as described above under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805"/>
        <w:gridCol w:w="60"/>
        <w:gridCol w:w="140"/>
        <w:gridCol w:w="1190"/>
        <w:gridCol w:w="21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55.7</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based on quoted market prices for the Public Warrants, which have substantially the same economic characteristics as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5" w:name="sq_001"/>
      <w:bookmarkEnd w:id="35"/>
      <w:r>
        <w:rPr>
          <w:rFonts w:ascii="Times New Roman;Times;Serif" w:hAnsi="Times New Roman;Times;Serif"/>
          <w:b/>
          <w:i w:val="false"/>
          <w:caps/>
          <w:sz w:val="20"/>
        </w:rPr>
        <w:t>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w:t>
      </w:r>
      <w:r>
        <w:rPr>
          <w:rFonts w:ascii="Times New Roman;Times;Serif" w:hAnsi="Times New Roman;Times;Serif"/>
          <w:b w:val="false"/>
          <w:i w:val="false"/>
          <w:caps w:val="false"/>
          <w:smallCaps w:val="false"/>
          <w:sz w:val="20"/>
        </w:rPr>
        <w:t xml:space="preserve"> — Our wireless systems solutions address several growth markets in the electronics industry—communications, sensing and detection and microelectronics. We expect these markets will continue to expand, driven by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Communications </w:t>
            </w:r>
            <w:r>
              <w:rPr>
                <w:rFonts w:ascii="Times New Roman;Times;Serif" w:hAnsi="Times New Roman;Times;Serif"/>
                <w:b w:val="false"/>
                <w:i w:val="false"/>
                <w:caps w:val="false"/>
                <w:smallCaps w:val="false"/>
                <w:sz w:val="20"/>
              </w:rPr>
              <w:t>—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Microelectronics </w:t>
            </w:r>
            <w:r>
              <w:rPr>
                <w:rFonts w:ascii="Times New Roman;Times;Serif" w:hAnsi="Times New Roman;Times;Serif"/>
                <w:b w:val="false"/>
                <w:i w:val="false"/>
                <w:caps w:val="false"/>
                <w:smallCaps w:val="false"/>
                <w:sz w:val="20"/>
              </w:rPr>
              <w:t>—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w:t>
      </w:r>
      <w:r>
        <w:rPr>
          <w:rFonts w:ascii="Times New Roman;Times;Serif" w:hAnsi="Times New Roman;Times;Serif"/>
          <w:b w:val="false"/>
          <w:i w:val="false"/>
          <w:caps w:val="false"/>
          <w:smallCaps w:val="false"/>
          <w:sz w:val="20"/>
        </w:rPr>
        <w:t xml:space="preserve"> — Our interconnect products address the global EMI filter market which we believe is experiencing significant growth due to the increasing demand for noise reduction in electronic devices. The growing complexity of electronic systems and the proliferation of communication technologies are driving the market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Aerospace and Defense </w:t>
      </w:r>
      <w:r>
        <w:rPr>
          <w:rFonts w:ascii="Times New Roman;Times;Serif" w:hAnsi="Times New Roman;Times;Serif"/>
          <w:b w:val="false"/>
          <w:i w:val="false"/>
          <w:caps w:val="false"/>
          <w:smallCaps w:val="false"/>
          <w:sz w:val="20"/>
        </w:rPr>
        <w:t>— We offer a variety of products that support the needs of end-user customers in the aerospace and defense and HiRel markets, including our wireless systems 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Industrial </w:t>
      </w:r>
      <w:r>
        <w:rPr>
          <w:rFonts w:ascii="Times New Roman;Times;Serif" w:hAnsi="Times New Roman;Times;Serif"/>
          <w:b w:val="false"/>
          <w:i w:val="false"/>
          <w:caps w:val="false"/>
          <w:smallCaps w:val="false"/>
          <w:sz w:val="20"/>
        </w:rPr>
        <w:t>— Securing sensitive areas such as airports, ports of entry, government offices and data centers as well as other public spaces is a major growth area due to the lack of system 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Satellite Communications</w:t>
      </w:r>
      <w:r>
        <w:rPr>
          <w:rFonts w:ascii="Times New Roman;Times;Serif" w:hAnsi="Times New Roman;Times;Serif"/>
          <w:b w:val="false"/>
          <w:i w:val="false"/>
          <w:caps w:val="false"/>
          <w:smallCaps w:val="false"/>
          <w:sz w:val="20"/>
        </w:rPr>
        <w:t xml:space="preserve"> — With the proliferation of satellite enabled devices there is an industry push to converge broadband low earth orbit satellite communications (“LEO 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Wireless Systems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products and services address three key markets—communications, sensing and detection, and microelectronics.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 We provide both products and services for communications applications. Typically, we contract with customers to specify, design, prototype and validate products for 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We provide a custom designed product and a variety of services for sensing and detection applications. In security technology systems for airports, ports and 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Microelectronics</w:t>
      </w:r>
      <w:r>
        <w:rPr>
          <w:rFonts w:ascii="Times New Roman;Times;Serif" w:hAnsi="Times New Roman;Times;Serif"/>
          <w:b w:val="false"/>
          <w:i w:val="false"/>
          <w:caps w:val="false"/>
          <w:smallCaps w:val="false"/>
          <w:sz w:val="20"/>
        </w:rPr>
        <w:t xml:space="preserve"> — Semiconductor components are the building blocks used in wireless systems and devices. These components are classified as either discrete devices or ICs (also 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Experienced management team</w:t>
            </w:r>
            <w:r>
              <w:rPr>
                <w:rFonts w:ascii="Times New Roman;Times;Serif" w:hAnsi="Times New Roman;Times;Serif"/>
                <w:b w:val="false"/>
                <w:i w:val="false"/>
                <w:caps w:val="false"/>
                <w:smallCaps w:val="false"/>
                <w:sz w:val="20"/>
              </w:rPr>
              <w:t xml:space="preserve"> — Our board of directors and our executive management team possess comprehensive expertise in overseeing entities within the communications 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Diversified business model</w:t>
            </w:r>
            <w:r>
              <w:rPr>
                <w:rFonts w:ascii="Times New Roman;Times;Serif" w:hAnsi="Times New Roman;Times;Serif"/>
                <w:b w:val="false"/>
                <w:i w:val="false"/>
                <w:caps w:val="false"/>
                <w:smallCaps w:val="false"/>
                <w:sz w:val="20"/>
              </w:rPr>
              <w:t xml:space="preserve"> — Our broad portfolio of products serve the connectivity, aerospace, military, defense and healthcare markets, and address the needs of both 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acquisition and integration track record</w:t>
            </w:r>
            <w:r>
              <w:rPr>
                <w:rFonts w:ascii="Times New Roman;Times;Serif" w:hAnsi="Times New Roman;Times;Serif"/>
                <w:b w:val="false"/>
                <w:i w:val="false"/>
                <w:caps w:val="false"/>
                <w:smallCaps w:val="false"/>
                <w:sz w:val="20"/>
              </w:rPr>
              <w:t xml:space="preserve"> — Since our founding in 2020, we have strategically expanded our portfolio through the acquisition and integration of other 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Superior, scalable wireless technology</w:t>
            </w:r>
            <w:r>
              <w:rPr>
                <w:rFonts w:ascii="Times New Roman;Times;Serif" w:hAnsi="Times New Roman;Times;Serif"/>
                <w:b w:val="false"/>
                <w:i w:val="false"/>
                <w:caps w:val="false"/>
                <w:smallCaps w:val="false"/>
                <w:sz w:val="20"/>
              </w:rPr>
              <w:t xml:space="preserve"> —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U.S.-based supplier of interconnect products</w:t>
            </w:r>
            <w:r>
              <w:rPr>
                <w:rFonts w:ascii="Times New Roman;Times;Serif" w:hAnsi="Times New Roman;Times;Serif"/>
                <w:b w:val="false"/>
                <w:i w:val="false"/>
                <w:caps w:val="false"/>
                <w:smallCaps w:val="false"/>
                <w:sz w:val="20"/>
              </w:rPr>
              <w:t xml:space="preserve"> — We believe certain of our customers, particularly those serving the defense industry, prefer to source interconnect products from 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Extensive patent and trade secret portfolio</w:t>
            </w:r>
            <w:r>
              <w:rPr>
                <w:rFonts w:ascii="Times New Roman;Times;Serif" w:hAnsi="Times New Roman;Times;Serif"/>
                <w:b w:val="false"/>
                <w:i w:val="false"/>
                <w:caps w:val="false"/>
                <w:smallCaps w:val="false"/>
                <w:sz w:val="20"/>
              </w:rPr>
              <w:t xml:space="preserve"> — We believe our intellectual property portfolio, comprising a combination of existing and pending patents and trade secrets, provides 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Acquire and integrate complementary assets</w:t>
            </w:r>
            <w:r>
              <w:rPr>
                <w:rFonts w:ascii="Times New Roman;Times;Serif" w:hAnsi="Times New Roman;Times;Serif"/>
                <w:b w:val="false"/>
                <w:i w:val="false"/>
                <w:caps w:val="false"/>
                <w:smallCaps w:val="false"/>
                <w:sz w:val="20"/>
              </w:rPr>
              <w:t>— A key component of our growth strategy is to continually explore acquisition opportunities that can be accretive in both the short 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 technology development and innovation</w:t>
            </w:r>
            <w:r>
              <w:rPr>
                <w:rFonts w:ascii="Times New Roman;Times;Serif" w:hAnsi="Times New Roman;Times;Serif"/>
                <w:b w:val="false"/>
                <w:i w:val="false"/>
                <w:caps w:val="false"/>
                <w:smallCaps w:val="false"/>
                <w:sz w:val="20"/>
              </w:rPr>
              <w:t xml:space="preserve"> — We are dedicated to developing innovative solutions for next generation consumer commercial, industrial, automotive, 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into new end markets and geographies</w:t>
            </w:r>
            <w:r>
              <w:rPr>
                <w:rFonts w:ascii="Times New Roman;Times;Serif" w:hAnsi="Times New Roman;Times;Serif"/>
                <w:b w:val="false"/>
                <w:i w:val="false"/>
                <w:caps w:val="false"/>
                <w:smallCaps w:val="false"/>
                <w:sz w:val="20"/>
              </w:rPr>
              <w:t xml:space="preserve"> — Our products and solutions are designed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mmWave wireless devices to transmit and receive data at extremely high data rates which we believe will surpass those currently available in the consumer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EMI in mission critical applications, including aerospace, military, defense and healthcare.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No other customer accounted for 10% or more of our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 —</w:t>
      </w:r>
      <w:r>
        <w:rPr>
          <w:rFonts w:ascii="Times New Roman;Times;Serif" w:hAnsi="Times New Roman;Times;Serif"/>
          <w:b w:val="false"/>
          <w:i w:val="false"/>
          <w:caps w:val="false"/>
          <w:smallCaps w:val="false"/>
          <w:sz w:val="20"/>
        </w:rPr>
        <w:t xml:space="preserve"> The mmWave wireless market presents a significant opportunity for many existing and emerging semiconductor companies. Large companies such as 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 —</w:t>
      </w:r>
      <w:r>
        <w:rPr>
          <w:rFonts w:ascii="Times New Roman;Times;Serif" w:hAnsi="Times New Roman;Times;Serif"/>
          <w:b w:val="false"/>
          <w:i w:val="false"/>
          <w:caps w:val="false"/>
          <w:smallCaps w:val="false"/>
          <w:sz w:val="20"/>
        </w:rPr>
        <w:t xml:space="preserve"> Multiple companies vie to provide effective solutions for mitigating electromagnetic interference. Principal companies with whom we compete include Amphenol Corporation, Glenair, Inc., ITT Inc., and TE Connectivity Corporation. However, we believe that only a limited number of companies, including us, are approved vendors for products incorporated into certain military, defense, aerospace, and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Times;Serif" w:hAnsi="Times New Roman;Times;Serif"/>
          <w:b w:val="false"/>
          <w:i/>
          <w:caps w:val="false"/>
          <w:smallCaps w:val="false"/>
          <w:sz w:val="20"/>
        </w:rPr>
        <w:t>Risk Factors — Risks Related to Our Business and Industry</w:t>
      </w:r>
      <w:r>
        <w:rPr>
          <w:rFonts w:ascii="Times New Roman;Times;Serif" w:hAnsi="Times New Roman;Times;Serif"/>
          <w:b w:val="false"/>
          <w:i w:val="false"/>
          <w:caps w:val="false"/>
          <w:smallCaps w:val="false"/>
          <w:sz w:val="20"/>
        </w:rPr>
        <w:t>”) have had, and we believe may continue to have, a material impact on our business, including our ability to manufacture or sell products or source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6" w:name="sq_002"/>
      <w:bookmarkEnd w:id="36"/>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each of our executive officers and directors.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075"/>
        <w:gridCol w:w="60"/>
        <w:gridCol w:w="350"/>
        <w:gridCol w:w="60"/>
        <w:gridCol w:w="4805"/>
      </w:tblGrid>
      <w:tr>
        <w:trPr/>
        <w:tc>
          <w:tcPr>
            <w:tcW w:w="20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President, Chief Financial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Aralis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Philip Sansone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Philip Sansone was appointed as Chief Executive Officer and as a director in July 2025. Mr. Sansone, served as Interim Chief Executive Officer from April 2025 to July 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Keyvan Samini</w:t>
      </w:r>
      <w:r>
        <w:rPr>
          <w:rFonts w:ascii="Times New Roman;Times;Serif" w:hAnsi="Times New Roman;Times;Serif"/>
          <w:b w:val="false"/>
          <w:i w:val="false"/>
          <w:caps w:val="false"/>
          <w:smallCaps w:val="false"/>
          <w:sz w:val="20"/>
        </w:rPr>
        <w:t>. Keyvan Samini is a co-founder of the Company and has served as our President since August 2022 and as a director since December 2023. He has also served as our 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Aralis</w:t>
      </w:r>
      <w:r>
        <w:rPr>
          <w:rFonts w:ascii="Times New Roman;Times;Serif" w:hAnsi="Times New Roman;Times;Serif"/>
          <w:b w:val="false"/>
          <w:i w:val="false"/>
          <w:caps w:val="false"/>
          <w:smallCaps w:val="false"/>
          <w:sz w:val="20"/>
        </w:rPr>
        <w:t>. James Aralis has served as our Chief Technology Officer since May 2022. Mr. Aralis has spent more than 40 years in the development of analog, digital, and mixed signal 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Peterson</w:t>
      </w:r>
      <w:r>
        <w:rPr>
          <w:rFonts w:ascii="Times New Roman;Times;Serif" w:hAnsi="Times New Roman;Times;Serif"/>
          <w:b w:val="false"/>
          <w:i w:val="false"/>
          <w:caps w:val="false"/>
          <w:smallCaps w:val="false"/>
          <w:sz w:val="20"/>
        </w:rPr>
        <w:t>. James Peterson is a co-founder of the Company and has served as a member of our Board since February 2021 and as the Executive Chairman of the Board since 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Aldrich</w:t>
      </w:r>
      <w:r>
        <w:rPr>
          <w:rFonts w:ascii="Times New Roman;Times;Serif" w:hAnsi="Times New Roman;Times;Serif"/>
          <w:b w:val="false"/>
          <w:i w:val="false"/>
          <w:caps w:val="false"/>
          <w:smallCaps w:val="false"/>
          <w:sz w:val="20"/>
        </w:rPr>
        <w:t>. David Aldrich has served as a member of our Board since February 2021. Mr. Aldrich also currently serves on the Boards of Allegro MicroSystems Inc., indie 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Busch</w:t>
      </w:r>
      <w:r>
        <w:rPr>
          <w:rFonts w:ascii="Times New Roman;Times;Serif" w:hAnsi="Times New Roman;Times;Serif"/>
          <w:b w:val="false"/>
          <w:i w:val="false"/>
          <w:caps w:val="false"/>
          <w:smallCaps w:val="false"/>
          <w:sz w:val="20"/>
        </w:rPr>
        <w:t>. Kurt Busch has served as a member of our Board since February 2021. Mr. Busch is also the co-Founder and Chief Executive Officer of Syntiant Corp., an AI company 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Carpou</w:t>
      </w:r>
      <w:r>
        <w:rPr>
          <w:rFonts w:ascii="Times New Roman;Times;Serif" w:hAnsi="Times New Roman;Times;Serif"/>
          <w:b w:val="false"/>
          <w:i w:val="false"/>
          <w:caps w:val="false"/>
          <w:smallCaps w:val="false"/>
          <w:sz w:val="20"/>
        </w:rPr>
        <w:t>. William Carpou has been a Board member since June 2021. He has served as the CEO of Octane, a technology accelerator in California focused on fostering technology 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Frederick Goerner</w:t>
      </w:r>
      <w:r>
        <w:rPr>
          <w:rFonts w:ascii="Times New Roman;Times;Serif" w:hAnsi="Times New Roman;Times;Serif"/>
          <w:b w:val="false"/>
          <w:i w:val="false"/>
          <w:caps w:val="false"/>
          <w:smallCaps w:val="false"/>
          <w:sz w:val="20"/>
        </w:rPr>
        <w:t>. Frederick Goerner is a co-founder of the Company and has served as a member of our Board since February 2021. From April 2011 to March 2018, Mr. Goerner 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Long</w:t>
      </w:r>
      <w:r>
        <w:rPr>
          <w:rFonts w:ascii="Times New Roman;Times;Serif" w:hAnsi="Times New Roman;Times;Serif"/>
          <w:b w:val="false"/>
          <w:i w:val="false"/>
          <w:caps w:val="false"/>
          <w:smallCaps w:val="false"/>
          <w:sz w:val="20"/>
        </w:rPr>
        <w:t>. Michael Long has served as a member of our Board since January 22, 2024. From May 2009 until May 2022 was the former chairman, president and chief executive 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David Aldrich, Frederick Goerner and Keyvan Samini were elected to serve as Class II directors with a term expiring at the Company’s 2029 annual meeting of stockholders. On March 3, 2025, Fabrizio Battaglia, Kurt Busch and William Carpou were elected to serve as Class I directors with a term expiring at the Company’s 2028 annual meeting of stockholders. On December 18, 2023,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conversion of the Class B Common Stock, the term of the directors elected by the holders of the Class B Common Stock (Mr. Goerner, Mr. Samini and Mr. Peterson) terminated and the authorized number of directors automatically decreased from eight to five. On August 24, 2026, the Board increased the size of the Board back to eight members and reappointed Mr. Goerner, Mr. Samini and Mr. Peterson to the Board in the same classes to which each person previously served and reappointed Mr. Goerner to the Audit Committee and Mr. Peterson as Executive Chairman.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executive officers or directors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Times;Serif" w:hAnsi="Times New Roman;Times;Serif"/>
          <w:b w:val="false"/>
          <w:i/>
          <w:caps w:val="false"/>
          <w:smallCaps w:val="false"/>
          <w:sz w:val="20"/>
        </w:rPr>
        <w:t>Certain Mobix Labs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pStyle w:val="TextBody"/>
        <w:bidi w:val="0"/>
        <w:spacing w:before="0" w:after="0"/>
        <w:ind w:left="0" w:right="0" w:firstLine="720"/>
        <w:jc w:val="left"/>
        <w:rPr>
          <w:caps w:val="false"/>
          <w:smallCaps w:val="false"/>
        </w:rPr>
      </w:pPr>
      <w:r>
        <w:rPr>
          <w:caps w:val="false"/>
          <w:smallCaps w:val="false"/>
        </w:rPr>
        <w:t> </w:t>
      </w:r>
    </w:p>
    <w:tbl>
      <w:tblPr>
        <w:tblW w:w="8105" w:type="dxa"/>
        <w:jc w:val="left"/>
        <w:tblInd w:w="0" w:type="dxa"/>
        <w:tblLayout w:type="fixed"/>
        <w:tblCellMar>
          <w:top w:w="0" w:type="dxa"/>
          <w:left w:w="0" w:type="dxa"/>
          <w:bottom w:w="28" w:type="dxa"/>
          <w:right w:w="0" w:type="dxa"/>
        </w:tblCellMar>
      </w:tblPr>
      <w:tblGrid>
        <w:gridCol w:w="1580"/>
        <w:gridCol w:w="60"/>
        <w:gridCol w:w="2210"/>
        <w:gridCol w:w="60"/>
        <w:gridCol w:w="2165"/>
        <w:gridCol w:w="60"/>
        <w:gridCol w:w="197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Aldrich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Kurt Busch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Carpou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and Financial Expert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Frederick Goerner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functions of the audit committee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our corporate accounting and financial reporting processes;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compliance with our code of business conduct and ethics;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determining, or making recommendations to the Board regarding, the compensation of our chief executive officer, other executive officers and senior management;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the Board succession plans for our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paid to our non-employee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consists of David Aldrich and William Carpou, with David Aldrich serving as chair. The Board determined that David Aldrich and William Carpou each meet the definition of “independent director”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the Board and the orientation of new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contributing to succession planning.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executive officers currently serve, or in the past year have served, as members of the Board or compensation committee of any entity that has one or more executive officers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7" w:name="sq_003"/>
      <w:bookmarkEnd w:id="37"/>
      <w:r>
        <w:rPr>
          <w:rFonts w:ascii="Times New Roman;Times;Serif" w:hAnsi="Times New Roman;Times;Serif"/>
          <w:b/>
          <w:i w:val="false"/>
          <w: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$85.00.</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Fabrizio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vested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66"/>
        <w:gridCol w:w="1054"/>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120"/>
        <w:gridCol w:w="280"/>
        <w:gridCol w:w="120"/>
        <w:gridCol w:w="120"/>
        <w:gridCol w:w="120"/>
        <w:gridCol w:w="280"/>
        <w:gridCol w:w="60"/>
        <w:gridCol w:w="60"/>
        <w:gridCol w:w="97"/>
        <w:gridCol w:w="227"/>
        <w:gridCol w:w="97"/>
        <w:gridCol w:w="97"/>
        <w:gridCol w:w="97"/>
        <w:gridCol w:w="230"/>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0" w:type="dxa"/>
            <w:gridSpan w:val="18"/>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Underlying Unexercised Options Unexercisable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c>
          <w:tcPr>
            <w:tcW w:w="9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units on July 15,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left"/>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8" w:name="sq_004"/>
      <w:bookmarkEnd w:id="38"/>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16,847,921 shares of Class A Common Stock outstanding and no shares of Class B Common Stock outstanding. As of the date of this prospectus, there were 1,000 shares of Series A Preferred Stock outstanding. All of the shares of Class B Common Stock were converted into Class A Common Stock in August 2026, and no additional shares of Class B Common Stock can be issued under our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vote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a dividend or distribution of an equal number of shares of Class A Common Stock or rights to acquire shares of Class A Common Stock shall be declared and paid or set apart for payment to the holders of Class A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will not be entitled to preemptive rights, and Class A Common Stock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Only the directors in one class are elected at each annual meeting of Mobix Labs’ stockholders, with the directors in the other classes continuing for the remainder of their respective three-year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 nominees for election exceeds the number of open seats, and (b) not withdrawn such nomination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preceding the date on which Mobix Labs first gives notice to stockholders of such meeting of stockholders for the election of directors, a plurality of the votes cast will be sufficient to 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2,000 shares of Series A Preferred Stock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10%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2,000 Preferred Shares for aggregate gross proceeds of $2.4 million, and (ii) the May 2026 Preferred Warrant to purchase up to an additional 6,000 Preferred Shares at an exercise price of $1,000 per share.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The COD provides that 20,000 shares have been designated as Preferred Shares, subject to increase as set forth in the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 Preferred Stock has a stated value of $1,200 per share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our option, in cash or in additional shares of Series A Preferred Stock (the “Dividend Shares”) at the rate of one share of Series A Preferred Stock per $1,000 of the dividend amount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we issue or sell any shares of Class A Common Stock or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business days after the original issue date of the Series A Preferred Stock, we may, subject to the satisfaction of certain “equity conditions” specified in the COD, redeem some or all of the then-outstanding Preferred Shares for cash at a redemption price equal to 110% of the aggregate Stated Value, plus accrued but unpaid dividends and other amounts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COD specifies certain “Triggering Events,” including, among other things, (i) failure to maintain an effective registration statement covering the 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6,000,000 Public Warrants and 3,000,000 Private Warrants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closing of the Merger, holders of the Public Warrants will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Public Warrants in whole and not in part;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Public Warrants become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as well as the $57.90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price, the “Market Value”) was below $92.00 per share, the exercise price of the Public Warrants will be adjusted (to the nearest cent) to be equal to 115% of the higher of the Market Value and the Newly Issued Price, the $180.00 per share redemption trigger described under “— </w:t>
      </w:r>
      <w:r>
        <w:rPr>
          <w:rFonts w:ascii="Times New Roman;Times;Serif" w:hAnsi="Times New Roman;Times;Serif"/>
          <w:b w:val="false"/>
          <w:i/>
          <w:caps w:val="false"/>
          <w:smallCaps w:val="false"/>
          <w:sz w:val="20"/>
        </w:rPr>
        <w:t>Redemption of Warrants for Cash</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Warrants</w:t>
      </w:r>
    </w:p>
    <w:p>
      <w:pPr>
        <w:pStyle w:val="TextBody"/>
        <w:bidi w:val="0"/>
        <w:spacing w:before="0" w:after="0"/>
        <w:jc w:val="center"/>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and Series B Warrants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the holder. Pursuant to the Inducement Letter, the holder of the Common Warrants agreed to exercise for cash the Common Warrants to purchase 251,656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 Purchase Warrants</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the Preferred Shares for aggregate gross proceeds of $2,400, and (ii) the May 2026 Preferred Warrant to purchase up to an additional 6,000 shares of Series A Preferred Stock at an exercise price of $1,000 per share. The May 2026 Preferred Warrant is exercisable beginning May 19, 2026 and expires no later than twelve months thereafter. On August 28, 2026, we entered into an amendment to the May 2026 Purchase Agreement, pursuant to which we agreed to sell to Kips (i) 1,000 additional shares of Series A Preferred Stock and (ii) the August 2026 Preferred Warrant to purchase 6,000 additional shares of Series A Preferred Stock.</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of the Preferred Warrants are subject to adjustment in the event of stock splits, stock dividends, reorganizations, or similar events. The Preferred Warrants are subject to customary limitations on beneficial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Common Stock is currently listed on The Nasdaq Capital Market, under the symbol “MOBX” and the Public Warrants are currently listed on The Nasdaq Capital Market under the symbol “MOBXW”.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warrant agent for the Warrants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Charter,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Times;Serif" w:hAnsi="Times New Roman;Times;Serif"/>
          <w:b w:val="false"/>
          <w:i/>
          <w:caps w:val="false"/>
          <w:smallCaps w:val="false"/>
          <w:sz w:val="20"/>
        </w:rPr>
        <w:t>Risk 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As a result, approximately one-third of the Board will be elected each year. The classification of directors will have the effect of making it more difficult and time-consuming for stockholders to change the composition of the Board.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provides that, except as otherwise provided by or pursuant to the Charter, Mobix Labs’ stockholders may not take action by written consent, but may only take action at annual or special meetings of stockholders.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and not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if later,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Requirements for the Amendment of the Charter and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Mobix Labs’ capital stock will be deemed to have notice of and consented to the forum selection provisions in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an interested stockholder, the board of directors of the corporation approved either the business combination or the transaction which resulted in the stockholder becoming an interested stockholder;</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9" w:name="sq_005"/>
      <w:bookmarkEnd w:id="39"/>
      <w:r>
        <w:rPr>
          <w:rFonts w:ascii="Times New Roman;Times;Serif" w:hAnsi="Times New Roman;Times;Serif"/>
          <w:b/>
          <w:i w:val="false"/>
          <w:caps/>
          <w:sz w:val="20"/>
        </w:rPr>
        <w:t>SECURITIES ACT RESTRICTIONS ON RESALE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then outstanding shares of Class A Common Stock or Public Warrants;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Class A Common Stock or Public Warrants of Mobix Labs, as applicable, during the four calendar weeks preceding the date on which notice of the sale is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Mobix Labs under Rule 144 are also subject to certain requirements relating to manner of sale, notice and the availability of current public information about Mobix Labs.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which was filed on December 28, 2023, reflecting its status as an entity that is not a shell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we are no longer a shell company; accordingly, once the conditions listed above are satisfied, Rule 144 will become available for the resale of the above-noted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0" w:name="sq_006"/>
      <w:bookmarkEnd w:id="40"/>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by:</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issued and outstanding shares of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beneficially owned by a person and the percentage ownership, we deemed outstanding shares of Class A Common Stock subject to options and warrants held by that person that are currently exercisable or exercisable within 60 days of the date of August 24,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is based on 16,847,921 shares of Class A Common Stock outstanding as of August 24, 2026. Share amounts in the table reflect the conversion of all 200,491 outstanding shares of Class B Common Stock into Class A Common Stock.</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97"/>
        <w:gridCol w:w="60"/>
        <w:gridCol w:w="253"/>
        <w:gridCol w:w="4144"/>
        <w:gridCol w:w="60"/>
        <w:gridCol w:w="60"/>
        <w:gridCol w:w="60"/>
        <w:gridCol w:w="440"/>
        <w:gridCol w:w="231"/>
      </w:tblGrid>
      <w:tr>
        <w:trPr/>
        <w:tc>
          <w:tcPr>
            <w:tcW w:w="4897"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4397" w:type="dxa"/>
            <w:gridSpan w:val="2"/>
            <w:tcBorders>
              <w:bottom w:val="single" w:sz="8" w:space="0" w:color="000000"/>
            </w:tcBorders>
            <w:vAlign w:val="center"/>
          </w:tcPr>
          <w:p>
            <w:pPr>
              <w:pStyle w:val="TableContents"/>
              <w:bidi w:val="0"/>
              <w:spacing w:before="0" w:after="283"/>
              <w:jc w:val="center"/>
              <w:rPr>
                <w:b/>
              </w:rPr>
            </w:pPr>
            <w:r>
              <w:rPr>
                <w:b/>
              </w:rPr>
              <w:t>Number of Shares of Mobix Labs Class A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31" w:type="dxa"/>
            <w:tcBorders/>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Fabrizio Battaglia</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207,500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231,723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499,390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81,694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89,962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82,623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222,797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138,592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66,039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1,632,836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9.7</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10.2</w:t>
            </w:r>
          </w:p>
        </w:tc>
        <w:tc>
          <w:tcPr>
            <w:tcW w:w="231"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195,000 shares of unvested stock awards and (ii) 12,500 shares of Class A Common Stock held of record by The Battaglia Trust. Fabrizio Battaglia is Trustee of The Battaglia Trust and may be deemed to have voting and investment power over securities held thereby.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63,750 shares of unvested stock awards, (ii) 29,614 shares of Class A Common Stock held of record by The KSSF Trust, dated November 27, 2012 (the “KSSF Trust”), (iii) 7,353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32,352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1" w:name="sq_007"/>
      <w:bookmarkEnd w:id="41"/>
      <w:r>
        <w:rPr>
          <w:rFonts w:ascii="Times New Roman;Times;Serif" w:hAnsi="Times New Roman;Times;Serif"/>
          <w:b/>
          <w:i w:val="false"/>
          <w:caps/>
          <w:sz w:val="20"/>
        </w:rPr>
        <w:t>SELLING STOCKHOLDER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 of up to 5,000,000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offer and sell any or all of the shares of Class A Common Stock set forth below pursuant to this prospectus and any accompanying prospectus supplement. We cannot advise you as to whether the Selling Stockholder will in fact sell any or all of such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Stockholder”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Stockholder, the number of shares of Class A Common Stock that the Selling Stockholder may offer pursuant to this prospectus, and the number of shares of Class A Common Stock owned by the Selling Stockholder before the offering (as of August 24, 2026) and after the offering, assuming that the Selling Stockholder will sell all of their Offered Securities and will make no other purchases or sales of Class A Common Stock. Information below regarding the Selling Stockholder is based on information provided to us by the Selling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the 16,847,921 shares of Class A Common Stock issued and outstanding as of August 24, 2026 and is determined in accordance with the rules of the SEC, which, among other things, assumes the exercise of convertible securities, warrants and options by a securityholder for shares of Class A Common Stock by such securityholder only.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5"/>
        <w:gridCol w:w="60"/>
        <w:gridCol w:w="205"/>
        <w:gridCol w:w="2134"/>
        <w:gridCol w:w="207"/>
        <w:gridCol w:w="60"/>
        <w:gridCol w:w="193"/>
        <w:gridCol w:w="2390"/>
        <w:gridCol w:w="60"/>
        <w:gridCol w:w="60"/>
        <w:gridCol w:w="746"/>
        <w:gridCol w:w="500"/>
        <w:gridCol w:w="373"/>
        <w:gridCol w:w="373"/>
        <w:gridCol w:w="684"/>
        <w:gridCol w:w="504"/>
        <w:gridCol w:w="81"/>
      </w:tblGrid>
      <w:tr>
        <w:trPr/>
        <w:tc>
          <w:tcPr>
            <w:tcW w:w="1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Prior to Offering</w:t>
            </w:r>
          </w:p>
        </w:tc>
        <w:tc>
          <w:tcPr>
            <w:tcW w:w="60" w:type="dxa"/>
            <w:tcBorders/>
            <w:vAlign w:val="center"/>
          </w:tcPr>
          <w:p>
            <w:pPr>
              <w:pStyle w:val="TableContents"/>
              <w:bidi w:val="0"/>
              <w:spacing w:before="0" w:after="283"/>
              <w:jc w:val="left"/>
              <w:rPr/>
            </w:pPr>
            <w:r>
              <w:rPr/>
              <w:t> </w:t>
            </w:r>
          </w:p>
        </w:tc>
        <w:tc>
          <w:tcPr>
            <w:tcW w:w="2583" w:type="dxa"/>
            <w:gridSpan w:val="2"/>
            <w:tcBorders/>
            <w:vAlign w:val="center"/>
          </w:tcPr>
          <w:p>
            <w:pPr>
              <w:pStyle w:val="TableContents"/>
              <w:bidi w:val="0"/>
              <w:spacing w:before="0" w:after="283"/>
              <w:jc w:val="center"/>
              <w:rPr>
                <w:b/>
              </w:rPr>
            </w:pPr>
            <w:r>
              <w:rPr>
                <w:b/>
              </w:rPr>
              <w:t xml:space="preserve">Maximum Number of Shares of Class A Common Stock to be Offered Pursuant to this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After Offering</w:t>
            </w:r>
          </w:p>
        </w:tc>
        <w:tc>
          <w:tcPr>
            <w:tcW w:w="81" w:type="dxa"/>
            <w:tcBorders/>
            <w:vAlign w:val="center"/>
          </w:tcPr>
          <w:p>
            <w:pPr>
              <w:pStyle w:val="TableContents"/>
              <w:bidi w:val="0"/>
              <w:spacing w:before="0" w:after="283"/>
              <w:jc w:val="left"/>
              <w:rPr/>
            </w:pPr>
            <w:r>
              <w:rPr/>
              <w:t> </w:t>
            </w:r>
          </w:p>
        </w:tc>
      </w:tr>
      <w:tr>
        <w:trPr/>
        <w:tc>
          <w:tcPr>
            <w:tcW w:w="1575" w:type="dxa"/>
            <w:tcBorders>
              <w:bottom w:val="single" w:sz="8"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2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373"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81" w:type="dxa"/>
            <w:tcBorders/>
            <w:vAlign w:val="center"/>
          </w:tcPr>
          <w:p>
            <w:pPr>
              <w:pStyle w:val="TableContents"/>
              <w:bidi w:val="0"/>
              <w:spacing w:before="0" w:after="283"/>
              <w:jc w:val="left"/>
              <w:rPr/>
            </w:pPr>
            <w:r>
              <w:rPr/>
              <w:t> </w:t>
            </w:r>
          </w:p>
        </w:tc>
      </w:tr>
      <w:tr>
        <w:trPr/>
        <w:tc>
          <w:tcPr>
            <w:tcW w:w="1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Kips Bay Select, LP</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13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of our Class A Common Stock being offered for resale pursuant to this prospectus.</w:t>
            </w:r>
          </w:p>
        </w:tc>
      </w:tr>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of Class A Common Stock offered pursuant to this prospectus consist of a good faith estimate of the shares of Class A Common Stock issuable upon conversion of the (i) the 1,000 shares of Series A Preferred Stock issued on August 28, 2026 and (ii) the 6,000 shares of Series A Preferred Stock issuable upon exercise of the August 2026 Preferred Warrant. Pursuant to the terms of the Series A Preferred Stock, the shares are subject to a beneficial ownership limitation of 4.99% (or upon election of Kips, by providing a 61-day written notice to Mobix Labs, 9.99%), which such limitation restricts the stockholder from converting that portion of the Series A Preferred Stock that would result in the stockholder and its affiliates owning, after conversion, a number of shares of Class A Common Stock in excess of the beneficial ownership limitation. The issuance of the Offered Securities upon conversion of the Series A Preferred Stock is subject to stockholder approval. As a result, as of the date of this prospectus Kips does not beneficially own the shares of Class A Common Stock issuable upon conversion of the Series A Preferred Stock. John Miller holds voting and dispositive power over the Preferred Shares held by Kips.</w:t>
            </w:r>
          </w:p>
        </w:tc>
      </w:tr>
    </w:tbl>
    <w:p>
      <w:pPr>
        <w:pStyle w:val="TextBody"/>
        <w:bidi w:val="0"/>
        <w:spacing w:before="0" w:after="0"/>
        <w:ind w:left="480" w:right="0" w:hanging="4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2" w:name="sq_008"/>
      <w:bookmarkEnd w:id="42"/>
      <w:r>
        <w:rPr>
          <w:rFonts w:ascii="Times New Roman;Times;Serif" w:hAnsi="Times New Roman;Times;Serif"/>
          <w:b/>
          <w:i w:val="false"/>
          <w:caps/>
          <w:sz w:val="20"/>
        </w:rPr>
        <w:t>CERTAIN RELATIONSHIPS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the Company’s executive officers or one of the Company’s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the Company to be the beneficial owner of more than 5% of the Company’s voting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2024, a subsidiary of Mobix borrowed $200,000 from an unrelated finance company, which loan is guaranteed by Keyvan Samini, the President, Chief Financial Officer and a director of Mobix Labs. The loan matured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Philip Sansone, our Chief Executive Officer and director, and Keyvan Samini, the President, Chief Financial Officer and a director, both personally guaranteed the Maxim loan to us with a principal amount of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Pre-Merger Related Party Transactions of Chavant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3" w:name="sq_009"/>
      <w:bookmarkEnd w:id="43"/>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members, partners, stockholders or other equity holders of the Selling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 of common stock in other circumstances, in which case the transferees, pledgees or other successors in interest will be the Selling Stockholder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 from the sale of the common stock offered by them will be the purchase price of the common stock less discounts or commissions, if any. The Selling Stockholder reserve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underwriters, broker-dealers or agents that participate in the sale of the common stock or interests therein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may be underwriting discounts and commissions under the Securities Act. The Selling Stockholder may be deemed an “underwriter” within the meaning of Section 2(a)(11) of the Securities Act and, if so deemed,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 anti-manipulation rules of Regulation M under the Exchange Act may apply to sales of shares in the market and to the activities of the Selling Stockholder and their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We have agreed to indemnify the Selling Stockholder against liabilities, including liabilities under the Securities Act and state securities laws, relating to the registration of the shares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 to use commercially reasonable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44" w:name="sq_010"/>
      <w:bookmarkEnd w:id="44"/>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has passed upon the validity of the Class A Common Stock offered by this prospectus and certain other legal matters related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5" w:name="sq_011"/>
      <w:bookmarkEnd w:id="45"/>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46" w:name="sq_012"/>
      <w:bookmarkEnd w:id="46"/>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https://www.investors.mobixlabs.com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hanging="0"/>
        <w:jc w:val="center"/>
        <w:rPr>
          <w:rFonts w:ascii="Times New Roman;Times;Serif" w:hAnsi="Times New Roman;Times;Serif"/>
          <w:b/>
          <w:i w:val="false"/>
          <w:caps w:val="false"/>
          <w:smallCaps w:val="false"/>
          <w:sz w:val="20"/>
        </w:rPr>
      </w:pPr>
      <w:bookmarkStart w:id="47" w:name="f_1"/>
      <w:bookmarkEnd w:id="47"/>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CONSOLIDATED INTERIM UNAUDITED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June 30, 2026 and September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nine months ended June 30,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Stockholders’ Equity (Deficit) for the three months and nine months ended June 30,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nine months ended June 30,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 PCAOB ID: 238</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tc>
      </w:tr>
      <w:tr>
        <w:trPr/>
        <w:tc>
          <w:tcPr>
            <w:tcW w:w="975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Consolidated Balance Sheets as of September 30, 2025 and 2024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tc>
      </w:tr>
      <w:tr>
        <w:trPr/>
        <w:tc>
          <w:tcPr>
            <w:tcW w:w="9750" w:type="dxa"/>
            <w:tcBorders/>
            <w:shd w:fill="FFFF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Consolidated Statements of Operations and Comprehensive Loss for the years ended September 30, 2025 and 2024</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tc>
      </w:tr>
      <w:tr>
        <w:trPr/>
        <w:tc>
          <w:tcPr>
            <w:tcW w:w="975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Consolidated Statements of Redeemable Convertible Preferred Stock and Stockholders’ Equity (Deficit) for the years ended September 30, 2025 and 2024</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F-27</w:t>
            </w:r>
          </w:p>
        </w:tc>
      </w:tr>
      <w:tr>
        <w:trPr/>
        <w:tc>
          <w:tcPr>
            <w:tcW w:w="9750"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Consolidated Statements of Cash Flows for the years ended September 30, 2025 and 2024</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F-28</w:t>
            </w:r>
          </w:p>
        </w:tc>
      </w:tr>
      <w:tr>
        <w:trPr/>
        <w:tc>
          <w:tcPr>
            <w:tcW w:w="975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F-29</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48" w:name="F_001"/>
      <w:bookmarkEnd w:id="48"/>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9" w:name="xdx_301_111_pn3n3_zIaMoUlvCrU8"/>
      <w:bookmarkStart w:id="50" w:name="xdx_301_111_pn3n3_zIaMoUlvCrU8"/>
      <w:bookmarkEnd w:id="50"/>
    </w:p>
    <w:tbl>
      <w:tblPr>
        <w:tblW w:w="10205" w:type="dxa"/>
        <w:jc w:val="left"/>
        <w:tblInd w:w="0" w:type="dxa"/>
        <w:tblLayout w:type="fixed"/>
        <w:tblCellMar>
          <w:top w:w="0" w:type="dxa"/>
          <w:left w:w="0" w:type="dxa"/>
          <w:bottom w:w="0" w:type="dxa"/>
          <w:right w:w="0" w:type="dxa"/>
        </w:tblCellMar>
      </w:tblPr>
      <w:tblGrid>
        <w:gridCol w:w="7399"/>
        <w:gridCol w:w="60"/>
        <w:gridCol w:w="154"/>
        <w:gridCol w:w="967"/>
        <w:gridCol w:w="95"/>
        <w:gridCol w:w="60"/>
        <w:gridCol w:w="186"/>
        <w:gridCol w:w="1171"/>
        <w:gridCol w:w="113"/>
      </w:tblGrid>
      <w:tr>
        <w:trPr/>
        <w:tc>
          <w:tcPr>
            <w:tcW w:w="7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 w:name="xdx_49B_20260630_z2yzq2jgCJm"/>
            <w:bookmarkEnd w:id="51"/>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 w:name="xdx_49F_20250930_zxJ94lsgmV3"/>
            <w:bookmarkEnd w:id="52"/>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bookmarkStart w:id="53" w:name="xdx_40C_eus-gaap--AssetsAbstract_iB_zHAt"/>
            <w:bookmarkEnd w:id="53"/>
          </w:p>
        </w:tc>
      </w:tr>
      <w:tr>
        <w:trPr/>
        <w:tc>
          <w:tcPr>
            <w:tcW w:w="739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4" w:name="xdx_40A_eus-gaap--AssetsCurrentAbstract_"/>
            <w:bookmarkEnd w:id="54"/>
          </w:p>
        </w:tc>
      </w:tr>
      <w:tr>
        <w:trPr/>
        <w:tc>
          <w:tcPr>
            <w:tcW w:w="739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5" w:name="xdx_40C_eus-gaap--Cash_i02I_maCzcIO_zAA1"/>
            <w:bookmarkEnd w:id="55"/>
          </w:p>
        </w:tc>
      </w:tr>
      <w:tr>
        <w:trPr/>
        <w:tc>
          <w:tcPr>
            <w:tcW w:w="739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3,273</w:t>
            </w:r>
          </w:p>
        </w:tc>
        <w:tc>
          <w:tcPr>
            <w:tcW w:w="113" w:type="dxa"/>
            <w:tcBorders/>
            <w:shd w:fill="CCEEFF" w:val="clear"/>
            <w:vAlign w:val="center"/>
          </w:tcPr>
          <w:p>
            <w:pPr>
              <w:pStyle w:val="TableContents"/>
              <w:bidi w:val="0"/>
              <w:spacing w:before="0" w:after="283"/>
              <w:jc w:val="left"/>
              <w:rPr/>
            </w:pPr>
            <w:r>
              <w:rPr/>
              <w:t> </w:t>
            </w:r>
            <w:bookmarkStart w:id="56" w:name="xdx_404_eus-gaap--AccountsReceivableNetC"/>
            <w:bookmarkEnd w:id="56"/>
          </w:p>
        </w:tc>
      </w:tr>
      <w:tr>
        <w:trPr/>
        <w:tc>
          <w:tcPr>
            <w:tcW w:w="739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1,414</w:t>
            </w:r>
          </w:p>
        </w:tc>
        <w:tc>
          <w:tcPr>
            <w:tcW w:w="113" w:type="dxa"/>
            <w:tcBorders/>
            <w:shd w:fill="FFFFFF" w:val="clear"/>
            <w:vAlign w:val="center"/>
          </w:tcPr>
          <w:p>
            <w:pPr>
              <w:pStyle w:val="TableContents"/>
              <w:bidi w:val="0"/>
              <w:spacing w:before="0" w:after="283"/>
              <w:jc w:val="left"/>
              <w:rPr/>
            </w:pPr>
            <w:r>
              <w:rPr/>
              <w:t> </w:t>
            </w:r>
            <w:bookmarkStart w:id="57" w:name="xdx_402_eus-gaap--InventoryNet_i02I_maCz"/>
            <w:bookmarkEnd w:id="57"/>
          </w:p>
        </w:tc>
      </w:tr>
      <w:tr>
        <w:trPr/>
        <w:tc>
          <w:tcPr>
            <w:tcW w:w="739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1,435</w:t>
            </w:r>
          </w:p>
        </w:tc>
        <w:tc>
          <w:tcPr>
            <w:tcW w:w="113" w:type="dxa"/>
            <w:tcBorders/>
            <w:shd w:fill="CCEEFF" w:val="clear"/>
            <w:vAlign w:val="center"/>
          </w:tcPr>
          <w:p>
            <w:pPr>
              <w:pStyle w:val="TableContents"/>
              <w:bidi w:val="0"/>
              <w:spacing w:before="0" w:after="283"/>
              <w:jc w:val="left"/>
              <w:rPr/>
            </w:pPr>
            <w:r>
              <w:rPr/>
              <w:t> </w:t>
            </w:r>
            <w:bookmarkStart w:id="58" w:name="xdx_401_eus-gaap--PrepaidExpenseAndOther"/>
            <w:bookmarkEnd w:id="58"/>
          </w:p>
        </w:tc>
      </w:tr>
      <w:tr>
        <w:trPr/>
        <w:tc>
          <w:tcPr>
            <w:tcW w:w="739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3" w:type="dxa"/>
            <w:tcBorders/>
            <w:shd w:fill="FFFFFF" w:val="clear"/>
            <w:vAlign w:val="center"/>
          </w:tcPr>
          <w:p>
            <w:pPr>
              <w:pStyle w:val="TableContents"/>
              <w:bidi w:val="0"/>
              <w:spacing w:before="0" w:after="283"/>
              <w:jc w:val="left"/>
              <w:rPr/>
            </w:pPr>
            <w:r>
              <w:rPr/>
              <w:t> </w:t>
            </w:r>
            <w:bookmarkStart w:id="59" w:name="xdx_40C_eus-gaap--AssetsCurrent_i02TI_mt"/>
            <w:bookmarkEnd w:id="59"/>
          </w:p>
        </w:tc>
      </w:tr>
      <w:tr>
        <w:trPr/>
        <w:tc>
          <w:tcPr>
            <w:tcW w:w="739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0" w:name="xdx_408_eus-gaap--PropertyPlantAndEquipm"/>
            <w:bookmarkEnd w:id="60"/>
          </w:p>
        </w:tc>
      </w:tr>
      <w:tr>
        <w:trPr/>
        <w:tc>
          <w:tcPr>
            <w:tcW w:w="739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w:t>
            </w:r>
          </w:p>
        </w:tc>
        <w:tc>
          <w:tcPr>
            <w:tcW w:w="113" w:type="dxa"/>
            <w:tcBorders/>
            <w:shd w:fill="CCEEFF" w:val="clear"/>
            <w:vAlign w:val="center"/>
          </w:tcPr>
          <w:p>
            <w:pPr>
              <w:pStyle w:val="TableContents"/>
              <w:bidi w:val="0"/>
              <w:spacing w:before="0" w:after="283"/>
              <w:jc w:val="left"/>
              <w:rPr/>
            </w:pPr>
            <w:r>
              <w:rPr/>
              <w:t> </w:t>
            </w:r>
            <w:bookmarkStart w:id="61" w:name="xdx_40F_eus-gaap--IntangibleAssetsNetExc"/>
            <w:bookmarkEnd w:id="61"/>
          </w:p>
        </w:tc>
      </w:tr>
      <w:tr>
        <w:trPr/>
        <w:tc>
          <w:tcPr>
            <w:tcW w:w="739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13,519</w:t>
            </w:r>
          </w:p>
        </w:tc>
        <w:tc>
          <w:tcPr>
            <w:tcW w:w="113" w:type="dxa"/>
            <w:tcBorders/>
            <w:shd w:fill="FFFFFF" w:val="clear"/>
            <w:vAlign w:val="center"/>
          </w:tcPr>
          <w:p>
            <w:pPr>
              <w:pStyle w:val="TableContents"/>
              <w:bidi w:val="0"/>
              <w:spacing w:before="0" w:after="283"/>
              <w:jc w:val="left"/>
              <w:rPr/>
            </w:pPr>
            <w:r>
              <w:rPr/>
              <w:t> </w:t>
            </w:r>
            <w:bookmarkStart w:id="62" w:name="xdx_403_eus-gaap--Goodwill_i01I_maCzfdq_"/>
            <w:bookmarkEnd w:id="62"/>
          </w:p>
        </w:tc>
      </w:tr>
      <w:tr>
        <w:trPr/>
        <w:tc>
          <w:tcPr>
            <w:tcW w:w="739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16,066</w:t>
            </w:r>
          </w:p>
        </w:tc>
        <w:tc>
          <w:tcPr>
            <w:tcW w:w="113" w:type="dxa"/>
            <w:tcBorders/>
            <w:shd w:fill="CCEEFF" w:val="clear"/>
            <w:vAlign w:val="center"/>
          </w:tcPr>
          <w:p>
            <w:pPr>
              <w:pStyle w:val="TableContents"/>
              <w:bidi w:val="0"/>
              <w:spacing w:before="0" w:after="283"/>
              <w:jc w:val="left"/>
              <w:rPr/>
            </w:pPr>
            <w:r>
              <w:rPr/>
              <w:t> </w:t>
            </w:r>
            <w:bookmarkStart w:id="63" w:name="xdx_406_eus-gaap--OperatingLeaseRightOfU"/>
            <w:bookmarkEnd w:id="63"/>
          </w:p>
        </w:tc>
      </w:tr>
      <w:tr>
        <w:trPr/>
        <w:tc>
          <w:tcPr>
            <w:tcW w:w="739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bookmarkStart w:id="64" w:name="xdx_400_eus-gaap--OtherAssetsNoncurrent_"/>
            <w:bookmarkEnd w:id="64"/>
          </w:p>
        </w:tc>
      </w:tr>
      <w:tr>
        <w:trPr/>
        <w:tc>
          <w:tcPr>
            <w:tcW w:w="739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bookmarkStart w:id="65" w:name="xdx_40A_eus-gaap--Assets_i01TI_mtCzfdq_z"/>
            <w:bookmarkEnd w:id="65"/>
          </w:p>
        </w:tc>
      </w:tr>
      <w:tr>
        <w:trPr/>
        <w:tc>
          <w:tcPr>
            <w:tcW w:w="739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34,934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6" w:name="xdx_404_eus-gaap--LiabilitiesAndStockhol"/>
            <w:bookmarkEnd w:id="66"/>
          </w:p>
        </w:tc>
      </w:tr>
      <w:tr>
        <w:trPr/>
        <w:tc>
          <w:tcPr>
            <w:tcW w:w="7399"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7" w:name="xdx_400_eus-gaap--LiabilitiesCurrentAbst"/>
            <w:bookmarkEnd w:id="67"/>
          </w:p>
        </w:tc>
      </w:tr>
      <w:tr>
        <w:trPr/>
        <w:tc>
          <w:tcPr>
            <w:tcW w:w="739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8" w:name="xdx_402_eus-gaap--AccountsPayableCurrent"/>
            <w:bookmarkEnd w:id="68"/>
          </w:p>
        </w:tc>
      </w:tr>
      <w:tr>
        <w:trPr/>
        <w:tc>
          <w:tcPr>
            <w:tcW w:w="739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7" w:type="dxa"/>
            <w:tcBorders/>
            <w:shd w:fill="FFFFFF" w:val="clear"/>
            <w:vAlign w:val="center"/>
          </w:tcPr>
          <w:p>
            <w:pPr>
              <w:pStyle w:val="TableContents"/>
              <w:bidi w:val="0"/>
              <w:spacing w:before="0" w:after="283"/>
              <w:jc w:val="right"/>
              <w:rPr/>
            </w:pPr>
            <w:r>
              <w:rPr/>
              <w:t>5,032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8,981</w:t>
            </w:r>
          </w:p>
        </w:tc>
        <w:tc>
          <w:tcPr>
            <w:tcW w:w="113" w:type="dxa"/>
            <w:tcBorders/>
            <w:shd w:fill="FFFFFF" w:val="clear"/>
            <w:vAlign w:val="center"/>
          </w:tcPr>
          <w:p>
            <w:pPr>
              <w:pStyle w:val="TableContents"/>
              <w:bidi w:val="0"/>
              <w:spacing w:before="0" w:after="283"/>
              <w:jc w:val="left"/>
              <w:rPr/>
            </w:pPr>
            <w:r>
              <w:rPr/>
              <w:t> </w:t>
            </w:r>
            <w:bookmarkStart w:id="69" w:name="xdx_40A_eus-gaap--AccruedLiabilitiesCurr"/>
            <w:bookmarkEnd w:id="69"/>
          </w:p>
        </w:tc>
      </w:tr>
      <w:tr>
        <w:trPr/>
        <w:tc>
          <w:tcPr>
            <w:tcW w:w="7399"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11,122</w:t>
            </w:r>
          </w:p>
        </w:tc>
        <w:tc>
          <w:tcPr>
            <w:tcW w:w="113" w:type="dxa"/>
            <w:tcBorders/>
            <w:shd w:fill="CCEEFF" w:val="clear"/>
            <w:vAlign w:val="center"/>
          </w:tcPr>
          <w:p>
            <w:pPr>
              <w:pStyle w:val="TableContents"/>
              <w:bidi w:val="0"/>
              <w:spacing w:before="0" w:after="283"/>
              <w:jc w:val="left"/>
              <w:rPr/>
            </w:pPr>
            <w:r>
              <w:rPr/>
              <w:t> </w:t>
            </w:r>
            <w:bookmarkStart w:id="70" w:name="xdx_40C_ecustom--DeferredPurchaseConside"/>
            <w:bookmarkEnd w:id="70"/>
          </w:p>
        </w:tc>
      </w:tr>
      <w:tr>
        <w:trPr/>
        <w:tc>
          <w:tcPr>
            <w:tcW w:w="7399"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2,323</w:t>
            </w:r>
          </w:p>
        </w:tc>
        <w:tc>
          <w:tcPr>
            <w:tcW w:w="113" w:type="dxa"/>
            <w:tcBorders/>
            <w:shd w:fill="FFFFFF" w:val="clear"/>
            <w:vAlign w:val="center"/>
          </w:tcPr>
          <w:p>
            <w:pPr>
              <w:pStyle w:val="TableContents"/>
              <w:bidi w:val="0"/>
              <w:spacing w:before="0" w:after="283"/>
              <w:jc w:val="left"/>
              <w:rPr/>
            </w:pPr>
            <w:r>
              <w:rPr/>
              <w:t> </w:t>
            </w:r>
            <w:bookmarkStart w:id="71" w:name="xdx_403_eus-gaap--NotesPayableCurrent_i0"/>
            <w:bookmarkEnd w:id="71"/>
          </w:p>
        </w:tc>
      </w:tr>
      <w:tr>
        <w:trPr/>
        <w:tc>
          <w:tcPr>
            <w:tcW w:w="7399"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3,934</w:t>
            </w:r>
          </w:p>
        </w:tc>
        <w:tc>
          <w:tcPr>
            <w:tcW w:w="113" w:type="dxa"/>
            <w:tcBorders/>
            <w:shd w:fill="CCEEFF" w:val="clear"/>
            <w:vAlign w:val="center"/>
          </w:tcPr>
          <w:p>
            <w:pPr>
              <w:pStyle w:val="TableContents"/>
              <w:bidi w:val="0"/>
              <w:spacing w:before="0" w:after="283"/>
              <w:jc w:val="left"/>
              <w:rPr/>
            </w:pPr>
            <w:r>
              <w:rPr/>
              <w:t> </w:t>
            </w:r>
            <w:bookmarkStart w:id="72" w:name="xdx_405_eus-gaap--NotesPayableCurrent_i0"/>
            <w:bookmarkEnd w:id="72"/>
          </w:p>
        </w:tc>
      </w:tr>
      <w:tr>
        <w:trPr/>
        <w:tc>
          <w:tcPr>
            <w:tcW w:w="7399"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bookmarkStart w:id="73" w:name="xdx_406_eus-gaap--NotesPayableCurrent_i0"/>
            <w:bookmarkEnd w:id="73"/>
          </w:p>
        </w:tc>
      </w:tr>
      <w:tr>
        <w:trPr/>
        <w:tc>
          <w:tcPr>
            <w:tcW w:w="7399"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bookmarkStart w:id="74" w:name="xdx_402_ecustom--NotesPayableMeasuredAtF"/>
            <w:bookmarkEnd w:id="74"/>
          </w:p>
        </w:tc>
      </w:tr>
      <w:tr>
        <w:trPr/>
        <w:tc>
          <w:tcPr>
            <w:tcW w:w="7399" w:type="dxa"/>
            <w:tcBorders/>
            <w:shd w:fill="CCEEFF" w:val="clear"/>
            <w:vAlign w:val="center"/>
          </w:tcPr>
          <w:p>
            <w:pPr>
              <w:pStyle w:val="TableContents"/>
              <w:bidi w:val="0"/>
              <w:spacing w:before="0" w:after="283"/>
              <w:jc w:val="left"/>
              <w:rPr/>
            </w:pPr>
            <w:r>
              <w:rPr/>
              <w:t>Notes payable – measured at fair value,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5" w:name="xdx_401_eus-gaap--OperatingLeaseLiabilit"/>
            <w:bookmarkEnd w:id="75"/>
          </w:p>
        </w:tc>
      </w:tr>
      <w:tr>
        <w:trPr/>
        <w:tc>
          <w:tcPr>
            <w:tcW w:w="739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bookmarkStart w:id="76" w:name="xdx_401_eus-gaap--LiabilitiesCurrent_i02"/>
            <w:bookmarkEnd w:id="76"/>
          </w:p>
        </w:tc>
      </w:tr>
      <w:tr>
        <w:trPr/>
        <w:tc>
          <w:tcPr>
            <w:tcW w:w="739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27,786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7" w:name="xdx_409_eus-gaap--LongTermNotesPayable_i"/>
            <w:bookmarkEnd w:id="77"/>
          </w:p>
        </w:tc>
      </w:tr>
      <w:tr>
        <w:trPr/>
        <w:tc>
          <w:tcPr>
            <w:tcW w:w="7399"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1,099</w:t>
            </w:r>
          </w:p>
        </w:tc>
        <w:tc>
          <w:tcPr>
            <w:tcW w:w="113" w:type="dxa"/>
            <w:tcBorders/>
            <w:shd w:fill="CCEEFF" w:val="clear"/>
            <w:vAlign w:val="center"/>
          </w:tcPr>
          <w:p>
            <w:pPr>
              <w:pStyle w:val="TableContents"/>
              <w:bidi w:val="0"/>
              <w:spacing w:before="0" w:after="283"/>
              <w:jc w:val="left"/>
              <w:rPr/>
            </w:pPr>
            <w:r>
              <w:rPr/>
              <w:t> </w:t>
            </w:r>
            <w:bookmarkStart w:id="78" w:name="xdx_40B_ecustom--EarnoutLiability_i01I_m"/>
            <w:bookmarkEnd w:id="78"/>
          </w:p>
        </w:tc>
      </w:tr>
      <w:tr>
        <w:trPr/>
        <w:tc>
          <w:tcPr>
            <w:tcW w:w="7399"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1,240</w:t>
            </w:r>
          </w:p>
        </w:tc>
        <w:tc>
          <w:tcPr>
            <w:tcW w:w="113" w:type="dxa"/>
            <w:tcBorders/>
            <w:shd w:fill="FFFFFF" w:val="clear"/>
            <w:vAlign w:val="center"/>
          </w:tcPr>
          <w:p>
            <w:pPr>
              <w:pStyle w:val="TableContents"/>
              <w:bidi w:val="0"/>
              <w:spacing w:before="0" w:after="283"/>
              <w:jc w:val="left"/>
              <w:rPr/>
            </w:pPr>
            <w:r>
              <w:rPr/>
              <w:t> </w:t>
            </w:r>
            <w:bookmarkStart w:id="79" w:name="xdx_40E_eus-gaap--DeferredIncomeTaxLiabi"/>
            <w:bookmarkEnd w:id="79"/>
          </w:p>
        </w:tc>
      </w:tr>
      <w:tr>
        <w:trPr/>
        <w:tc>
          <w:tcPr>
            <w:tcW w:w="739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321</w:t>
            </w:r>
          </w:p>
        </w:tc>
        <w:tc>
          <w:tcPr>
            <w:tcW w:w="113" w:type="dxa"/>
            <w:tcBorders/>
            <w:shd w:fill="CCEEFF" w:val="clear"/>
            <w:vAlign w:val="center"/>
          </w:tcPr>
          <w:p>
            <w:pPr>
              <w:pStyle w:val="TableContents"/>
              <w:bidi w:val="0"/>
              <w:spacing w:before="0" w:after="283"/>
              <w:jc w:val="left"/>
              <w:rPr/>
            </w:pPr>
            <w:r>
              <w:rPr/>
              <w:t> </w:t>
            </w:r>
            <w:bookmarkStart w:id="80" w:name="xdx_400_eus-gaap--OperatingLeaseLiabilit"/>
            <w:bookmarkEnd w:id="80"/>
          </w:p>
        </w:tc>
      </w:tr>
      <w:tr>
        <w:trPr/>
        <w:tc>
          <w:tcPr>
            <w:tcW w:w="7399"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96</w:t>
            </w:r>
          </w:p>
        </w:tc>
        <w:tc>
          <w:tcPr>
            <w:tcW w:w="113" w:type="dxa"/>
            <w:tcBorders/>
            <w:shd w:fill="FFFFFF" w:val="clear"/>
            <w:vAlign w:val="center"/>
          </w:tcPr>
          <w:p>
            <w:pPr>
              <w:pStyle w:val="TableContents"/>
              <w:bidi w:val="0"/>
              <w:spacing w:before="0" w:after="283"/>
              <w:jc w:val="left"/>
              <w:rPr/>
            </w:pPr>
            <w:r>
              <w:rPr/>
              <w:t> </w:t>
            </w:r>
            <w:bookmarkStart w:id="81" w:name="xdx_40D_ecustom--WarrantLiabilityNoncurr"/>
            <w:bookmarkEnd w:id="81"/>
          </w:p>
        </w:tc>
      </w:tr>
      <w:tr>
        <w:trPr/>
        <w:tc>
          <w:tcPr>
            <w:tcW w:w="7399"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6,859</w:t>
            </w:r>
          </w:p>
        </w:tc>
        <w:tc>
          <w:tcPr>
            <w:tcW w:w="113" w:type="dxa"/>
            <w:tcBorders/>
            <w:shd w:fill="CCEEFF" w:val="clear"/>
            <w:vAlign w:val="center"/>
          </w:tcPr>
          <w:p>
            <w:pPr>
              <w:pStyle w:val="TableContents"/>
              <w:bidi w:val="0"/>
              <w:spacing w:before="0" w:after="283"/>
              <w:jc w:val="left"/>
              <w:rPr/>
            </w:pPr>
            <w:r>
              <w:rPr/>
              <w:t> </w:t>
            </w:r>
            <w:bookmarkStart w:id="82" w:name="xdx_409_eus-gaap--OtherLiabilitiesNoncur"/>
            <w:bookmarkEnd w:id="82"/>
          </w:p>
        </w:tc>
      </w:tr>
      <w:tr>
        <w:trPr/>
        <w:tc>
          <w:tcPr>
            <w:tcW w:w="739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 </w:t>
            </w:r>
            <w:bookmarkStart w:id="83" w:name="xdx_401_eus-gaap--Liabilities_i01TI_mtLz"/>
            <w:bookmarkEnd w:id="83"/>
          </w:p>
        </w:tc>
      </w:tr>
      <w:tr>
        <w:trPr/>
        <w:tc>
          <w:tcPr>
            <w:tcW w:w="739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37,449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4" w:name="xdx_409_eus-gaap--CommitmentsAndContinge"/>
            <w:bookmarkEnd w:id="84"/>
          </w:p>
        </w:tc>
      </w:tr>
      <w:tr>
        <w:trPr/>
        <w:tc>
          <w:tcPr>
            <w:tcW w:w="7399"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5" w:name="xdx_403_eus-gaap--TemporaryEquityCarryin"/>
            <w:bookmarkEnd w:id="85"/>
          </w:p>
        </w:tc>
      </w:tr>
      <w:tr>
        <w:trPr/>
        <w:tc>
          <w:tcPr>
            <w:tcW w:w="7399" w:type="dxa"/>
            <w:tcBorders/>
            <w:shd w:fill="CCEEFF" w:val="clear"/>
            <w:vAlign w:val="center"/>
          </w:tcPr>
          <w:p>
            <w:pPr>
              <w:pStyle w:val="TableContents"/>
              <w:bidi w:val="0"/>
              <w:spacing w:before="0" w:after="283"/>
              <w:jc w:val="left"/>
              <w:rPr/>
            </w:pPr>
            <w:r>
              <w:rPr/>
              <w:t>Preferred Stock, $</w:t>
            </w:r>
            <w:bookmarkStart w:id="86" w:name="xdx_909_eus-gaap--TemporaryEquityParOrSt"/>
            <w:bookmarkStart w:id="87" w:name="xdx_907_eus-gaap--TemporaryEquityParOrSt"/>
            <w:bookmarkEnd w:id="86"/>
            <w:bookmarkEnd w:id="87"/>
            <w:r>
              <w:rPr/>
              <w:t xml:space="preserve">0.00001 par value, of which </w:t>
            </w:r>
            <w:bookmarkStart w:id="88" w:name="xdx_90A_eus-gaap--TemporaryEquitySharesA"/>
            <w:bookmarkStart w:id="89" w:name="xdx_90A_eus-gaap--TemporaryEquitySharesA"/>
            <w:bookmarkEnd w:id="88"/>
            <w:bookmarkEnd w:id="89"/>
            <w:r>
              <w:rPr/>
              <w:t xml:space="preserve">20,000 shares have been designated as Series A 10% Convertible Preferred Stock; </w:t>
            </w:r>
            <w:bookmarkStart w:id="90" w:name="xdx_902_eus-gaap--TemporaryEquitySharesO"/>
            <w:bookmarkStart w:id="91" w:name="xdx_90D_eus-gaap--TemporaryEquitySharesI"/>
            <w:bookmarkEnd w:id="90"/>
            <w:bookmarkEnd w:id="91"/>
            <w:r>
              <w:rPr/>
              <w:t xml:space="preserve">2,000 and </w:t>
            </w:r>
            <w:bookmarkStart w:id="92" w:name="xdx_90B_eus-gaap--TemporaryEquitySharesO"/>
            <w:bookmarkStart w:id="93" w:name="xdx_904_eus-gaap--TemporaryEquitySharesI"/>
            <w:bookmarkEnd w:id="92"/>
            <w:bookmarkEnd w:id="93"/>
            <w:r>
              <w:rPr/>
              <w:t>no shares issued and outstanding at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4" w:name="xdx_406_eus-gaap--StockholdersEquityAbst"/>
            <w:bookmarkEnd w:id="94"/>
          </w:p>
        </w:tc>
      </w:tr>
      <w:tr>
        <w:trPr/>
        <w:tc>
          <w:tcPr>
            <w:tcW w:w="7399"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5" w:name="xdx_40D_eus-gaap--CommonStockValue_i02I_"/>
            <w:bookmarkEnd w:id="95"/>
          </w:p>
        </w:tc>
      </w:tr>
      <w:tr>
        <w:trPr/>
        <w:tc>
          <w:tcPr>
            <w:tcW w:w="7399" w:type="dxa"/>
            <w:tcBorders/>
            <w:shd w:fill="FFFFFF" w:val="clear"/>
            <w:vAlign w:val="center"/>
          </w:tcPr>
          <w:p>
            <w:pPr>
              <w:pStyle w:val="TableContents"/>
              <w:bidi w:val="0"/>
              <w:spacing w:before="0" w:after="283"/>
              <w:jc w:val="left"/>
              <w:rPr/>
            </w:pPr>
            <w:r>
              <w:rPr/>
              <w:t>Class A Common Stock, $</w:t>
            </w:r>
            <w:bookmarkStart w:id="96" w:name="xdx_90E_eus-gaap--CommonStockParOrStated"/>
            <w:bookmarkStart w:id="97" w:name="xdx_903_eus-gaap--CommonStockParOrStated"/>
            <w:bookmarkEnd w:id="96"/>
            <w:bookmarkEnd w:id="97"/>
            <w:r>
              <w:rPr/>
              <w:t xml:space="preserve">0.00001 par value, </w:t>
            </w:r>
            <w:bookmarkStart w:id="98" w:name="xdx_90D_eus-gaap--CommonStockSharesAutho"/>
            <w:bookmarkStart w:id="99" w:name="xdx_90B_eus-gaap--CommonStockSharesAutho"/>
            <w:bookmarkEnd w:id="98"/>
            <w:bookmarkEnd w:id="99"/>
            <w:r>
              <w:rPr/>
              <w:t xml:space="preserve">285,000,000 shares authorized; </w:t>
            </w:r>
            <w:bookmarkStart w:id="100" w:name="xdx_904_eus-gaap--CommonStockSharesOutst"/>
            <w:bookmarkStart w:id="101" w:name="xdx_901_eus-gaap--CommonStockSharesIssue"/>
            <w:bookmarkEnd w:id="100"/>
            <w:bookmarkEnd w:id="101"/>
            <w:r>
              <w:rPr/>
              <w:t xml:space="preserve">15,001,187 and </w:t>
            </w:r>
            <w:bookmarkStart w:id="102" w:name="xdx_90C_eus-gaap--CommonStockSharesOutst"/>
            <w:bookmarkStart w:id="103" w:name="xdx_905_eus-gaap--CommonStockSharesIssue"/>
            <w:bookmarkEnd w:id="102"/>
            <w:bookmarkEnd w:id="103"/>
            <w:r>
              <w:rPr/>
              <w:t>5,883,842 shares issued and outstanding at June 30,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04" w:name="xdx_40B_eus-gaap--CommonStockValue_i02I_"/>
            <w:bookmarkEnd w:id="104"/>
          </w:p>
        </w:tc>
      </w:tr>
      <w:tr>
        <w:trPr/>
        <w:tc>
          <w:tcPr>
            <w:tcW w:w="7399" w:type="dxa"/>
            <w:tcBorders/>
            <w:shd w:fill="CCEEFF" w:val="clear"/>
            <w:vAlign w:val="center"/>
          </w:tcPr>
          <w:p>
            <w:pPr>
              <w:pStyle w:val="TableContents"/>
              <w:bidi w:val="0"/>
              <w:spacing w:before="0" w:after="283"/>
              <w:jc w:val="left"/>
              <w:rPr/>
            </w:pPr>
            <w:r>
              <w:rPr/>
              <w:t>Class B Common Stock, $</w:t>
            </w:r>
            <w:bookmarkStart w:id="105" w:name="xdx_903_eus-gaap--CommonStockParOrStated"/>
            <w:bookmarkStart w:id="106" w:name="xdx_901_eus-gaap--CommonStockParOrStated"/>
            <w:bookmarkEnd w:id="105"/>
            <w:bookmarkEnd w:id="106"/>
            <w:r>
              <w:rPr/>
              <w:t xml:space="preserve">0.00001 par value, </w:t>
            </w:r>
            <w:bookmarkStart w:id="107" w:name="xdx_90D_eus-gaap--CommonStockSharesAutho"/>
            <w:bookmarkStart w:id="108" w:name="xdx_90F_eus-gaap--CommonStockSharesAutho"/>
            <w:bookmarkEnd w:id="107"/>
            <w:bookmarkEnd w:id="108"/>
            <w:r>
              <w:rPr/>
              <w:t xml:space="preserve">5,000,000 shares authorized; </w:t>
            </w:r>
            <w:bookmarkStart w:id="109" w:name="xdx_90A_eus-gaap--CommonStockSharesOutst"/>
            <w:bookmarkStart w:id="110" w:name="xdx_904_eus-gaap--CommonStockSharesIssue"/>
            <w:bookmarkStart w:id="111" w:name="xdx_90C_eus-gaap--CommonStockSharesOutst"/>
            <w:bookmarkStart w:id="112" w:name="xdx_901_eus-gaap--CommonStockSharesIssue"/>
            <w:bookmarkEnd w:id="109"/>
            <w:bookmarkEnd w:id="110"/>
            <w:bookmarkEnd w:id="111"/>
            <w:bookmarkEnd w:id="112"/>
            <w:r>
              <w:rPr/>
              <w:t>200,491 shares issued and outstanding at June 30,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3" w:name="xdx_403_eus-gaap--CommonStockValue_i02I_"/>
            <w:bookmarkEnd w:id="113"/>
          </w:p>
        </w:tc>
      </w:tr>
      <w:tr>
        <w:trPr/>
        <w:tc>
          <w:tcPr>
            <w:tcW w:w="7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14" w:name="xdx_401_eus-gaap--AdditionalPaidInCapita"/>
            <w:bookmarkEnd w:id="114"/>
          </w:p>
        </w:tc>
      </w:tr>
      <w:tr>
        <w:trPr/>
        <w:tc>
          <w:tcPr>
            <w:tcW w:w="739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189,609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150,252</w:t>
            </w:r>
          </w:p>
        </w:tc>
        <w:tc>
          <w:tcPr>
            <w:tcW w:w="113" w:type="dxa"/>
            <w:tcBorders/>
            <w:shd w:fill="FFFFFF" w:val="clear"/>
            <w:vAlign w:val="center"/>
          </w:tcPr>
          <w:p>
            <w:pPr>
              <w:pStyle w:val="TableContents"/>
              <w:bidi w:val="0"/>
              <w:spacing w:before="0" w:after="283"/>
              <w:jc w:val="left"/>
              <w:rPr/>
            </w:pPr>
            <w:r>
              <w:rPr/>
              <w:t> </w:t>
            </w:r>
            <w:bookmarkStart w:id="115" w:name="xdx_400_eus-gaap--RetainedEarningsAccumu"/>
            <w:bookmarkEnd w:id="115"/>
          </w:p>
        </w:tc>
      </w:tr>
      <w:tr>
        <w:trPr/>
        <w:tc>
          <w:tcPr>
            <w:tcW w:w="73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(183,361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3" w:type="dxa"/>
            <w:tcBorders/>
            <w:shd w:fill="CCEEFF" w:val="clear"/>
            <w:vAlign w:val="center"/>
          </w:tcPr>
          <w:p>
            <w:pPr>
              <w:pStyle w:val="TableContents"/>
              <w:bidi w:val="0"/>
              <w:spacing w:before="0" w:after="283"/>
              <w:jc w:val="left"/>
              <w:rPr/>
            </w:pPr>
            <w:r>
              <w:rPr/>
              <w:t>)</w:t>
            </w:r>
            <w:bookmarkStart w:id="116" w:name="xdx_402_eus-gaap--StockholdersEquity_i02"/>
            <w:bookmarkEnd w:id="116"/>
          </w:p>
        </w:tc>
      </w:tr>
      <w:tr>
        <w:trPr/>
        <w:tc>
          <w:tcPr>
            <w:tcW w:w="739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w:t>
            </w:r>
            <w:bookmarkStart w:id="117" w:name="xdx_40C_eus-gaap--LiabilitiesAndStockhol"/>
            <w:bookmarkEnd w:id="117"/>
          </w:p>
        </w:tc>
      </w:tr>
      <w:tr>
        <w:trPr/>
        <w:tc>
          <w:tcPr>
            <w:tcW w:w="7399" w:type="dxa"/>
            <w:tcBorders/>
            <w:shd w:fill="CCEEFF" w:val="clear"/>
            <w:vAlign w:val="center"/>
          </w:tcPr>
          <w:p>
            <w:pPr>
              <w:pStyle w:val="TableContents"/>
              <w:bidi w:val="0"/>
              <w:spacing w:before="0" w:after="283"/>
              <w:jc w:val="left"/>
              <w:rPr/>
            </w:pPr>
            <w:r>
              <w:rPr/>
              <w:t>Total liabilities,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34,934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118" w:name="F_002"/>
      <w:bookmarkEnd w:id="118"/>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9" w:name="xdx_309_113_pn3n3_zks4scHzcRo4"/>
      <w:bookmarkStart w:id="120" w:name="xdx_309_113_pn3n3_zks4scHzcRo4"/>
      <w:bookmarkEnd w:id="120"/>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1" w:name="xdx_490_20260401__20260630_zFBOuupY17s4"/>
            <w:bookmarkEnd w:id="121"/>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 w:name="xdx_497_20250401__20250630_z8Ky7Vs0RIOd"/>
            <w:bookmarkEnd w:id="12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3" w:name="xdx_498_20251001__20260630_zAhQjXGbynr9"/>
            <w:bookmarkEnd w:id="12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 w:name="xdx_495_20241001__20250630_zqYlesYIa6x5"/>
            <w:bookmarkEnd w:id="12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25" w:name="xdx_40C_eus-gaap--RevenuesAbstract_iB_zW"/>
            <w:bookmarkEnd w:id="125"/>
          </w:p>
        </w:tc>
      </w:tr>
      <w:tr>
        <w:trPr/>
        <w:tc>
          <w:tcPr>
            <w:tcW w:w="497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B_eus-gaap--RevenueFromContractWit"/>
            <w:bookmarkEnd w:id="126"/>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4,911</w:t>
            </w:r>
          </w:p>
        </w:tc>
        <w:tc>
          <w:tcPr>
            <w:tcW w:w="110" w:type="dxa"/>
            <w:tcBorders/>
            <w:shd w:fill="FFFFFF" w:val="clear"/>
            <w:vAlign w:val="center"/>
          </w:tcPr>
          <w:p>
            <w:pPr>
              <w:pStyle w:val="TableContents"/>
              <w:bidi w:val="0"/>
              <w:spacing w:before="0" w:after="283"/>
              <w:jc w:val="left"/>
              <w:rPr/>
            </w:pPr>
            <w:r>
              <w:rPr/>
              <w:t> </w:t>
            </w:r>
            <w:bookmarkStart w:id="127" w:name="xdx_40A_eus-gaap--RevenueFromContractWit"/>
            <w:bookmarkEnd w:id="127"/>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3,119</w:t>
            </w:r>
          </w:p>
        </w:tc>
        <w:tc>
          <w:tcPr>
            <w:tcW w:w="110" w:type="dxa"/>
            <w:tcBorders/>
            <w:shd w:fill="CCEEFF" w:val="clear"/>
            <w:vAlign w:val="center"/>
          </w:tcPr>
          <w:p>
            <w:pPr>
              <w:pStyle w:val="TableContents"/>
              <w:bidi w:val="0"/>
              <w:spacing w:before="0" w:after="283"/>
              <w:jc w:val="left"/>
              <w:rPr/>
            </w:pPr>
            <w:r>
              <w:rPr/>
              <w:t> </w:t>
            </w:r>
            <w:bookmarkStart w:id="128" w:name="xdx_402_eus-gaap--RevenueFromContractWit"/>
            <w:bookmarkEnd w:id="128"/>
          </w:p>
        </w:tc>
      </w:tr>
      <w:tr>
        <w:trPr/>
        <w:tc>
          <w:tcPr>
            <w:tcW w:w="4970"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bookmarkStart w:id="129" w:name="xdx_403_eus-gaap--RevenueFromContractWit"/>
            <w:bookmarkEnd w:id="129"/>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bookmarkStart w:id="130" w:name="xdx_400_eus-gaap--CostOfRevenueAbstract_"/>
            <w:bookmarkEnd w:id="130"/>
          </w:p>
        </w:tc>
      </w:tr>
      <w:tr>
        <w:trPr/>
        <w:tc>
          <w:tcPr>
            <w:tcW w:w="49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1" w:name="xdx_403_eus-gaap--CostOfRevenue_i01_hsrt"/>
            <w:bookmarkEnd w:id="131"/>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bookmarkStart w:id="132" w:name="xdx_40C_eus-gaap--CostOfRevenue_i01_hsrt"/>
            <w:bookmarkEnd w:id="132"/>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1,062</w:t>
            </w:r>
          </w:p>
        </w:tc>
        <w:tc>
          <w:tcPr>
            <w:tcW w:w="110" w:type="dxa"/>
            <w:tcBorders/>
            <w:shd w:fill="CCEEFF" w:val="clear"/>
            <w:vAlign w:val="center"/>
          </w:tcPr>
          <w:p>
            <w:pPr>
              <w:pStyle w:val="TableContents"/>
              <w:bidi w:val="0"/>
              <w:spacing w:before="0" w:after="283"/>
              <w:jc w:val="left"/>
              <w:rPr/>
            </w:pPr>
            <w:r>
              <w:rPr/>
              <w:t> </w:t>
            </w:r>
            <w:bookmarkStart w:id="133" w:name="xdx_40F_eus-gaap--CostOfRevenue_i01_msGP"/>
            <w:bookmarkEnd w:id="133"/>
          </w:p>
        </w:tc>
      </w:tr>
      <w:tr>
        <w:trPr/>
        <w:tc>
          <w:tcPr>
            <w:tcW w:w="4970" w:type="dxa"/>
            <w:tcBorders/>
            <w:shd w:fill="FFFFFF" w:val="clear"/>
            <w:vAlign w:val="center"/>
          </w:tcPr>
          <w:p>
            <w:pPr>
              <w:pStyle w:val="TableContents"/>
              <w:bidi w:val="0"/>
              <w:spacing w:before="0" w:after="283"/>
              <w:jc w:val="left"/>
              <w:rPr/>
            </w:pPr>
            <w:r>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bookmarkStart w:id="134" w:name="xdx_406_eus-gaap--CostOfRevenue_i01_msGP"/>
            <w:bookmarkEnd w:id="134"/>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bookmarkStart w:id="135" w:name="xdx_401_eus-gaap--GrossProfit_i01T_maCzj"/>
            <w:bookmarkEnd w:id="135"/>
          </w:p>
        </w:tc>
      </w:tr>
      <w:tr>
        <w:trPr/>
        <w:tc>
          <w:tcPr>
            <w:tcW w:w="49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4,056</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4_eus-gaap--OperatingExpensesAbstr"/>
            <w:bookmarkEnd w:id="136"/>
          </w:p>
        </w:tc>
      </w:tr>
      <w:tr>
        <w:trPr/>
        <w:tc>
          <w:tcPr>
            <w:tcW w:w="49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 w:name="xdx_408_eus-gaap--ResearchAndDevelopment"/>
            <w:bookmarkEnd w:id="137"/>
          </w:p>
        </w:tc>
      </w:tr>
      <w:tr>
        <w:trPr/>
        <w:tc>
          <w:tcPr>
            <w:tcW w:w="49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1,816</w:t>
            </w:r>
          </w:p>
        </w:tc>
        <w:tc>
          <w:tcPr>
            <w:tcW w:w="110" w:type="dxa"/>
            <w:tcBorders/>
            <w:shd w:fill="FFFFFF" w:val="clear"/>
            <w:vAlign w:val="center"/>
          </w:tcPr>
          <w:p>
            <w:pPr>
              <w:pStyle w:val="TableContents"/>
              <w:bidi w:val="0"/>
              <w:spacing w:before="0" w:after="283"/>
              <w:jc w:val="left"/>
              <w:rPr/>
            </w:pPr>
            <w:r>
              <w:rPr/>
              <w:t> </w:t>
            </w:r>
            <w:bookmarkStart w:id="138" w:name="xdx_40B_eus-gaap--SellingGeneralAndAdmin"/>
            <w:bookmarkEnd w:id="138"/>
          </w:p>
        </w:tc>
      </w:tr>
      <w:tr>
        <w:trPr/>
        <w:tc>
          <w:tcPr>
            <w:tcW w:w="497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32,043</w:t>
            </w:r>
          </w:p>
        </w:tc>
        <w:tc>
          <w:tcPr>
            <w:tcW w:w="110" w:type="dxa"/>
            <w:tcBorders/>
            <w:shd w:fill="CCEEFF" w:val="clear"/>
            <w:vAlign w:val="center"/>
          </w:tcPr>
          <w:p>
            <w:pPr>
              <w:pStyle w:val="TableContents"/>
              <w:bidi w:val="0"/>
              <w:spacing w:before="0" w:after="283"/>
              <w:jc w:val="left"/>
              <w:rPr/>
            </w:pPr>
            <w:r>
              <w:rPr/>
              <w:t> </w:t>
            </w:r>
            <w:bookmarkStart w:id="139" w:name="xdx_40A_eus-gaap--ImpairmentOfLongLivedA"/>
            <w:bookmarkEnd w:id="139"/>
          </w:p>
        </w:tc>
      </w:tr>
      <w:tr>
        <w:trPr/>
        <w:tc>
          <w:tcPr>
            <w:tcW w:w="497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bookmarkStart w:id="140" w:name="xdx_409_eus-gaap--OperatingIncomeLoss_i0"/>
            <w:bookmarkEnd w:id="140"/>
          </w:p>
        </w:tc>
      </w:tr>
      <w:tr>
        <w:trPr/>
        <w:tc>
          <w:tcPr>
            <w:tcW w:w="49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(30,528</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1" w:name="xdx_406_eus-gaap--InterestExpenseNonoper"/>
            <w:bookmarkEnd w:id="141"/>
          </w:p>
        </w:tc>
      </w:tr>
      <w:tr>
        <w:trPr/>
        <w:tc>
          <w:tcPr>
            <w:tcW w:w="49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 </w:t>
            </w:r>
            <w:bookmarkStart w:id="142" w:name="xdx_406_ecustom--ChangeInFairValueOfEarn"/>
            <w:bookmarkEnd w:id="142"/>
          </w:p>
        </w:tc>
      </w:tr>
      <w:tr>
        <w:trPr/>
        <w:tc>
          <w:tcPr>
            <w:tcW w:w="497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w:t>
            </w:r>
            <w:bookmarkStart w:id="143" w:name="xdx_404_eus-gaap--FairValueAdjustmentOfW"/>
            <w:bookmarkEnd w:id="143"/>
          </w:p>
        </w:tc>
      </w:tr>
      <w:tr>
        <w:trPr/>
        <w:tc>
          <w:tcPr>
            <w:tcW w:w="497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bookmarkStart w:id="144" w:name="xdx_405_ecustom--ChangeInFairValueOfPIPE"/>
            <w:bookmarkEnd w:id="144"/>
          </w:p>
        </w:tc>
      </w:tr>
      <w:tr>
        <w:trPr/>
        <w:tc>
          <w:tcPr>
            <w:tcW w:w="497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5" w:name="xdx_40F_eus-gaap--NoncashMergerRelatedCo"/>
            <w:bookmarkEnd w:id="145"/>
          </w:p>
        </w:tc>
      </w:tr>
      <w:tr>
        <w:trPr/>
        <w:tc>
          <w:tcPr>
            <w:tcW w:w="497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A_ecustom--ChangeInFairValueOfNote"/>
            <w:bookmarkEnd w:id="146"/>
          </w:p>
        </w:tc>
      </w:tr>
      <w:tr>
        <w:trPr/>
        <w:tc>
          <w:tcPr>
            <w:tcW w:w="497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7" w:name="xdx_40C_ecustom--LossOnIssuanceOfPreferr"/>
            <w:bookmarkEnd w:id="147"/>
          </w:p>
        </w:tc>
      </w:tr>
      <w:tr>
        <w:trPr/>
        <w:tc>
          <w:tcPr>
            <w:tcW w:w="497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8" w:name="xdx_40F_ecustom--FinancingCostsExpensed_"/>
            <w:bookmarkEnd w:id="148"/>
          </w:p>
        </w:tc>
      </w:tr>
      <w:tr>
        <w:trPr/>
        <w:tc>
          <w:tcPr>
            <w:tcW w:w="4970" w:type="dxa"/>
            <w:tcBorders/>
            <w:shd w:fill="FFFFFF" w:val="clear"/>
            <w:vAlign w:val="center"/>
          </w:tcPr>
          <w:p>
            <w:pPr>
              <w:pStyle w:val="TableContents"/>
              <w:bidi w:val="0"/>
              <w:spacing w:before="0" w:after="283"/>
              <w:jc w:val="left"/>
              <w:rPr/>
            </w:pPr>
            <w:r>
              <w:rPr/>
              <w:t>Financing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bookmarkStart w:id="149" w:name="xdx_409_ecustom--LossOnExtinguishmentOfN"/>
            <w:bookmarkEnd w:id="149"/>
          </w:p>
        </w:tc>
      </w:tr>
      <w:tr>
        <w:trPr/>
        <w:tc>
          <w:tcPr>
            <w:tcW w:w="4970" w:type="dxa"/>
            <w:tcBorders/>
            <w:shd w:fill="CCEEFF" w:val="clear"/>
            <w:vAlign w:val="center"/>
          </w:tcPr>
          <w:p>
            <w:pPr>
              <w:pStyle w:val="TableContents"/>
              <w:bidi w:val="0"/>
              <w:spacing w:before="0" w:after="283"/>
              <w:jc w:val="left"/>
              <w:rPr/>
            </w:pPr>
            <w:r>
              <w:rPr/>
              <w:t>Loss on extinguishment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bookmarkStart w:id="150" w:name="xdx_404_eus-gaap--OtherNonoperatingGains"/>
            <w:bookmarkEnd w:id="150"/>
          </w:p>
        </w:tc>
      </w:tr>
      <w:tr>
        <w:trPr/>
        <w:tc>
          <w:tcPr>
            <w:tcW w:w="4970"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jc w:val="left"/>
              <w:rPr/>
            </w:pPr>
            <w:r>
              <w:rPr/>
              <w:t>)</w:t>
            </w:r>
            <w:bookmarkStart w:id="151" w:name="xdx_40D_eus-gaap--IncomeLossFromContinui"/>
            <w:bookmarkEnd w:id="151"/>
          </w:p>
        </w:tc>
      </w:tr>
      <w:tr>
        <w:trPr/>
        <w:tc>
          <w:tcPr>
            <w:tcW w:w="49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(30,411</w:t>
            </w:r>
          </w:p>
        </w:tc>
        <w:tc>
          <w:tcPr>
            <w:tcW w:w="110" w:type="dxa"/>
            <w:tcBorders/>
            <w:shd w:fill="CCEEFF" w:val="clear"/>
            <w:vAlign w:val="center"/>
          </w:tcPr>
          <w:p>
            <w:pPr>
              <w:pStyle w:val="TableContents"/>
              <w:bidi w:val="0"/>
              <w:spacing w:before="0" w:after="283"/>
              <w:jc w:val="left"/>
              <w:rPr/>
            </w:pPr>
            <w:r>
              <w:rPr/>
              <w:t>)</w:t>
            </w:r>
            <w:bookmarkStart w:id="152" w:name="xdx_408_eus-gaap--IncomeTaxExpenseBenefi"/>
            <w:bookmarkEnd w:id="152"/>
          </w:p>
        </w:tc>
      </w:tr>
      <w:tr>
        <w:trPr/>
        <w:tc>
          <w:tcPr>
            <w:tcW w:w="497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bookmarkStart w:id="153" w:name="xdx_40E_eus-gaap--NetIncomeLoss_iT_mtCzW"/>
            <w:bookmarkEnd w:id="153"/>
          </w:p>
        </w:tc>
      </w:tr>
      <w:tr>
        <w:trPr/>
        <w:tc>
          <w:tcPr>
            <w:tcW w:w="49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(30,402</w:t>
            </w:r>
          </w:p>
        </w:tc>
        <w:tc>
          <w:tcPr>
            <w:tcW w:w="110" w:type="dxa"/>
            <w:tcBorders/>
            <w:shd w:fill="CCEEFF" w:val="clear"/>
            <w:vAlign w:val="center"/>
          </w:tcPr>
          <w:p>
            <w:pPr>
              <w:pStyle w:val="TableContents"/>
              <w:bidi w:val="0"/>
              <w:spacing w:before="0" w:after="283"/>
              <w:jc w:val="left"/>
              <w:rPr/>
            </w:pPr>
            <w:r>
              <w:rPr/>
              <w:t>)</w:t>
            </w:r>
            <w:bookmarkStart w:id="154" w:name="xdx_406_ecustom--DeemedDividendFromWarra"/>
            <w:bookmarkEnd w:id="154"/>
          </w:p>
        </w:tc>
      </w:tr>
      <w:tr>
        <w:trPr/>
        <w:tc>
          <w:tcPr>
            <w:tcW w:w="497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5" w:name="xdx_40B_eus-gaap--NetIncomeLossAvailable"/>
            <w:bookmarkEnd w:id="155"/>
          </w:p>
        </w:tc>
      </w:tr>
      <w:tr>
        <w:trPr/>
        <w:tc>
          <w:tcPr>
            <w:tcW w:w="4970" w:type="dxa"/>
            <w:tcBorders/>
            <w:shd w:fill="FFFFFF" w:val="clear"/>
            <w:vAlign w:val="center"/>
          </w:tcPr>
          <w:p>
            <w:pPr>
              <w:pStyle w:val="TableContents"/>
              <w:bidi w:val="0"/>
              <w:spacing w:before="0" w:after="283"/>
              <w:jc w:val="left"/>
              <w:rPr/>
            </w:pPr>
            <w:r>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6" w:name="xdx_406_eus-gaap--EarningsPerShareBasicA"/>
            <w:bookmarkEnd w:id="156"/>
          </w:p>
        </w:tc>
      </w:tr>
      <w:tr>
        <w:trPr/>
        <w:tc>
          <w:tcPr>
            <w:tcW w:w="4970"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7" w:name="xdx_40A_eus-gaap--EarningsPerShareBasic_"/>
            <w:bookmarkEnd w:id="157"/>
          </w:p>
        </w:tc>
      </w:tr>
      <w:tr>
        <w:trPr/>
        <w:tc>
          <w:tcPr>
            <w:tcW w:w="49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(7.16</w:t>
            </w:r>
          </w:p>
        </w:tc>
        <w:tc>
          <w:tcPr>
            <w:tcW w:w="110" w:type="dxa"/>
            <w:tcBorders/>
            <w:shd w:fill="FFFFFF" w:val="clear"/>
            <w:vAlign w:val="center"/>
          </w:tcPr>
          <w:p>
            <w:pPr>
              <w:pStyle w:val="TableContents"/>
              <w:bidi w:val="0"/>
              <w:spacing w:before="0" w:after="283"/>
              <w:jc w:val="left"/>
              <w:rPr/>
            </w:pPr>
            <w:r>
              <w:rPr/>
              <w:t>)</w:t>
            </w:r>
            <w:bookmarkStart w:id="158" w:name="xdx_40E_eus-gaap--EarningsPerShareDilute"/>
            <w:bookmarkEnd w:id="158"/>
          </w:p>
        </w:tc>
      </w:tr>
      <w:tr>
        <w:trPr/>
        <w:tc>
          <w:tcPr>
            <w:tcW w:w="49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(7.16</w:t>
            </w:r>
          </w:p>
        </w:tc>
        <w:tc>
          <w:tcPr>
            <w:tcW w:w="110" w:type="dxa"/>
            <w:tcBorders/>
            <w:shd w:fill="CCEEFF" w:val="clear"/>
            <w:vAlign w:val="center"/>
          </w:tcPr>
          <w:p>
            <w:pPr>
              <w:pStyle w:val="TableContents"/>
              <w:bidi w:val="0"/>
              <w:spacing w:before="0" w:after="283"/>
              <w:jc w:val="left"/>
              <w:rPr/>
            </w:pPr>
            <w:r>
              <w:rPr/>
              <w:t>)</w:t>
            </w:r>
            <w:bookmarkStart w:id="159" w:name="xdx_402_eus-gaap--WeightedAverageNumberO"/>
            <w:bookmarkEnd w:id="159"/>
          </w:p>
        </w:tc>
      </w:tr>
      <w:tr>
        <w:trPr/>
        <w:tc>
          <w:tcPr>
            <w:tcW w:w="4970"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60" w:name="xdx_40B_eus-gaap--WeightedAverageNumberO"/>
            <w:bookmarkEnd w:id="160"/>
          </w:p>
        </w:tc>
      </w:tr>
      <w:tr>
        <w:trPr/>
        <w:tc>
          <w:tcPr>
            <w:tcW w:w="49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4,247,441</w:t>
            </w:r>
          </w:p>
        </w:tc>
        <w:tc>
          <w:tcPr>
            <w:tcW w:w="110" w:type="dxa"/>
            <w:tcBorders/>
            <w:shd w:fill="CCEEFF" w:val="clear"/>
            <w:vAlign w:val="center"/>
          </w:tcPr>
          <w:p>
            <w:pPr>
              <w:pStyle w:val="TableContents"/>
              <w:bidi w:val="0"/>
              <w:spacing w:before="0" w:after="283"/>
              <w:jc w:val="left"/>
              <w:rPr/>
            </w:pPr>
            <w:r>
              <w:rPr/>
              <w:t> </w:t>
            </w:r>
            <w:bookmarkStart w:id="161" w:name="xdx_407_eus-gaap--WeightedAverageNumberO"/>
            <w:bookmarkEnd w:id="161"/>
          </w:p>
        </w:tc>
      </w:tr>
      <w:tr>
        <w:trPr/>
        <w:tc>
          <w:tcPr>
            <w:tcW w:w="49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12,640,059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9,683,935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4,247,441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162" w:name="F_003"/>
      <w:bookmarkEnd w:id="162"/>
      <w:r>
        <w:rPr>
          <w:rFonts w:ascii="Times New Roman;Times;Serif" w:hAnsi="Times New Roman;Times;Serif"/>
          <w:b/>
          <w:i w:val="false"/>
          <w:caps w:val="false"/>
          <w:smallCaps w:val="false"/>
          <w:sz w:val="20"/>
        </w:rPr>
        <w:t>CONDENSED CONSOLIDATED STATEMENTS OF PREFERRED STOCK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3" w:name="xdx_300_114_pn3n3_zBSDPIMZ1xUl"/>
      <w:bookmarkStart w:id="164" w:name="xdx_300_114_pn3n3_zBSDPIMZ1xUl"/>
      <w:bookmarkEnd w:id="164"/>
    </w:p>
    <w:tbl>
      <w:tblPr>
        <w:tblW w:w="10205" w:type="dxa"/>
        <w:jc w:val="left"/>
        <w:tblInd w:w="0" w:type="dxa"/>
        <w:tblLayout w:type="fixed"/>
        <w:tblCellMar>
          <w:top w:w="0" w:type="dxa"/>
          <w:left w:w="0" w:type="dxa"/>
          <w:bottom w:w="0" w:type="dxa"/>
          <w:right w:w="0" w:type="dxa"/>
        </w:tblCellMar>
      </w:tblPr>
      <w:tblGrid>
        <w:gridCol w:w="2040"/>
        <w:gridCol w:w="60"/>
        <w:gridCol w:w="61"/>
        <w:gridCol w:w="439"/>
        <w:gridCol w:w="60"/>
        <w:gridCol w:w="60"/>
        <w:gridCol w:w="124"/>
        <w:gridCol w:w="481"/>
        <w:gridCol w:w="60"/>
        <w:gridCol w:w="60"/>
        <w:gridCol w:w="60"/>
        <w:gridCol w:w="830"/>
        <w:gridCol w:w="60"/>
        <w:gridCol w:w="60"/>
        <w:gridCol w:w="110"/>
        <w:gridCol w:w="500"/>
        <w:gridCol w:w="60"/>
        <w:gridCol w:w="60"/>
        <w:gridCol w:w="60"/>
        <w:gridCol w:w="605"/>
        <w:gridCol w:w="60"/>
        <w:gridCol w:w="60"/>
        <w:gridCol w:w="110"/>
        <w:gridCol w:w="500"/>
        <w:gridCol w:w="140"/>
        <w:gridCol w:w="140"/>
        <w:gridCol w:w="120"/>
        <w:gridCol w:w="665"/>
        <w:gridCol w:w="60"/>
        <w:gridCol w:w="60"/>
        <w:gridCol w:w="136"/>
        <w:gridCol w:w="829"/>
        <w:gridCol w:w="80"/>
        <w:gridCol w:w="60"/>
        <w:gridCol w:w="110"/>
        <w:gridCol w:w="1130"/>
        <w:gridCol w:w="95"/>
      </w:tblGrid>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5" w:name="xdx_4BC_us-gaap--StatementEquityComponen"/>
            <w:bookmarkEnd w:id="165"/>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6" w:name="xdx_4B0_us-gaap--StatementClassOfStockAx"/>
            <w:bookmarkEnd w:id="166"/>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7" w:name="xdx_4BC_us-gaap--StatementClassOfStockAx"/>
            <w:bookmarkEnd w:id="167"/>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bookmarkStart w:id="168" w:name="xdx_4BF_us-gaap--StatementClassOfStockAx"/>
            <w:bookmarkEnd w:id="168"/>
          </w:p>
        </w:tc>
        <w:tc>
          <w:tcPr>
            <w:tcW w:w="140" w:type="dxa"/>
            <w:tcBorders/>
            <w:vAlign w:val="center"/>
          </w:tcPr>
          <w:p>
            <w:pPr>
              <w:pStyle w:val="TableContents"/>
              <w:bidi w:val="0"/>
              <w:spacing w:before="0" w:after="283"/>
              <w:jc w:val="left"/>
              <w:rPr>
                <w:caps w:val="false"/>
                <w:smallCaps w:val="false"/>
              </w:rPr>
            </w:pPr>
            <w:r>
              <w:rPr>
                <w:caps w:val="false"/>
                <w:smallCaps w:val="false"/>
              </w:rPr>
              <w:t> </w:t>
            </w:r>
            <w:bookmarkStart w:id="169" w:name="xdx_4B7_us-gaap--StatementClassOfStockAx"/>
            <w:bookmarkEnd w:id="169"/>
          </w:p>
        </w:tc>
        <w:tc>
          <w:tcPr>
            <w:tcW w:w="140" w:type="dxa"/>
            <w:tcBorders/>
            <w:vAlign w:val="center"/>
          </w:tcPr>
          <w:p>
            <w:pPr>
              <w:pStyle w:val="TableContents"/>
              <w:bidi w:val="0"/>
              <w:spacing w:before="0" w:after="283"/>
              <w:jc w:val="left"/>
              <w:rPr>
                <w:caps w:val="false"/>
                <w:smallCaps w:val="false"/>
              </w:rPr>
            </w:pPr>
            <w:r>
              <w:rPr>
                <w:caps w:val="false"/>
                <w:smallCaps w:val="false"/>
              </w:rPr>
              <w:t> </w:t>
            </w:r>
            <w:bookmarkStart w:id="170" w:name="xdx_4BE_us-gaap--StatementEquityComponen"/>
            <w:bookmarkEnd w:id="170"/>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1" w:name="xdx_4BF_us-gaap--StatementEquityComponen"/>
            <w:bookmarkEnd w:id="171"/>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2" w:name="xdx_4BB_zWYvHRGqT9A6"/>
            <w:bookmarkEnd w:id="172"/>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6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73" w:name="xdx_435_c20251001__20251231_eus-gaap--St"/>
            <w:bookmarkEnd w:id="173"/>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4" w:name="xdx_985_eus-gaap--TemporaryEquitySharesO"/>
            <w:bookmarkEnd w:id="174"/>
          </w:p>
        </w:tc>
        <w:tc>
          <w:tcPr>
            <w:tcW w:w="4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bookmarkStart w:id="175" w:name="xdx_989_eus-gaap--TemporaryEquityCarryin"/>
            <w:bookmarkEnd w:id="175"/>
          </w:p>
        </w:tc>
        <w:tc>
          <w:tcPr>
            <w:tcW w:w="4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981_eus-gaap--SharesOutstanding_iS_p"/>
            <w:bookmarkEnd w:id="176"/>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98F_eus-gaap--SharesOutstanding_iS_p"/>
            <w:bookmarkEnd w:id="177"/>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8" w:name="xdx_406_eus-gaap--StockIssuedDuringPerio"/>
            <w:bookmarkEnd w:id="178"/>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9" w:name="xdx_981_eus-gaap--StockIssuedDuringPerio"/>
            <w:bookmarkEnd w:id="179"/>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40F_ecustom--StockIssuedDuringPeriod"/>
            <w:bookmarkEnd w:id="180"/>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1" w:name="xdx_984_ecustom--StockIssuedDuringPeriod"/>
            <w:bookmarkEnd w:id="181"/>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2" w:name="xdx_407_eus-gaap--StockIssuedDuringPerio"/>
            <w:bookmarkEnd w:id="182"/>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3" w:name="xdx_98B_eus-gaap--StockIssuedDuringPerio"/>
            <w:bookmarkEnd w:id="183"/>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4" w:name="xdx_400_eus-gaap--StockIssuedDuringPerio"/>
            <w:bookmarkEnd w:id="184"/>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5" w:name="xdx_988_eus-gaap--StockIssuedDuringPerio"/>
            <w:bookmarkEnd w:id="185"/>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6" w:name="xdx_408_ecustom--AdjustmentsToAdditional"/>
            <w:bookmarkEnd w:id="186"/>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7" w:name="xdx_40E_eus-gaap--AdjustmentsToAdditiona"/>
            <w:bookmarkEnd w:id="187"/>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in consideration for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8" w:name="xdx_407_eus-gaap--AdjustmentsToAdditiona"/>
            <w:bookmarkEnd w:id="188"/>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40F_eus-gaap--NetIncomeLoss_zJvbbo3R"/>
            <w:bookmarkEnd w:id="189"/>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0" w:name="xdx_434_c20260101__20260331_eus-gaap--St"/>
            <w:bookmarkEnd w:id="190"/>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1" w:name="xdx_987_eus-gaap--TemporaryEquitySharesO"/>
            <w:bookmarkEnd w:id="191"/>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2" w:name="xdx_98A_eus-gaap--TemporaryEquityCarryin"/>
            <w:bookmarkEnd w:id="192"/>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3" w:name="xdx_988_eus-gaap--SharesOutstanding_iS_p"/>
            <w:bookmarkEnd w:id="193"/>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6,665,325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4" w:name="xdx_98B_eus-gaap--SharesOutstanding_iS_p"/>
            <w:bookmarkEnd w:id="194"/>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165,380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(160,713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5" w:name="xdx_406_eus-gaap--StockIssuedDuringPerio"/>
            <w:bookmarkEnd w:id="195"/>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6" w:name="xdx_98C_eus-gaap--StockIssuedDuringPerio"/>
            <w:bookmarkEnd w:id="196"/>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7" w:name="xdx_408_ecustom--StockIssuedDuringPeriod"/>
            <w:bookmarkEnd w:id="197"/>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980_ecustom--StockIssuedDuringPeriod"/>
            <w:bookmarkEnd w:id="198"/>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9" w:name="xdx_40F_ecustom--StockIssuedDuringPeriod"/>
            <w:bookmarkEnd w:id="199"/>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0" w:name="xdx_401_eus-gaap--StockRedeemedOrCalledD"/>
            <w:bookmarkEnd w:id="200"/>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1" w:name="xdx_983_eus-gaap--StockRedeemedOrCalledD"/>
            <w:bookmarkEnd w:id="201"/>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2" w:name="xdx_400_eus-gaap--StockIssuedDuringPerio"/>
            <w:bookmarkEnd w:id="202"/>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3" w:name="xdx_98D_eus-gaap--StockIssuedDuringPerio"/>
            <w:bookmarkEnd w:id="203"/>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4" w:name="xdx_407_eus-gaap--AdjustmentsToAdditiona"/>
            <w:bookmarkEnd w:id="204"/>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5" w:name="xdx_40F_eus-gaap--NetIncomeLoss_zLyOj4Pc"/>
            <w:bookmarkEnd w:id="205"/>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6" w:name="xdx_43D_c20260401__20260630_eus-gaap--St"/>
            <w:bookmarkEnd w:id="206"/>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7" w:name="xdx_980_eus-gaap--TemporaryEquitySharesO"/>
            <w:bookmarkEnd w:id="207"/>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98A_eus-gaap--TemporaryEquityCarryin"/>
            <w:bookmarkEnd w:id="208"/>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9" w:name="xdx_987_eus-gaap--SharesOutstanding_iS_p"/>
            <w:bookmarkEnd w:id="209"/>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10,355,525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0" w:name="xdx_98A_eus-gaap--SharesOutstanding_iS_p"/>
            <w:bookmarkEnd w:id="210"/>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175,411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(166,566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1" w:name="xdx_400_eus-gaap--StockIssuedDuringPerio"/>
            <w:bookmarkEnd w:id="211"/>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2" w:name="xdx_988_eus-gaap--StockIssuedDuringPerio"/>
            <w:bookmarkEnd w:id="212"/>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3" w:name="xdx_403_ecustom--StockIssuedDuringPeriod"/>
            <w:bookmarkEnd w:id="213"/>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amendment of 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4" w:name="xdx_98E_ecustom--StockIssuedDuringPeriod"/>
            <w:bookmarkEnd w:id="214"/>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464,952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5" w:name="xdx_401_eus-gaap--StockIssuedDuringPerio"/>
            <w:bookmarkEnd w:id="215"/>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6" w:name="xdx_98A_eus-gaap--StockIssuedDuringPerio"/>
            <w:bookmarkEnd w:id="216"/>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7" w:name="xdx_40F_ecustom--StockIssuedDuringPeriod"/>
            <w:bookmarkEnd w:id="217"/>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 w:name="xdx_98F_ecustom--StockIssuedDuringPeriod"/>
            <w:bookmarkEnd w:id="218"/>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3,976,792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9" w:name="xdx_989_ecustom--TemporaryEquityCarrying"/>
            <w:bookmarkEnd w:id="219"/>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0" w:name="xdx_984_ecustom--TemporaryEquityCarrying"/>
            <w:bookmarkEnd w:id="220"/>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1" w:name="xdx_40D_ecustom--AdjustmentsToAdditional"/>
            <w:bookmarkEnd w:id="221"/>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extension shares in consideration for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2" w:name="xdx_407_eus-gaap--AdjustmentsToAdditiona"/>
            <w:bookmarkEnd w:id="222"/>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3" w:name="xdx_40F_eus-gaap--NetIncomeLoss_zokMP6sG"/>
            <w:bookmarkEnd w:id="223"/>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434_c20260401__20260630_eus-gaap--St"/>
            <w:bookmarkEnd w:id="224"/>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5" w:name="xdx_98B_eus-gaap--TemporaryEquitySharesO"/>
            <w:bookmarkEnd w:id="225"/>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bookmarkStart w:id="226" w:name="xdx_981_eus-gaap--TemporaryEquityCarryin"/>
            <w:bookmarkEnd w:id="226"/>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7" w:name="xdx_987_eus-gaap--SharesOutstanding_iE_p"/>
            <w:bookmarkEnd w:id="227"/>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15,001,187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8" w:name="xdx_987_eus-gaap--SharesOutstanding_iE_p"/>
            <w:bookmarkEnd w:id="228"/>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1"/>
        <w:gridCol w:w="60"/>
        <w:gridCol w:w="78"/>
        <w:gridCol w:w="422"/>
        <w:gridCol w:w="62"/>
        <w:gridCol w:w="62"/>
        <w:gridCol w:w="123"/>
        <w:gridCol w:w="485"/>
        <w:gridCol w:w="60"/>
        <w:gridCol w:w="60"/>
        <w:gridCol w:w="60"/>
        <w:gridCol w:w="740"/>
        <w:gridCol w:w="60"/>
        <w:gridCol w:w="60"/>
        <w:gridCol w:w="121"/>
        <w:gridCol w:w="484"/>
        <w:gridCol w:w="60"/>
        <w:gridCol w:w="60"/>
        <w:gridCol w:w="60"/>
        <w:gridCol w:w="605"/>
        <w:gridCol w:w="80"/>
        <w:gridCol w:w="60"/>
        <w:gridCol w:w="121"/>
        <w:gridCol w:w="484"/>
        <w:gridCol w:w="140"/>
        <w:gridCol w:w="140"/>
        <w:gridCol w:w="120"/>
        <w:gridCol w:w="665"/>
        <w:gridCol w:w="60"/>
        <w:gridCol w:w="60"/>
        <w:gridCol w:w="136"/>
        <w:gridCol w:w="829"/>
        <w:gridCol w:w="80"/>
        <w:gridCol w:w="60"/>
        <w:gridCol w:w="133"/>
        <w:gridCol w:w="877"/>
        <w:gridCol w:w="97"/>
      </w:tblGrid>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7"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A</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B</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Paid-in</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Stockholder’s</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7"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7" w:type="dxa"/>
            <w:tcBorders/>
            <w:vAlign w:val="center"/>
          </w:tcPr>
          <w:p>
            <w:pPr>
              <w:pStyle w:val="TableContents"/>
              <w:bidi w:val="0"/>
              <w:spacing w:before="0" w:after="283"/>
              <w:jc w:val="left"/>
              <w:rPr/>
            </w:pPr>
            <w:r>
              <w:rPr/>
              <w:t> </w:t>
            </w:r>
            <w:bookmarkStart w:id="229" w:name="xdx_435_c20241001__20241231_eus-gaap--St"/>
            <w:bookmarkEnd w:id="229"/>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30" w:name="xdx_984_eus-gaap--TemporaryEquitySharesO"/>
            <w:bookmarkEnd w:id="230"/>
          </w:p>
        </w:tc>
        <w:tc>
          <w:tcPr>
            <w:tcW w:w="422"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bookmarkStart w:id="231" w:name="xdx_986_eus-gaap--TemporaryEquityCarryin"/>
            <w:bookmarkEnd w:id="231"/>
          </w:p>
        </w:tc>
        <w:tc>
          <w:tcPr>
            <w:tcW w:w="48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3_eus-gaap--SharesOutstanding_iS_p"/>
            <w:bookmarkEnd w:id="232"/>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3" w:name="xdx_987_eus-gaap--SharesOutstanding_iS_p"/>
            <w:bookmarkEnd w:id="233"/>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212,991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5,530</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234" w:name="xdx_406_eus-gaap--StockIssuedDuringPerio"/>
            <w:bookmarkEnd w:id="234"/>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5" w:name="xdx_982_eus-gaap--StockIssuedDuringPerio"/>
            <w:bookmarkEnd w:id="235"/>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97" w:type="dxa"/>
            <w:tcBorders/>
            <w:shd w:fill="CCEEFF" w:val="clear"/>
            <w:vAlign w:val="center"/>
          </w:tcPr>
          <w:p>
            <w:pPr>
              <w:pStyle w:val="TableContents"/>
              <w:bidi w:val="0"/>
              <w:spacing w:before="0" w:after="283"/>
              <w:jc w:val="left"/>
              <w:rPr/>
            </w:pPr>
            <w:r>
              <w:rPr/>
              <w:t> </w:t>
            </w:r>
            <w:bookmarkStart w:id="236" w:name="xdx_406_eus-gaap--StockIssuedDuringPerio"/>
            <w:bookmarkEnd w:id="236"/>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Common Stock to Class A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7" w:name="xdx_98A_eus-gaap--StockIssuedDuringPerio"/>
            <w:bookmarkEnd w:id="237"/>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8" w:name="xdx_98A_eus-gaap--StockIssuedDuringPerio"/>
            <w:bookmarkEnd w:id="238"/>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bookmarkStart w:id="239" w:name="xdx_40F_ecustom--StockIssuedDuringPeriod"/>
            <w:bookmarkEnd w:id="239"/>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notes payable to Class A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0" w:name="xdx_983_ecustom--StockIssuedDuringPeriod"/>
            <w:bookmarkEnd w:id="240"/>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97" w:type="dxa"/>
            <w:tcBorders/>
            <w:shd w:fill="CCEEFF" w:val="clear"/>
            <w:vAlign w:val="center"/>
          </w:tcPr>
          <w:p>
            <w:pPr>
              <w:pStyle w:val="TableContents"/>
              <w:bidi w:val="0"/>
              <w:spacing w:before="0" w:after="283"/>
              <w:jc w:val="left"/>
              <w:rPr/>
            </w:pPr>
            <w:r>
              <w:rPr/>
              <w:t> </w:t>
            </w:r>
            <w:bookmarkStart w:id="241" w:name="xdx_403_eus-gaap--StockIssuedDuringPerio"/>
            <w:bookmarkEnd w:id="241"/>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2" w:name="xdx_98C_eus-gaap--StockIssuedDuringPerio"/>
            <w:bookmarkEnd w:id="242"/>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bookmarkStart w:id="243" w:name="xdx_407_eus-gaap--AdjustmentsToAdditiona"/>
            <w:bookmarkEnd w:id="243"/>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97" w:type="dxa"/>
            <w:tcBorders/>
            <w:shd w:fill="CCEEFF" w:val="clear"/>
            <w:vAlign w:val="center"/>
          </w:tcPr>
          <w:p>
            <w:pPr>
              <w:pStyle w:val="TableContents"/>
              <w:bidi w:val="0"/>
              <w:spacing w:before="0" w:after="283"/>
              <w:jc w:val="left"/>
              <w:rPr/>
            </w:pPr>
            <w:r>
              <w:rPr/>
              <w:t> </w:t>
            </w:r>
            <w:bookmarkStart w:id="244" w:name="xdx_404_eus-gaap--NetIncomeLoss_zqGiDa9W"/>
            <w:bookmarkEnd w:id="244"/>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245" w:name="xdx_43C_c20250101__20250331_eus-gaap--St"/>
            <w:bookmarkEnd w:id="245"/>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246" w:name="xdx_987_eus-gaap--TemporaryEquitySharesO"/>
            <w:bookmarkEnd w:id="246"/>
          </w:p>
        </w:tc>
        <w:tc>
          <w:tcPr>
            <w:tcW w:w="42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bookmarkStart w:id="247" w:name="xdx_986_eus-gaap--TemporaryEquityCarryin"/>
            <w:bookmarkEnd w:id="247"/>
          </w:p>
        </w:tc>
        <w:tc>
          <w:tcPr>
            <w:tcW w:w="48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8" w:name="xdx_987_eus-gaap--SharesOutstanding_iS_p"/>
            <w:bookmarkEnd w:id="248"/>
          </w:p>
        </w:tc>
        <w:tc>
          <w:tcPr>
            <w:tcW w:w="74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9" w:name="xdx_98E_eus-gaap--SharesOutstanding_iS_p"/>
            <w:bookmarkEnd w:id="249"/>
          </w:p>
        </w:tc>
        <w:tc>
          <w:tcPr>
            <w:tcW w:w="60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(124,296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(3,039</w:t>
            </w:r>
          </w:p>
        </w:tc>
        <w:tc>
          <w:tcPr>
            <w:tcW w:w="97"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250" w:name="xdx_40F_ecustom--StockIssuedDuringPeriod"/>
            <w:bookmarkEnd w:id="250"/>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1" w:name="xdx_988_ecustom--StockIssuedDuringPeriod"/>
            <w:bookmarkEnd w:id="251"/>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97" w:type="dxa"/>
            <w:tcBorders/>
            <w:shd w:fill="FFFFFF" w:val="clear"/>
            <w:vAlign w:val="center"/>
          </w:tcPr>
          <w:p>
            <w:pPr>
              <w:pStyle w:val="TableContents"/>
              <w:bidi w:val="0"/>
              <w:spacing w:before="0" w:after="283"/>
              <w:jc w:val="left"/>
              <w:rPr/>
            </w:pPr>
            <w:r>
              <w:rPr/>
              <w:t> </w:t>
            </w:r>
            <w:bookmarkStart w:id="252" w:name="xdx_401_ecustom--StockIssuedDuringPeriod"/>
            <w:bookmarkEnd w:id="252"/>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for amendment of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3" w:name="xdx_980_ecustom--StockIssuedDuringPeriod"/>
            <w:bookmarkEnd w:id="253"/>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97" w:type="dxa"/>
            <w:tcBorders/>
            <w:shd w:fill="CCEEFF" w:val="clear"/>
            <w:vAlign w:val="center"/>
          </w:tcPr>
          <w:p>
            <w:pPr>
              <w:pStyle w:val="TableContents"/>
              <w:bidi w:val="0"/>
              <w:spacing w:before="0" w:after="283"/>
              <w:jc w:val="left"/>
              <w:rPr/>
            </w:pPr>
            <w:r>
              <w:rPr/>
              <w:t> </w:t>
            </w:r>
            <w:bookmarkStart w:id="254" w:name="xdx_407_eus-gaap--StockIssuedDuringPerio"/>
            <w:bookmarkEnd w:id="254"/>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55" w:name="xdx_98E_eus-gaap--StockIssuedDuringPerio"/>
            <w:bookmarkEnd w:id="255"/>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bookmarkStart w:id="256" w:name="xdx_40B_ecustom--IssuanceOfCommonStockUp"/>
            <w:bookmarkEnd w:id="256"/>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57" w:name="xdx_98C_ecustom--IssuanceOfCommonStockUp"/>
            <w:bookmarkEnd w:id="257"/>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7" w:type="dxa"/>
            <w:tcBorders/>
            <w:shd w:fill="CCEEFF" w:val="clear"/>
            <w:vAlign w:val="center"/>
          </w:tcPr>
          <w:p>
            <w:pPr>
              <w:pStyle w:val="TableContents"/>
              <w:bidi w:val="0"/>
              <w:spacing w:before="0" w:after="283"/>
              <w:jc w:val="left"/>
              <w:rPr/>
            </w:pPr>
            <w:r>
              <w:rPr/>
              <w:t> </w:t>
            </w:r>
            <w:bookmarkStart w:id="258" w:name="xdx_407_eus-gaap--AdjustmentsToAdditiona"/>
            <w:bookmarkEnd w:id="258"/>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97" w:type="dxa"/>
            <w:tcBorders/>
            <w:shd w:fill="FFFFFF" w:val="clear"/>
            <w:vAlign w:val="center"/>
          </w:tcPr>
          <w:p>
            <w:pPr>
              <w:pStyle w:val="TableContents"/>
              <w:bidi w:val="0"/>
              <w:spacing w:before="0" w:after="283"/>
              <w:jc w:val="left"/>
              <w:rPr/>
            </w:pPr>
            <w:r>
              <w:rPr/>
              <w:t> </w:t>
            </w:r>
            <w:bookmarkStart w:id="259" w:name="xdx_40F_eus-gaap--NetIncomeLoss_zkIIuTyU"/>
            <w:bookmarkEnd w:id="259"/>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260" w:name="xdx_43F_c20250401__20250630_eus-gaap--St"/>
            <w:bookmarkEnd w:id="260"/>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261" w:name="xdx_98D_eus-gaap--TemporaryEquitySharesO"/>
            <w:bookmarkEnd w:id="261"/>
          </w:p>
        </w:tc>
        <w:tc>
          <w:tcPr>
            <w:tcW w:w="42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bookmarkStart w:id="262" w:name="xdx_98B_eus-gaap--TemporaryEquityCarryin"/>
            <w:bookmarkEnd w:id="262"/>
          </w:p>
        </w:tc>
        <w:tc>
          <w:tcPr>
            <w:tcW w:w="48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3" w:name="xdx_985_eus-gaap--SharesOutstanding_iS_p"/>
            <w:bookmarkEnd w:id="263"/>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4" w:name="xdx_984_eus-gaap--SharesOutstanding_iS_p"/>
            <w:bookmarkEnd w:id="264"/>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(126,587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bookmarkStart w:id="265" w:name="xdx_406_ecustom--StockIssuedDuringPeriod"/>
            <w:bookmarkEnd w:id="265"/>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and warrants in private placement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6" w:name="xdx_98F_ecustom--StockIssuedDuringPeriod"/>
            <w:bookmarkEnd w:id="266"/>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97" w:type="dxa"/>
            <w:tcBorders/>
            <w:shd w:fill="CCEEFF" w:val="clear"/>
            <w:vAlign w:val="center"/>
          </w:tcPr>
          <w:p>
            <w:pPr>
              <w:pStyle w:val="TableContents"/>
              <w:bidi w:val="0"/>
              <w:spacing w:before="0" w:after="283"/>
              <w:jc w:val="left"/>
              <w:rPr/>
            </w:pPr>
            <w:r>
              <w:rPr/>
              <w:t> </w:t>
            </w:r>
            <w:bookmarkStart w:id="267" w:name="xdx_40F_ecustom--StockIssuedDuringPeriod"/>
            <w:bookmarkEnd w:id="267"/>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68" w:name="xdx_98C_ecustom--StockIssuedDuringPeriod"/>
            <w:bookmarkEnd w:id="268"/>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97" w:type="dxa"/>
            <w:tcBorders/>
            <w:shd w:fill="FFFFFF" w:val="clear"/>
            <w:vAlign w:val="center"/>
          </w:tcPr>
          <w:p>
            <w:pPr>
              <w:pStyle w:val="TableContents"/>
              <w:bidi w:val="0"/>
              <w:spacing w:before="0" w:after="283"/>
              <w:jc w:val="left"/>
              <w:rPr/>
            </w:pPr>
            <w:r>
              <w:rPr/>
              <w:t> </w:t>
            </w:r>
            <w:bookmarkStart w:id="269" w:name="xdx_401_ecustom--StockIssuedDuringPeriod"/>
            <w:bookmarkEnd w:id="269"/>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for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0" w:name="xdx_98E_ecustom--StockIssuedDuringPeriod"/>
            <w:bookmarkEnd w:id="270"/>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97" w:type="dxa"/>
            <w:tcBorders/>
            <w:shd w:fill="CCEEFF" w:val="clear"/>
            <w:vAlign w:val="center"/>
          </w:tcPr>
          <w:p>
            <w:pPr>
              <w:pStyle w:val="TableContents"/>
              <w:bidi w:val="0"/>
              <w:spacing w:before="0" w:after="283"/>
              <w:jc w:val="left"/>
              <w:rPr/>
            </w:pPr>
            <w:r>
              <w:rPr/>
              <w:t> </w:t>
            </w:r>
            <w:bookmarkStart w:id="271" w:name="xdx_40B_eus-gaap--StockIssuedDuringPerio"/>
            <w:bookmarkEnd w:id="271"/>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restricted stock awards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2" w:name="xdx_983_eus-gaap--StockIssuedDuringPerio"/>
            <w:bookmarkEnd w:id="272"/>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3" w:name="xdx_983_eus-gaap--StockIssuedDuringPerio"/>
            <w:bookmarkEnd w:id="273"/>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bookmarkStart w:id="274" w:name="xdx_409_eus-gaap--StockIssuedDuringPerio"/>
            <w:bookmarkEnd w:id="274"/>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5" w:name="xdx_98F_eus-gaap--StockIssuedDuringPerio"/>
            <w:bookmarkEnd w:id="275"/>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bookmarkStart w:id="276" w:name="xdx_406_ecustom--IssuanceOfCommonStockUp"/>
            <w:bookmarkEnd w:id="276"/>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77" w:name="xdx_98C_ecustom--IssuanceOfCommonStockUp"/>
            <w:bookmarkEnd w:id="277"/>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97" w:type="dxa"/>
            <w:tcBorders/>
            <w:shd w:fill="FFFFFF" w:val="clear"/>
            <w:vAlign w:val="center"/>
          </w:tcPr>
          <w:p>
            <w:pPr>
              <w:pStyle w:val="TableContents"/>
              <w:bidi w:val="0"/>
              <w:spacing w:before="0" w:after="283"/>
              <w:jc w:val="left"/>
              <w:rPr/>
            </w:pPr>
            <w:r>
              <w:rPr/>
              <w:t> </w:t>
            </w:r>
            <w:bookmarkStart w:id="278" w:name="xdx_407_eus-gaap--AdjustmentsToAdditiona"/>
            <w:bookmarkEnd w:id="278"/>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97" w:type="dxa"/>
            <w:tcBorders/>
            <w:shd w:fill="CCEEFF" w:val="clear"/>
            <w:vAlign w:val="center"/>
          </w:tcPr>
          <w:p>
            <w:pPr>
              <w:pStyle w:val="TableContents"/>
              <w:bidi w:val="0"/>
              <w:spacing w:before="0" w:after="283"/>
              <w:jc w:val="left"/>
              <w:rPr/>
            </w:pPr>
            <w:r>
              <w:rPr/>
              <w:t> </w:t>
            </w:r>
            <w:bookmarkStart w:id="279" w:name="xdx_40F_eus-gaap--NetIncomeLoss_zlP0pUkk"/>
            <w:bookmarkEnd w:id="279"/>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bookmarkStart w:id="280" w:name="xdx_43C_c20250401__20250630_eus-gaap--St"/>
            <w:bookmarkEnd w:id="280"/>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1" w:name="xdx_98D_eus-gaap--TemporaryEquitySharesO"/>
            <w:bookmarkEnd w:id="281"/>
          </w:p>
        </w:tc>
        <w:tc>
          <w:tcPr>
            <w:tcW w:w="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bookmarkStart w:id="282" w:name="xdx_984_eus-gaap--TemporaryEquityCarryin"/>
            <w:bookmarkEnd w:id="282"/>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3" w:name="xdx_98D_eus-gaap--SharesOutstanding_iE_p"/>
            <w:bookmarkEnd w:id="283"/>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4,874,763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4" w:name="xdx_980_eus-gaap--SharesOutstanding_iE_p"/>
            <w:bookmarkEnd w:id="284"/>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(134,859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425</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85" w:name="F_004"/>
      <w:bookmarkEnd w:id="285"/>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6" w:name="xdx_301_112_pn3n3_zu69Jo6b3CA4"/>
      <w:bookmarkStart w:id="287" w:name="xdx_301_112_pn3n3_zu69Jo6b3CA4"/>
      <w:bookmarkEnd w:id="287"/>
    </w:p>
    <w:tbl>
      <w:tblPr>
        <w:tblW w:w="10077" w:type="dxa"/>
        <w:jc w:val="left"/>
        <w:tblInd w:w="0" w:type="dxa"/>
        <w:tblLayout w:type="fixed"/>
        <w:tblCellMar>
          <w:top w:w="0" w:type="dxa"/>
          <w:left w:w="0" w:type="dxa"/>
          <w:bottom w:w="0" w:type="dxa"/>
          <w:right w:w="0" w:type="dxa"/>
        </w:tblCellMar>
      </w:tblPr>
      <w:tblGrid>
        <w:gridCol w:w="7550"/>
        <w:gridCol w:w="60"/>
        <w:gridCol w:w="169"/>
        <w:gridCol w:w="916"/>
        <w:gridCol w:w="115"/>
        <w:gridCol w:w="72"/>
        <w:gridCol w:w="169"/>
        <w:gridCol w:w="916"/>
        <w:gridCol w:w="110"/>
      </w:tblGrid>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8" w:name="xdx_496_20251001__20260630_z8NTZeeLNrVh"/>
            <w:bookmarkEnd w:id="288"/>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bookmarkStart w:id="289" w:name="xdx_490_20241001__20250630_zPlBV4ay6wk4"/>
            <w:bookmarkEnd w:id="289"/>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90" w:name="xdx_40F_eus-gaap--NetCashProvidedByUsedI"/>
            <w:bookmarkEnd w:id="290"/>
          </w:p>
        </w:tc>
      </w:tr>
      <w:tr>
        <w:trPr/>
        <w:tc>
          <w:tcPr>
            <w:tcW w:w="755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1" w:name="xdx_405_eus-gaap--NetIncomeLoss_i01_maNC"/>
            <w:bookmarkEnd w:id="291"/>
          </w:p>
        </w:tc>
      </w:tr>
      <w:tr>
        <w:trPr/>
        <w:tc>
          <w:tcPr>
            <w:tcW w:w="7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(32,773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(30,402</w:t>
            </w:r>
          </w:p>
        </w:tc>
        <w:tc>
          <w:tcPr>
            <w:tcW w:w="110" w:type="dxa"/>
            <w:tcBorders/>
            <w:shd w:fill="FFFFFF" w:val="clear"/>
            <w:vAlign w:val="center"/>
          </w:tcPr>
          <w:p>
            <w:pPr>
              <w:pStyle w:val="TableContents"/>
              <w:bidi w:val="0"/>
              <w:spacing w:before="0" w:after="283"/>
              <w:jc w:val="left"/>
              <w:rPr/>
            </w:pPr>
            <w:r>
              <w:rPr/>
              <w:t>)</w:t>
            </w:r>
            <w:bookmarkStart w:id="292" w:name="xdx_40E_eus-gaap--AdjustmentsNoncashItem"/>
            <w:bookmarkEnd w:id="292"/>
          </w:p>
        </w:tc>
      </w:tr>
      <w:tr>
        <w:trPr/>
        <w:tc>
          <w:tcPr>
            <w:tcW w:w="755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3" w:name="xdx_400_eus-gaap--Depreciation_i02_maNCP"/>
            <w:bookmarkEnd w:id="293"/>
          </w:p>
        </w:tc>
      </w:tr>
      <w:tr>
        <w:trPr/>
        <w:tc>
          <w:tcPr>
            <w:tcW w:w="755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bookmarkStart w:id="294" w:name="xdx_40A_eus-gaap--AmortizationOfIntangib"/>
            <w:bookmarkEnd w:id="294"/>
          </w:p>
        </w:tc>
      </w:tr>
      <w:tr>
        <w:trPr/>
        <w:tc>
          <w:tcPr>
            <w:tcW w:w="755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1,195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1,285</w:t>
            </w:r>
          </w:p>
        </w:tc>
        <w:tc>
          <w:tcPr>
            <w:tcW w:w="110" w:type="dxa"/>
            <w:tcBorders/>
            <w:shd w:fill="CCEEFF" w:val="clear"/>
            <w:vAlign w:val="center"/>
          </w:tcPr>
          <w:p>
            <w:pPr>
              <w:pStyle w:val="TableContents"/>
              <w:bidi w:val="0"/>
              <w:spacing w:before="0" w:after="283"/>
              <w:jc w:val="left"/>
              <w:rPr/>
            </w:pPr>
            <w:r>
              <w:rPr/>
              <w:t> </w:t>
            </w:r>
            <w:bookmarkStart w:id="295" w:name="xdx_406_eus-gaap--ImpairmentOfLongLivedA"/>
            <w:bookmarkEnd w:id="295"/>
          </w:p>
        </w:tc>
      </w:tr>
      <w:tr>
        <w:trPr/>
        <w:tc>
          <w:tcPr>
            <w:tcW w:w="755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bookmarkStart w:id="296" w:name="xdx_400_eus-gaap--IssuanceOfStockAndWarr"/>
            <w:bookmarkEnd w:id="296"/>
          </w:p>
        </w:tc>
      </w:tr>
      <w:tr>
        <w:trPr/>
        <w:tc>
          <w:tcPr>
            <w:tcW w:w="7550" w:type="dxa"/>
            <w:tcBorders/>
            <w:shd w:fill="FFFF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7" w:name="xdx_409_ecustom--IssuanceOfWarrantsToPla"/>
            <w:bookmarkEnd w:id="297"/>
          </w:p>
        </w:tc>
      </w:tr>
      <w:tr>
        <w:trPr/>
        <w:tc>
          <w:tcPr>
            <w:tcW w:w="7550" w:type="dxa"/>
            <w:tcBorders/>
            <w:shd w:fill="CCEEFF" w:val="clear"/>
            <w:vAlign w:val="center"/>
          </w:tcPr>
          <w:p>
            <w:pPr>
              <w:pStyle w:val="TableContents"/>
              <w:bidi w:val="0"/>
              <w:spacing w:before="0" w:after="283"/>
              <w:jc w:val="left"/>
              <w:rPr/>
            </w:pPr>
            <w:r>
              <w:rPr/>
              <w:t>Issuance of warrants to placement agent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280</w:t>
            </w:r>
          </w:p>
        </w:tc>
        <w:tc>
          <w:tcPr>
            <w:tcW w:w="110" w:type="dxa"/>
            <w:tcBorders/>
            <w:shd w:fill="CCEEFF" w:val="clear"/>
            <w:vAlign w:val="center"/>
          </w:tcPr>
          <w:p>
            <w:pPr>
              <w:pStyle w:val="TableContents"/>
              <w:bidi w:val="0"/>
              <w:spacing w:before="0" w:after="283"/>
              <w:jc w:val="left"/>
              <w:rPr/>
            </w:pPr>
            <w:r>
              <w:rPr/>
              <w:t> </w:t>
            </w:r>
            <w:bookmarkStart w:id="298" w:name="xdx_407_ecustom--IssuanceOfCommonStockIn"/>
            <w:bookmarkEnd w:id="298"/>
          </w:p>
        </w:tc>
      </w:tr>
      <w:tr>
        <w:trPr/>
        <w:tc>
          <w:tcPr>
            <w:tcW w:w="7550" w:type="dxa"/>
            <w:tcBorders/>
            <w:shd w:fill="FFFFFF" w:val="clear"/>
            <w:vAlign w:val="center"/>
          </w:tcPr>
          <w:p>
            <w:pPr>
              <w:pStyle w:val="TableContents"/>
              <w:bidi w:val="0"/>
              <w:spacing w:before="0" w:after="283"/>
              <w:jc w:val="left"/>
              <w:rPr/>
            </w:pPr>
            <w:r>
              <w:rPr/>
              <w:t>Issuance of common stock for amendment of RaGE earnout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9" w:name="xdx_400_ecustom--ChangeInFairValueOfEarn"/>
            <w:bookmarkEnd w:id="299"/>
          </w:p>
        </w:tc>
      </w:tr>
      <w:tr>
        <w:trPr/>
        <w:tc>
          <w:tcPr>
            <w:tcW w:w="7550"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(960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w:t>
            </w:r>
            <w:bookmarkStart w:id="300" w:name="xdx_400_eus-gaap--FairValueAdjustmentOfW"/>
            <w:bookmarkEnd w:id="300"/>
          </w:p>
        </w:tc>
      </w:tr>
      <w:tr>
        <w:trPr/>
        <w:tc>
          <w:tcPr>
            <w:tcW w:w="7550"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320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bookmarkStart w:id="301" w:name="xdx_406_ecustom--ChangeInFairValueOfPIPE"/>
            <w:bookmarkEnd w:id="301"/>
          </w:p>
        </w:tc>
      </w:tr>
      <w:tr>
        <w:trPr/>
        <w:tc>
          <w:tcPr>
            <w:tcW w:w="755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2" w:name="xdx_402_eus-gaap--NoncashMergerRelatedCo"/>
            <w:bookmarkEnd w:id="302"/>
          </w:p>
        </w:tc>
      </w:tr>
      <w:tr>
        <w:trPr/>
        <w:tc>
          <w:tcPr>
            <w:tcW w:w="7550"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3" w:name="xdx_407_ecustom--PrivatePlacementCosts_i"/>
            <w:bookmarkEnd w:id="303"/>
          </w:p>
        </w:tc>
      </w:tr>
      <w:tr>
        <w:trPr/>
        <w:tc>
          <w:tcPr>
            <w:tcW w:w="755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4" w:name="xdx_406_ecustom--ChangeInFairValueOfNote"/>
            <w:bookmarkEnd w:id="304"/>
          </w:p>
        </w:tc>
      </w:tr>
      <w:tr>
        <w:trPr/>
        <w:tc>
          <w:tcPr>
            <w:tcW w:w="7550"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5" w:name="xdx_40D_ecustom--LossOnExtinguishmentOfN"/>
            <w:bookmarkEnd w:id="305"/>
          </w:p>
        </w:tc>
      </w:tr>
      <w:tr>
        <w:trPr/>
        <w:tc>
          <w:tcPr>
            <w:tcW w:w="7550" w:type="dxa"/>
            <w:tcBorders/>
            <w:shd w:fill="FFFFFF" w:val="clear"/>
            <w:vAlign w:val="center"/>
          </w:tcPr>
          <w:p>
            <w:pPr>
              <w:pStyle w:val="TableContents"/>
              <w:bidi w:val="0"/>
              <w:spacing w:before="0" w:after="283"/>
              <w:jc w:val="left"/>
              <w:rPr/>
            </w:pPr>
            <w:r>
              <w:rPr/>
              <w:t>Loss on extinguishment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4,218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bookmarkStart w:id="306" w:name="xdx_40E_ecustom--LossOnIssuanceOfPreferr"/>
            <w:bookmarkEnd w:id="306"/>
          </w:p>
        </w:tc>
      </w:tr>
      <w:tr>
        <w:trPr/>
        <w:tc>
          <w:tcPr>
            <w:tcW w:w="755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3,707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07" w:name="xdx_409_ecustom--NoncashPrivatePlacement"/>
            <w:bookmarkEnd w:id="307"/>
          </w:p>
        </w:tc>
      </w:tr>
      <w:tr>
        <w:trPr/>
        <w:tc>
          <w:tcPr>
            <w:tcW w:w="7550" w:type="dxa"/>
            <w:tcBorders/>
            <w:shd w:fill="FFFFFF" w:val="clear"/>
            <w:vAlign w:val="center"/>
          </w:tcPr>
          <w:p>
            <w:pPr>
              <w:pStyle w:val="TableContents"/>
              <w:bidi w:val="0"/>
              <w:spacing w:before="0" w:after="283"/>
              <w:jc w:val="left"/>
              <w:rPr/>
            </w:pPr>
            <w:r>
              <w:rPr/>
              <w:t>Noncash 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514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08" w:name="xdx_406_ecustom--FinancingCostsExpensed_"/>
            <w:bookmarkEnd w:id="308"/>
          </w:p>
        </w:tc>
      </w:tr>
      <w:tr>
        <w:trPr/>
        <w:tc>
          <w:tcPr>
            <w:tcW w:w="7550" w:type="dxa"/>
            <w:tcBorders/>
            <w:shd w:fill="CCEEFF" w:val="clear"/>
            <w:vAlign w:val="center"/>
          </w:tcPr>
          <w:p>
            <w:pPr>
              <w:pStyle w:val="TableContents"/>
              <w:bidi w:val="0"/>
              <w:spacing w:before="0" w:after="283"/>
              <w:jc w:val="left"/>
              <w:rPr/>
            </w:pPr>
            <w:r>
              <w:rPr/>
              <w:t>Noncash financing costs expensed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443</w:t>
            </w:r>
          </w:p>
        </w:tc>
        <w:tc>
          <w:tcPr>
            <w:tcW w:w="110" w:type="dxa"/>
            <w:tcBorders/>
            <w:shd w:fill="CCEEFF" w:val="clear"/>
            <w:vAlign w:val="center"/>
          </w:tcPr>
          <w:p>
            <w:pPr>
              <w:pStyle w:val="TableContents"/>
              <w:bidi w:val="0"/>
              <w:spacing w:before="0" w:after="283"/>
              <w:jc w:val="left"/>
              <w:rPr/>
            </w:pPr>
            <w:r>
              <w:rPr/>
              <w:t> </w:t>
            </w:r>
            <w:bookmarkStart w:id="309" w:name="xdx_404_eus-gaap--ShareBasedCompensation"/>
            <w:bookmarkEnd w:id="309"/>
          </w:p>
        </w:tc>
      </w:tr>
      <w:tr>
        <w:trPr/>
        <w:tc>
          <w:tcPr>
            <w:tcW w:w="75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9,941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20,256</w:t>
            </w:r>
          </w:p>
        </w:tc>
        <w:tc>
          <w:tcPr>
            <w:tcW w:w="110" w:type="dxa"/>
            <w:tcBorders/>
            <w:shd w:fill="FFFFFF" w:val="clear"/>
            <w:vAlign w:val="center"/>
          </w:tcPr>
          <w:p>
            <w:pPr>
              <w:pStyle w:val="TableContents"/>
              <w:bidi w:val="0"/>
              <w:spacing w:before="0" w:after="283"/>
              <w:jc w:val="left"/>
              <w:rPr/>
            </w:pPr>
            <w:r>
              <w:rPr/>
              <w:t> </w:t>
            </w:r>
            <w:bookmarkStart w:id="310" w:name="xdx_40E_eus-gaap--DeferredIncomeTaxExpen"/>
            <w:bookmarkEnd w:id="310"/>
          </w:p>
        </w:tc>
      </w:tr>
      <w:tr>
        <w:trPr/>
        <w:tc>
          <w:tcPr>
            <w:tcW w:w="755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bookmarkStart w:id="311" w:name="xdx_40C_eus-gaap--GainLossOnDispositionO"/>
            <w:bookmarkEnd w:id="311"/>
          </w:p>
        </w:tc>
      </w:tr>
      <w:tr>
        <w:trPr/>
        <w:tc>
          <w:tcPr>
            <w:tcW w:w="7550"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bookmarkStart w:id="312" w:name="xdx_401_eus-gaap--OtherNoncashIncomeExpe"/>
            <w:bookmarkEnd w:id="312"/>
          </w:p>
        </w:tc>
      </w:tr>
      <w:tr>
        <w:trPr/>
        <w:tc>
          <w:tcPr>
            <w:tcW w:w="755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(508</w:t>
            </w:r>
          </w:p>
        </w:tc>
        <w:tc>
          <w:tcPr>
            <w:tcW w:w="110" w:type="dxa"/>
            <w:tcBorders/>
            <w:shd w:fill="CCEEFF" w:val="clear"/>
            <w:vAlign w:val="center"/>
          </w:tcPr>
          <w:p>
            <w:pPr>
              <w:pStyle w:val="TableContents"/>
              <w:bidi w:val="0"/>
              <w:spacing w:before="0" w:after="283"/>
              <w:jc w:val="left"/>
              <w:rPr/>
            </w:pPr>
            <w:r>
              <w:rPr/>
              <w:t>)</w:t>
            </w:r>
            <w:bookmarkStart w:id="313" w:name="xdx_40D_eus-gaap--IncreaseDecreaseInOper"/>
            <w:bookmarkEnd w:id="313"/>
          </w:p>
        </w:tc>
      </w:tr>
      <w:tr>
        <w:trPr/>
        <w:tc>
          <w:tcPr>
            <w:tcW w:w="755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14" w:name="xdx_40D_eus-gaap--IncreaseDecreaseInAcco"/>
            <w:bookmarkEnd w:id="314"/>
          </w:p>
        </w:tc>
      </w:tr>
      <w:tr>
        <w:trPr/>
        <w:tc>
          <w:tcPr>
            <w:tcW w:w="75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bookmarkStart w:id="315" w:name="xdx_406_eus-gaap--IncreaseDecreaseInInve"/>
            <w:bookmarkEnd w:id="315"/>
          </w:p>
        </w:tc>
      </w:tr>
      <w:tr>
        <w:trPr/>
        <w:tc>
          <w:tcPr>
            <w:tcW w:w="755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479</w:t>
            </w:r>
          </w:p>
        </w:tc>
        <w:tc>
          <w:tcPr>
            <w:tcW w:w="110" w:type="dxa"/>
            <w:tcBorders/>
            <w:shd w:fill="FFFFFF" w:val="clear"/>
            <w:vAlign w:val="center"/>
          </w:tcPr>
          <w:p>
            <w:pPr>
              <w:pStyle w:val="TableContents"/>
              <w:bidi w:val="0"/>
              <w:spacing w:before="0" w:after="283"/>
              <w:jc w:val="left"/>
              <w:rPr/>
            </w:pPr>
            <w:r>
              <w:rPr/>
              <w:t> </w:t>
            </w:r>
            <w:bookmarkStart w:id="316" w:name="xdx_404_eus-gaap--IncreaseDecreaseInPrep"/>
            <w:bookmarkEnd w:id="316"/>
          </w:p>
        </w:tc>
      </w:tr>
      <w:tr>
        <w:trPr/>
        <w:tc>
          <w:tcPr>
            <w:tcW w:w="755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(1,100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bookmarkStart w:id="317" w:name="xdx_40F_eus-gaap--IncreaseDecreaseInAcco"/>
            <w:bookmarkEnd w:id="317"/>
          </w:p>
        </w:tc>
      </w:tr>
      <w:tr>
        <w:trPr/>
        <w:tc>
          <w:tcPr>
            <w:tcW w:w="75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(2,835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bookmarkStart w:id="318" w:name="xdx_405_eus-gaap--IncreaseDecreaseInAccr"/>
            <w:bookmarkEnd w:id="318"/>
          </w:p>
        </w:tc>
      </w:tr>
      <w:tr>
        <w:trPr/>
        <w:tc>
          <w:tcPr>
            <w:tcW w:w="75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10" w:type="dxa"/>
            <w:tcBorders/>
            <w:shd w:fill="CCEEFF" w:val="clear"/>
            <w:vAlign w:val="center"/>
          </w:tcPr>
          <w:p>
            <w:pPr>
              <w:pStyle w:val="TableContents"/>
              <w:bidi w:val="0"/>
              <w:spacing w:before="0" w:after="283"/>
              <w:jc w:val="left"/>
              <w:rPr/>
            </w:pPr>
            <w:r>
              <w:rPr/>
              <w:t> </w:t>
            </w:r>
            <w:bookmarkStart w:id="319" w:name="xdx_403_eus-gaap--NetCashProvidedByUsedI"/>
            <w:bookmarkEnd w:id="319"/>
          </w:p>
        </w:tc>
      </w:tr>
      <w:tr>
        <w:trPr/>
        <w:tc>
          <w:tcPr>
            <w:tcW w:w="755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(14,719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0" w:name="xdx_40C_eus-gaap--NetCashProvidedByUsedI"/>
            <w:bookmarkEnd w:id="320"/>
          </w:p>
        </w:tc>
      </w:tr>
      <w:tr>
        <w:trPr/>
        <w:tc>
          <w:tcPr>
            <w:tcW w:w="755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1" w:name="xdx_401_eus-gaap--ProceedsFromSaleOfProd"/>
            <w:bookmarkEnd w:id="321"/>
          </w:p>
        </w:tc>
      </w:tr>
      <w:tr>
        <w:trPr/>
        <w:tc>
          <w:tcPr>
            <w:tcW w:w="755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bookmarkStart w:id="322" w:name="xdx_404_eus-gaap--PaymentsToAcquirePrope"/>
            <w:bookmarkEnd w:id="322"/>
          </w:p>
        </w:tc>
      </w:tr>
      <w:tr>
        <w:trPr/>
        <w:tc>
          <w:tcPr>
            <w:tcW w:w="755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bookmarkStart w:id="323" w:name="xdx_404_eus-gaap--PaymentsToAcquireBusin"/>
            <w:bookmarkEnd w:id="323"/>
          </w:p>
        </w:tc>
      </w:tr>
      <w:tr>
        <w:trPr/>
        <w:tc>
          <w:tcPr>
            <w:tcW w:w="7550" w:type="dxa"/>
            <w:tcBorders/>
            <w:shd w:fill="FFFFFF" w:val="clear"/>
            <w:vAlign w:val="center"/>
          </w:tcPr>
          <w:p>
            <w:pPr>
              <w:pStyle w:val="TableContents"/>
              <w:bidi w:val="0"/>
              <w:spacing w:before="0" w:after="283"/>
              <w:jc w:val="left"/>
              <w:rPr/>
            </w:pPr>
            <w:r>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4" w:name="xdx_402_eus-gaap--NetCashProvidedByUsedI"/>
            <w:bookmarkEnd w:id="324"/>
          </w:p>
        </w:tc>
      </w:tr>
      <w:tr>
        <w:trPr/>
        <w:tc>
          <w:tcPr>
            <w:tcW w:w="7550"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25" w:name="xdx_408_eus-gaap--NetCashProvidedByUsedI"/>
            <w:bookmarkEnd w:id="325"/>
          </w:p>
        </w:tc>
      </w:tr>
      <w:tr>
        <w:trPr/>
        <w:tc>
          <w:tcPr>
            <w:tcW w:w="755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26" w:name="xdx_40F_eus-gaap--ProceedsFromIssuanceOf"/>
            <w:bookmarkEnd w:id="326"/>
          </w:p>
        </w:tc>
      </w:tr>
      <w:tr>
        <w:trPr/>
        <w:tc>
          <w:tcPr>
            <w:tcW w:w="7550" w:type="dxa"/>
            <w:tcBorders/>
            <w:shd w:fill="FFFFFF" w:val="clear"/>
            <w:vAlign w:val="center"/>
          </w:tcPr>
          <w:p>
            <w:pPr>
              <w:pStyle w:val="TableContents"/>
              <w:bidi w:val="0"/>
              <w:spacing w:before="0" w:after="283"/>
              <w:jc w:val="left"/>
              <w:rPr/>
            </w:pPr>
            <w:r>
              <w:rPr/>
              <w:t>Proceeds from sale of common stock and warrants in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3,645</w:t>
            </w:r>
          </w:p>
        </w:tc>
        <w:tc>
          <w:tcPr>
            <w:tcW w:w="110" w:type="dxa"/>
            <w:tcBorders/>
            <w:shd w:fill="FFFFFF" w:val="clear"/>
            <w:vAlign w:val="center"/>
          </w:tcPr>
          <w:p>
            <w:pPr>
              <w:pStyle w:val="TableContents"/>
              <w:bidi w:val="0"/>
              <w:spacing w:before="0" w:after="283"/>
              <w:jc w:val="left"/>
              <w:rPr/>
            </w:pPr>
            <w:r>
              <w:rPr/>
              <w:t> </w:t>
            </w:r>
            <w:bookmarkStart w:id="327" w:name="xdx_405_eus-gaap--ProceedsFromIssuanceOf"/>
            <w:bookmarkEnd w:id="327"/>
          </w:p>
        </w:tc>
      </w:tr>
      <w:tr>
        <w:trPr/>
        <w:tc>
          <w:tcPr>
            <w:tcW w:w="755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bookmarkStart w:id="328" w:name="xdx_40B_ecustom--ProceedsFromIssuanceOfP"/>
            <w:bookmarkEnd w:id="328"/>
          </w:p>
        </w:tc>
      </w:tr>
      <w:tr>
        <w:trPr/>
        <w:tc>
          <w:tcPr>
            <w:tcW w:w="7550" w:type="dxa"/>
            <w:tcBorders/>
            <w:shd w:fill="FFFFFF" w:val="clear"/>
            <w:vAlign w:val="center"/>
          </w:tcPr>
          <w:p>
            <w:pPr>
              <w:pStyle w:val="TableContents"/>
              <w:bidi w:val="0"/>
              <w:spacing w:before="0" w:after="283"/>
              <w:jc w:val="left"/>
              <w:rPr/>
            </w:pPr>
            <w:r>
              <w:rPr/>
              <w:t>Proceeds from issuance of preferred shares and liability-classified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1,975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29" w:name="xdx_408_eus-gaap--ProceedsFromStockOptio"/>
            <w:bookmarkEnd w:id="329"/>
          </w:p>
        </w:tc>
      </w:tr>
      <w:tr>
        <w:trPr/>
        <w:tc>
          <w:tcPr>
            <w:tcW w:w="755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30" w:name="xdx_400_ecustom--ProceedsFromIssuanceOfC"/>
            <w:bookmarkEnd w:id="330"/>
          </w:p>
        </w:tc>
      </w:tr>
      <w:tr>
        <w:trPr/>
        <w:tc>
          <w:tcPr>
            <w:tcW w:w="7550" w:type="dxa"/>
            <w:tcBorders/>
            <w:shd w:fill="FFFFFF" w:val="clear"/>
            <w:vAlign w:val="center"/>
          </w:tcPr>
          <w:p>
            <w:pPr>
              <w:pStyle w:val="TableContents"/>
              <w:bidi w:val="0"/>
              <w:spacing w:before="0" w:after="283"/>
              <w:jc w:val="left"/>
              <w:rPr/>
            </w:pPr>
            <w:r>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5,360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31" w:name="xdx_40C_eus-gaap--ProceedsFromWarrantExe"/>
            <w:bookmarkEnd w:id="331"/>
          </w:p>
        </w:tc>
      </w:tr>
      <w:tr>
        <w:trPr/>
        <w:tc>
          <w:tcPr>
            <w:tcW w:w="755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bookmarkStart w:id="332" w:name="xdx_401_eus-gaap--ProceedsFromNotesPayab"/>
            <w:bookmarkEnd w:id="332"/>
          </w:p>
        </w:tc>
      </w:tr>
      <w:tr>
        <w:trPr/>
        <w:tc>
          <w:tcPr>
            <w:tcW w:w="7550"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8,649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bookmarkStart w:id="333" w:name="xdx_40F_eus-gaap--RepaymentsOfNotesPayab"/>
            <w:bookmarkEnd w:id="333"/>
          </w:p>
        </w:tc>
      </w:tr>
      <w:tr>
        <w:trPr/>
        <w:tc>
          <w:tcPr>
            <w:tcW w:w="755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(2,842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bookmarkStart w:id="334" w:name="xdx_40E_eus-gaap--RepaymentsOfRelatedPar"/>
            <w:bookmarkEnd w:id="334"/>
          </w:p>
        </w:tc>
      </w:tr>
      <w:tr>
        <w:trPr/>
        <w:tc>
          <w:tcPr>
            <w:tcW w:w="755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(854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bookmarkStart w:id="335" w:name="xdx_406_ecustom--DeferredConsiderationPa"/>
            <w:bookmarkEnd w:id="335"/>
          </w:p>
        </w:tc>
      </w:tr>
      <w:tr>
        <w:trPr/>
        <w:tc>
          <w:tcPr>
            <w:tcW w:w="7550"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336" w:name="xdx_404_ecustom--ProceedsFromTheMergerAn"/>
            <w:bookmarkEnd w:id="336"/>
          </w:p>
        </w:tc>
      </w:tr>
      <w:tr>
        <w:trPr/>
        <w:tc>
          <w:tcPr>
            <w:tcW w:w="7550" w:type="dxa"/>
            <w:tcBorders/>
            <w:shd w:fill="CCEEFF" w:val="clear"/>
            <w:vAlign w:val="center"/>
          </w:tcPr>
          <w:p>
            <w:pPr>
              <w:pStyle w:val="TableContents"/>
              <w:bidi w:val="0"/>
              <w:spacing w:before="0" w:after="283"/>
              <w:jc w:val="left"/>
              <w:rPr/>
            </w:pPr>
            <w:r>
              <w:rPr/>
              <w:t>Proceeds from the Merger and PIPE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7" w:name="xdx_40B_eus-gaap--PaymentsOfStockIssuanc"/>
            <w:bookmarkEnd w:id="337"/>
          </w:p>
        </w:tc>
      </w:tr>
      <w:tr>
        <w:trPr/>
        <w:tc>
          <w:tcPr>
            <w:tcW w:w="755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8" w:name="xdx_400_eus-gaap--NetCashProvidedByUsedI"/>
            <w:bookmarkEnd w:id="338"/>
          </w:p>
        </w:tc>
      </w:tr>
      <w:tr>
        <w:trPr/>
        <w:tc>
          <w:tcPr>
            <w:tcW w:w="75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13,597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5,563</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9" w:name="xdx_40A_eus-gaap--CashCashEquivalentsRes"/>
            <w:bookmarkEnd w:id="339"/>
          </w:p>
        </w:tc>
      </w:tr>
      <w:tr>
        <w:trPr/>
        <w:tc>
          <w:tcPr>
            <w:tcW w:w="755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bookmarkStart w:id="340" w:name="xdx_40F_eus-gaap--CashCashEquivalentsRes"/>
            <w:bookmarkEnd w:id="340"/>
          </w:p>
        </w:tc>
      </w:tr>
      <w:tr>
        <w:trPr/>
        <w:tc>
          <w:tcPr>
            <w:tcW w:w="755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bookmarkStart w:id="341" w:name="xdx_40D_eus-gaap--CashCashEquivalentsRes"/>
            <w:bookmarkEnd w:id="341"/>
          </w:p>
        </w:tc>
      </w:tr>
      <w:tr>
        <w:trPr/>
        <w:tc>
          <w:tcPr>
            <w:tcW w:w="755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42" w:name="xdx_403_eus-gaap--SupplementalCashFlowIn"/>
            <w:bookmarkEnd w:id="342"/>
          </w:p>
        </w:tc>
      </w:tr>
      <w:tr>
        <w:trPr/>
        <w:tc>
          <w:tcPr>
            <w:tcW w:w="755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43" w:name="xdx_402_eus-gaap--InterestPaidNet_i01_zg"/>
            <w:bookmarkEnd w:id="343"/>
          </w:p>
        </w:tc>
      </w:tr>
      <w:tr>
        <w:trPr/>
        <w:tc>
          <w:tcPr>
            <w:tcW w:w="75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1,706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jc w:val="left"/>
              <w:rPr/>
            </w:pPr>
            <w:r>
              <w:rPr/>
              <w:t> </w:t>
            </w:r>
            <w:bookmarkStart w:id="344" w:name="xdx_404_eus-gaap--IncomeTaxesPaid_i01_zy"/>
            <w:bookmarkEnd w:id="344"/>
          </w:p>
        </w:tc>
      </w:tr>
      <w:tr>
        <w:trPr/>
        <w:tc>
          <w:tcPr>
            <w:tcW w:w="755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45" w:name="xdx_405_eus-gaap--CashFlowNoncashInvesti"/>
            <w:bookmarkEnd w:id="345"/>
          </w:p>
        </w:tc>
      </w:tr>
      <w:tr>
        <w:trPr/>
        <w:tc>
          <w:tcPr>
            <w:tcW w:w="755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46" w:name="xdx_402_ecustom--SettlementOfNotesPayabl"/>
            <w:bookmarkEnd w:id="346"/>
          </w:p>
        </w:tc>
      </w:tr>
      <w:tr>
        <w:trPr/>
        <w:tc>
          <w:tcPr>
            <w:tcW w:w="7550"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10,561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7" w:name="F_005"/>
      <w:bookmarkStart w:id="348" w:name="xdx_80B_eus-gaap--OrganizationConsolidat"/>
      <w:bookmarkEnd w:id="347"/>
      <w:bookmarkEnd w:id="348"/>
      <w:r>
        <w:rPr>
          <w:rFonts w:ascii="Times New Roman;Times;Serif" w:hAnsi="Times New Roman;Times;Serif"/>
          <w:b/>
          <w:i w:val="false"/>
          <w:caps w:val="false"/>
          <w:smallCaps w:val="false"/>
          <w:sz w:val="20"/>
        </w:rPr>
        <w:t xml:space="preserve">Note 1 — </w:t>
      </w:r>
      <w:bookmarkStart w:id="349" w:name="xdx_822_zVwjAaPvq4T5"/>
      <w:bookmarkEnd w:id="349"/>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w:t>
      </w:r>
      <w:bookmarkStart w:id="350" w:name="xdx_90D_eus-gaap--OperatingIncomeLoss_iN"/>
      <w:bookmarkEnd w:id="350"/>
      <w:r>
        <w:rPr>
          <w:rFonts w:ascii="Times New Roman;Times;Serif" w:hAnsi="Times New Roman;Times;Serif"/>
          <w:b w:val="false"/>
          <w:i w:val="false"/>
          <w:caps w:val="false"/>
          <w:smallCaps w:val="false"/>
          <w:sz w:val="20"/>
        </w:rPr>
        <w:t>22,278 for the nine months ended June 30, 2026 and incurred losses from operations of $</w:t>
      </w:r>
      <w:bookmarkStart w:id="351" w:name="xdx_909_eus-gaap--OperatingIncomeLoss_iN"/>
      <w:bookmarkEnd w:id="351"/>
      <w:r>
        <w:rPr>
          <w:rFonts w:ascii="Times New Roman;Times;Serif" w:hAnsi="Times New Roman;Times;Serif"/>
          <w:b w:val="false"/>
          <w:i w:val="false"/>
          <w:caps w:val="false"/>
          <w:smallCaps w:val="false"/>
          <w:sz w:val="20"/>
        </w:rPr>
        <w:t>37,693 and $</w:t>
      </w:r>
      <w:bookmarkStart w:id="352" w:name="xdx_90C_eus-gaap--OperatingIncomeLoss_iN"/>
      <w:bookmarkEnd w:id="352"/>
      <w:r>
        <w:rPr>
          <w:rFonts w:ascii="Times New Roman;Times;Serif" w:hAnsi="Times New Roman;Times;Serif"/>
          <w:b w:val="false"/>
          <w:i w:val="false"/>
          <w:caps w:val="false"/>
          <w:smallCaps w:val="false"/>
          <w:sz w:val="20"/>
        </w:rPr>
        <w:t>46,395 for the years ended September 30, 2025 and 2024, respectively. Additionally, the Company had negative cash flows from operations of $</w:t>
      </w:r>
      <w:bookmarkStart w:id="353" w:name="xdx_908_eus-gaap--NetCashProvidedByUsedI"/>
      <w:bookmarkEnd w:id="353"/>
      <w:r>
        <w:rPr>
          <w:rFonts w:ascii="Times New Roman;Times;Serif" w:hAnsi="Times New Roman;Times;Serif"/>
          <w:b w:val="false"/>
          <w:i w:val="false"/>
          <w:caps w:val="false"/>
          <w:smallCaps w:val="false"/>
          <w:sz w:val="20"/>
        </w:rPr>
        <w:t>14,719 for the nine months ended June 30, 2026 and negative cash flows from operations of $</w:t>
      </w:r>
      <w:bookmarkStart w:id="354" w:name="xdx_90D_eus-gaap--NetCashProvidedByUsedI"/>
      <w:bookmarkEnd w:id="354"/>
      <w:r>
        <w:rPr>
          <w:rFonts w:ascii="Times New Roman;Times;Serif" w:hAnsi="Times New Roman;Times;Serif"/>
          <w:b w:val="false"/>
          <w:i w:val="false"/>
          <w:caps w:val="false"/>
          <w:smallCaps w:val="false"/>
          <w:sz w:val="20"/>
        </w:rPr>
        <w:t>10,113 and $</w:t>
      </w:r>
      <w:bookmarkStart w:id="355" w:name="xdx_906_eus-gaap--NetCashProvidedByUsedI"/>
      <w:bookmarkEnd w:id="355"/>
      <w:r>
        <w:rPr>
          <w:rFonts w:ascii="Times New Roman;Times;Serif" w:hAnsi="Times New Roman;Times;Serif"/>
          <w:b w:val="false"/>
          <w:i w:val="false"/>
          <w:caps w:val="false"/>
          <w:smallCaps w:val="false"/>
          <w:sz w:val="20"/>
        </w:rPr>
        <w:t>18,388 for the years ended September 30, 2025 and 2024, respectively. As of June 30, 2026, the Company had cash on hand of $</w:t>
      </w:r>
      <w:bookmarkStart w:id="356" w:name="xdx_905_eus-gaap--Cash_iI_pn3n3_c2026063"/>
      <w:bookmarkEnd w:id="356"/>
      <w:r>
        <w:rPr>
          <w:rFonts w:ascii="Times New Roman;Times;Serif" w:hAnsi="Times New Roman;Times;Serif"/>
          <w:b w:val="false"/>
          <w:i w:val="false"/>
          <w:caps w:val="false"/>
          <w:smallCaps w:val="false"/>
          <w:sz w:val="20"/>
        </w:rPr>
        <w:t>2,142 and an accumulated deficit of $</w:t>
      </w:r>
      <w:bookmarkStart w:id="357" w:name="xdx_902_eus-gaap--RetainedEarningsAccumu"/>
      <w:bookmarkEnd w:id="357"/>
      <w:r>
        <w:rPr>
          <w:rFonts w:ascii="Times New Roman;Times;Serif" w:hAnsi="Times New Roman;Times;Serif"/>
          <w:b w:val="false"/>
          <w:i w:val="false"/>
          <w:caps w:val="false"/>
          <w:smallCaps w:val="false"/>
          <w:sz w:val="20"/>
        </w:rPr>
        <w:t>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8" w:name="xdx_803_eus-gaap--BasisOfPresentationAnd"/>
      <w:bookmarkEnd w:id="358"/>
      <w:r>
        <w:rPr>
          <w:rFonts w:ascii="Times New Roman;Times;Serif" w:hAnsi="Times New Roman;Times;Serif"/>
          <w:b/>
          <w:i w:val="false"/>
          <w:caps w:val="false"/>
          <w:smallCaps w:val="false"/>
          <w:sz w:val="20"/>
        </w:rPr>
        <w:t xml:space="preserve">Note 2 — </w:t>
      </w:r>
      <w:bookmarkStart w:id="359" w:name="xdx_82E_z6bwHd4yuMjg"/>
      <w:bookmarkEnd w:id="359"/>
      <w:r>
        <w:rPr>
          <w:rFonts w:ascii="Times New Roman;Times;Serif" w:hAnsi="Times New Roman;Times;Serif"/>
          <w:b/>
          <w:i w:val="false"/>
          <w:caps w:val="false"/>
          <w:smallCaps w:val="false"/>
          <w:sz w:val="20"/>
        </w:rPr>
        <w:t>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0" w:name="xdx_848_eus-gaap--BasisOfAccountingPolic"/>
      <w:bookmarkEnd w:id="360"/>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1" w:name="xdx_84B_eus-gaap--ConsolidationPolicyTex"/>
      <w:bookmarkEnd w:id="361"/>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2" w:name="xdx_842_eus-gaap--UseOfEstimates_zbfuiKv"/>
      <w:bookmarkEnd w:id="362"/>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liability-classified warrants, bifurcated derivatives, and certain debt instruments;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3" w:name="xdx_84D_ecustom--SignificantAccountingPo"/>
      <w:bookmarkEnd w:id="363"/>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4" w:name="xdx_846_eus-gaap--DerivativesPolicyTextB"/>
      <w:bookmarkEnd w:id="364"/>
      <w:r>
        <w:rPr>
          <w:rFonts w:ascii="Times New Roman;Times;Serif" w:hAnsi="Times New Roman;Times;Serif"/>
          <w:b w:val="false"/>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5" w:name="xdx_84A_eus-gaap--ImpairmentOrDisposalOf"/>
      <w:bookmarkEnd w:id="365"/>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w:t>
      </w:r>
      <w:bookmarkStart w:id="366" w:name="xdx_901_eus-gaap--ImpairmentOfLongLivedA"/>
      <w:bookmarkEnd w:id="366"/>
      <w:r>
        <w:rPr>
          <w:rFonts w:ascii="Times New Roman;Times;Serif" w:hAnsi="Times New Roman;Times;Serif"/>
          <w:b w:val="false"/>
          <w:i w:val="false"/>
          <w:caps w:val="false"/>
          <w:smallCaps w:val="false"/>
          <w:sz w:val="20"/>
        </w:rPr>
        <w:t xml:space="preserve">725 for the three months and nine months ended June 30, 2025. See Note 8,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367" w:name="xdx_845_eus-gaap--GoodwillAndIntangibleA"/>
      <w:bookmarkEnd w:id="367"/>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pStyle w:val="TextBody"/>
        <w:bidi w:val="0"/>
        <w:spacing w:before="0" w:after="0"/>
        <w:ind w:left="0" w:right="0" w:hanging="0"/>
        <w:jc w:val="both"/>
        <w:rPr>
          <w:caps w:val="false"/>
          <w:smallCaps w:val="false"/>
        </w:rPr>
      </w:pPr>
      <w:bookmarkStart w:id="368" w:name="xdx_85B_zldMJPnE5vvh"/>
      <w:bookmarkEnd w:id="36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9" w:name="xdx_805_eus-gaap--InventoryDisclosureTex"/>
      <w:bookmarkEnd w:id="369"/>
      <w:r>
        <w:rPr>
          <w:rFonts w:ascii="Times New Roman;Times;Serif" w:hAnsi="Times New Roman;Times;Serif"/>
          <w:b/>
          <w:i w:val="false"/>
          <w:caps w:val="false"/>
          <w:smallCaps w:val="false"/>
          <w:sz w:val="20"/>
        </w:rPr>
        <w:t xml:space="preserve">Note 3 — </w:t>
      </w:r>
      <w:bookmarkStart w:id="370" w:name="xdx_82A_zve7Aq1GQGg3"/>
      <w:bookmarkEnd w:id="370"/>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71" w:name="xdx_898_eus-gaap--ScheduleOfInventoryCur"/>
      <w:bookmarkEnd w:id="371"/>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bookmarkStart w:id="372" w:name="xdx_8BF_z0QPlH9W83ek"/>
      <w:bookmarkEnd w:id="372"/>
      <w:r>
        <w:rPr>
          <w:rFonts w:ascii="Times New Roman;Times;Serif" w:hAnsi="Times New Roman;Times;Serif"/>
          <w:b w:val="false"/>
          <w:i w:val="false"/>
          <w:caps w:val="false"/>
          <w:smallCaps w:val="false"/>
          <w:sz w:val="20"/>
        </w:rPr>
        <w:t>Schedule of Inventory</w:t>
      </w:r>
    </w:p>
    <w:tbl>
      <w:tblPr>
        <w:tblW w:w="517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403"/>
        <w:gridCol w:w="1612"/>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F_20260630_zqRhSY8iTGT6"/>
            <w:bookmarkEnd w:id="373"/>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4" w:name="xdx_490_20250930_ziDzHfce9CB7"/>
            <w:bookmarkEnd w:id="374"/>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75" w:name="xdx_407_eus-gaap--InventoryRawMaterials_"/>
            <w:bookmarkEnd w:id="375"/>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bookmarkStart w:id="376" w:name="xdx_406_eus-gaap--InventoryFinishedGoods"/>
            <w:bookmarkEnd w:id="376"/>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bookmarkStart w:id="377" w:name="xdx_402_eus-gaap--InventoryNet_iTI_pn3n3"/>
            <w:bookmarkEnd w:id="377"/>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8" w:name="xdx_8A7_zFUUlcRjxQ48"/>
      <w:bookmarkEnd w:id="378"/>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9" w:name="xdx_80E_eus-gaap--PropertyPlantAndEquipm"/>
      <w:bookmarkEnd w:id="379"/>
      <w:r>
        <w:rPr>
          <w:rFonts w:ascii="Times New Roman;Times;Serif" w:hAnsi="Times New Roman;Times;Serif"/>
          <w:b/>
          <w:i w:val="false"/>
          <w:caps w:val="false"/>
          <w:smallCaps w:val="false"/>
          <w:sz w:val="20"/>
        </w:rPr>
        <w:t xml:space="preserve">Note 4 — </w:t>
      </w:r>
      <w:bookmarkStart w:id="380" w:name="xdx_829_zRvlrMfQ8UY9"/>
      <w:bookmarkEnd w:id="380"/>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81" w:name="xdx_893_eus-gaap--PropertyPlantAndEquipm"/>
      <w:bookmarkEnd w:id="381"/>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bookmarkStart w:id="382" w:name="xdx_8BA_zLXI7ZyjB7z5"/>
      <w:bookmarkEnd w:id="382"/>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645"/>
        <w:gridCol w:w="60"/>
        <w:gridCol w:w="4144"/>
        <w:gridCol w:w="60"/>
        <w:gridCol w:w="247"/>
        <w:gridCol w:w="990"/>
        <w:gridCol w:w="95"/>
        <w:gridCol w:w="60"/>
        <w:gridCol w:w="358"/>
        <w:gridCol w:w="1433"/>
        <w:gridCol w:w="113"/>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bookmarkStart w:id="383" w:name="xdx_499_20260630_zuSzxLVyllJ9"/>
            <w:bookmarkEnd w:id="383"/>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4" w:name="xdx_49B_20250930_zf2pRrYJssWc"/>
            <w:bookmarkEnd w:id="384"/>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385" w:name="xdx_40F_eus-gaap--PropertyPlantAndEquipm"/>
            <w:bookmarkEnd w:id="385"/>
          </w:p>
        </w:tc>
      </w:tr>
      <w:tr>
        <w:trPr/>
        <w:tc>
          <w:tcPr>
            <w:tcW w:w="264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bookmarkStart w:id="386" w:name="xdx_90F_eus-gaap--PropertyPlantAndEquipm"/>
            <w:bookmarkEnd w:id="386"/>
            <w:r>
              <w:rPr/>
              <w:t xml:space="preserve">5 - </w:t>
            </w:r>
            <w:bookmarkStart w:id="387" w:name="xdx_907_eus-gaap--PropertyPlantAndEquipm"/>
            <w:bookmarkEnd w:id="387"/>
            <w:r>
              <w:rPr/>
              <w:t>7</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bookmarkStart w:id="388" w:name="xdx_40C_eus-gaap--PropertyPlantAndEquipm"/>
            <w:bookmarkEnd w:id="388"/>
          </w:p>
        </w:tc>
      </w:tr>
      <w:tr>
        <w:trPr/>
        <w:tc>
          <w:tcPr>
            <w:tcW w:w="264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center"/>
              <w:rPr/>
            </w:pPr>
            <w:bookmarkStart w:id="389" w:name="xdx_906_eus-gaap--PropertyPlantAndEquipm"/>
            <w:bookmarkEnd w:id="389"/>
            <w:r>
              <w:rPr/>
              <w:t>5</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bookmarkStart w:id="390" w:name="xdx_405_eus-gaap--PropertyPlantAndEquipm"/>
            <w:bookmarkEnd w:id="390"/>
          </w:p>
        </w:tc>
      </w:tr>
      <w:tr>
        <w:trPr/>
        <w:tc>
          <w:tcPr>
            <w:tcW w:w="26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bookmarkStart w:id="391" w:name="xdx_90C_eus-gaap--PropertyPlantAndEquipm"/>
            <w:bookmarkEnd w:id="391"/>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bookmarkStart w:id="392" w:name="xdx_409_eus-gaap--PropertyPlantAndEquipm"/>
            <w:bookmarkEnd w:id="392"/>
          </w:p>
        </w:tc>
      </w:tr>
      <w:tr>
        <w:trPr/>
        <w:tc>
          <w:tcPr>
            <w:tcW w:w="264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bookmarkStart w:id="393" w:name="xdx_40F_eus-gaap--AccumulatedDepreciatio"/>
            <w:bookmarkEnd w:id="393"/>
          </w:p>
        </w:tc>
      </w:tr>
      <w:tr>
        <w:trPr/>
        <w:tc>
          <w:tcPr>
            <w:tcW w:w="26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bookmarkStart w:id="394" w:name="xdx_40A_eus-gaap--PropertyPlantAndEquipm"/>
            <w:bookmarkEnd w:id="394"/>
          </w:p>
        </w:tc>
      </w:tr>
      <w:tr>
        <w:trPr/>
        <w:tc>
          <w:tcPr>
            <w:tcW w:w="26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5" w:name="xdx_8A2_zYtuqrk82dQj"/>
      <w:bookmarkEnd w:id="395"/>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2026 and 2025 was $</w:t>
      </w:r>
      <w:bookmarkStart w:id="396" w:name="xdx_906_eus-gaap--Depreciation_pn3n3_c20"/>
      <w:bookmarkEnd w:id="396"/>
      <w:r>
        <w:rPr>
          <w:rFonts w:ascii="Times New Roman;Times;Serif" w:hAnsi="Times New Roman;Times;Serif"/>
          <w:b w:val="false"/>
          <w:i w:val="false"/>
          <w:caps w:val="false"/>
          <w:smallCaps w:val="false"/>
          <w:sz w:val="20"/>
        </w:rPr>
        <w:t>42 and $</w:t>
      </w:r>
      <w:bookmarkStart w:id="397" w:name="xdx_909_eus-gaap--Depreciation_pn3n3_c20"/>
      <w:bookmarkEnd w:id="397"/>
      <w:r>
        <w:rPr>
          <w:rFonts w:ascii="Times New Roman;Times;Serif" w:hAnsi="Times New Roman;Times;Serif"/>
          <w:b w:val="false"/>
          <w:i w:val="false"/>
          <w:caps w:val="false"/>
          <w:smallCaps w:val="false"/>
          <w:sz w:val="20"/>
        </w:rPr>
        <w:t>60, respectively. Depreciation expense for the nine months ended June 30, 2026 and 2025 was $</w:t>
      </w:r>
      <w:bookmarkStart w:id="398" w:name="xdx_901_eus-gaap--Depreciation_pn3n3_c20"/>
      <w:bookmarkEnd w:id="398"/>
      <w:r>
        <w:rPr>
          <w:rFonts w:ascii="Times New Roman;Times;Serif" w:hAnsi="Times New Roman;Times;Serif"/>
          <w:b w:val="false"/>
          <w:i w:val="false"/>
          <w:caps w:val="false"/>
          <w:smallCaps w:val="false"/>
          <w:sz w:val="20"/>
        </w:rPr>
        <w:t>129 and $</w:t>
      </w:r>
      <w:bookmarkStart w:id="399" w:name="xdx_904_eus-gaap--Depreciation_pn3n3_c20"/>
      <w:bookmarkEnd w:id="399"/>
      <w:r>
        <w:rPr>
          <w:rFonts w:ascii="Times New Roman;Times;Serif" w:hAnsi="Times New Roman;Times;Serif"/>
          <w:b w:val="false"/>
          <w:i w:val="false"/>
          <w:caps w:val="false"/>
          <w:smallCaps w:val="false"/>
          <w:sz w:val="20"/>
        </w:rPr>
        <w:t>306,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losses of $</w:t>
      </w:r>
      <w:bookmarkStart w:id="400" w:name="xdx_903_eus-gaap--GainLossOnSaleOfProper"/>
      <w:bookmarkEnd w:id="400"/>
      <w:r>
        <w:rPr>
          <w:rFonts w:ascii="Times New Roman;Times;Serif" w:hAnsi="Times New Roman;Times;Serif"/>
          <w:b w:val="false"/>
          <w:i w:val="false"/>
          <w:caps w:val="false"/>
          <w:smallCaps w:val="false"/>
          <w:sz w:val="20"/>
        </w:rPr>
        <w:t>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recognized an impairment loss of </w:t>
      </w:r>
      <w:bookmarkStart w:id="401" w:name="xdx_902_eus-gaap--ImpairmentOfLongLivedA"/>
      <w:bookmarkEnd w:id="401"/>
      <w:r>
        <w:rPr>
          <w:rFonts w:ascii="Times New Roman;Times;Serif" w:hAnsi="Times New Roman;Times;Serif"/>
          <w:b w:val="false"/>
          <w:i w:val="false"/>
          <w:caps w:val="false"/>
          <w:smallCaps w:val="false"/>
          <w:sz w:val="20"/>
        </w:rPr>
        <w:t>$725 on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2" w:name="xdx_80E_eus-gaap--IntangibleAssetsDisclo"/>
      <w:bookmarkEnd w:id="402"/>
      <w:r>
        <w:rPr>
          <w:rFonts w:ascii="Times New Roman;Times;Serif" w:hAnsi="Times New Roman;Times;Serif"/>
          <w:b/>
          <w:i w:val="false"/>
          <w:caps w:val="false"/>
          <w:smallCaps w:val="false"/>
          <w:sz w:val="20"/>
        </w:rPr>
        <w:t xml:space="preserve">Note 5 — </w:t>
      </w:r>
      <w:bookmarkStart w:id="403" w:name="xdx_821_zo6nYU550Tyj"/>
      <w:bookmarkEnd w:id="403"/>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4" w:name="xdx_896_eus-gaap--ScheduleOfFiniteLivedI"/>
      <w:bookmarkEnd w:id="404"/>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bookmarkStart w:id="405" w:name="xdx_8B8_zminJ5khBXra"/>
      <w:bookmarkEnd w:id="405"/>
      <w:r>
        <w:rPr>
          <w:rFonts w:ascii="Times New Roman;Times;Serif" w:hAnsi="Times New Roman;Times;Serif"/>
          <w:b w:val="false"/>
          <w:i w:val="false"/>
          <w:caps w:val="false"/>
          <w:smallCaps w:val="false"/>
          <w:sz w:val="20"/>
        </w:rPr>
        <w:t>Schedule of Intangible Assets, Net</w:t>
      </w:r>
    </w:p>
    <w:tbl>
      <w:tblPr>
        <w:tblW w:w="10205" w:type="dxa"/>
        <w:jc w:val="left"/>
        <w:tblInd w:w="0" w:type="dxa"/>
        <w:tblLayout w:type="fixed"/>
        <w:tblCellMar>
          <w:top w:w="0" w:type="dxa"/>
          <w:left w:w="0" w:type="dxa"/>
          <w:bottom w:w="0" w:type="dxa"/>
          <w:right w:w="0" w:type="dxa"/>
        </w:tblCellMar>
      </w:tblPr>
      <w:tblGrid>
        <w:gridCol w:w="2190"/>
        <w:gridCol w:w="60"/>
        <w:gridCol w:w="1130"/>
        <w:gridCol w:w="60"/>
        <w:gridCol w:w="140"/>
        <w:gridCol w:w="680"/>
        <w:gridCol w:w="60"/>
        <w:gridCol w:w="60"/>
        <w:gridCol w:w="247"/>
        <w:gridCol w:w="1123"/>
        <w:gridCol w:w="95"/>
        <w:gridCol w:w="60"/>
        <w:gridCol w:w="140"/>
        <w:gridCol w:w="680"/>
        <w:gridCol w:w="60"/>
        <w:gridCol w:w="60"/>
        <w:gridCol w:w="140"/>
        <w:gridCol w:w="680"/>
        <w:gridCol w:w="60"/>
        <w:gridCol w:w="60"/>
        <w:gridCol w:w="247"/>
        <w:gridCol w:w="1123"/>
        <w:gridCol w:w="95"/>
        <w:gridCol w:w="60"/>
        <w:gridCol w:w="140"/>
        <w:gridCol w:w="680"/>
        <w:gridCol w:w="75"/>
      </w:tblGrid>
      <w:tr>
        <w:trPr/>
        <w:tc>
          <w:tcPr>
            <w:tcW w:w="2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bookmarkStart w:id="406" w:name="xdx_904_eus-gaap--FiniteLivedIntangibleA"/>
            <w:bookmarkEnd w:id="406"/>
            <w:r>
              <w:rPr/>
              <w:t xml:space="preserve">7 – </w:t>
            </w:r>
            <w:bookmarkStart w:id="407" w:name="xdx_900_eus-gaap--FiniteLivedIntangibleA"/>
            <w:bookmarkEnd w:id="407"/>
            <w:r>
              <w:rPr/>
              <w:t>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08" w:name="xdx_984_eus-gaap--FiniteLivedIntangibleA"/>
            <w:bookmarkEnd w:id="408"/>
          </w:p>
        </w:tc>
        <w:tc>
          <w:tcPr>
            <w:tcW w:w="680" w:type="dxa"/>
            <w:tcBorders/>
            <w:shd w:fill="CCEEFF" w:val="clear"/>
            <w:vAlign w:val="center"/>
          </w:tcPr>
          <w:p>
            <w:pPr>
              <w:pStyle w:val="TableContents"/>
              <w:bidi w:val="0"/>
              <w:spacing w:before="0" w:after="283"/>
              <w:jc w:val="right"/>
              <w:rPr/>
            </w:pPr>
            <w:r>
              <w:rPr/>
              <w:t>5,688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409" w:name="xdx_985_eus-gaap--FiniteLivedIntangibleA"/>
            <w:bookmarkEnd w:id="409"/>
          </w:p>
        </w:tc>
        <w:tc>
          <w:tcPr>
            <w:tcW w:w="112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10" w:name="xdx_982_eus-gaap--FiniteLivedIntangibleA"/>
            <w:bookmarkEnd w:id="410"/>
          </w:p>
        </w:tc>
        <w:tc>
          <w:tcPr>
            <w:tcW w:w="68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11" w:name="xdx_982_eus-gaap--FiniteLivedIntangibleA"/>
            <w:bookmarkEnd w:id="411"/>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412" w:name="xdx_98E_eus-gaap--FiniteLivedIntangibleA"/>
            <w:bookmarkEnd w:id="412"/>
          </w:p>
        </w:tc>
        <w:tc>
          <w:tcPr>
            <w:tcW w:w="1123"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13" w:name="xdx_989_eus-gaap--FiniteLivedIntangibleA"/>
            <w:bookmarkEnd w:id="413"/>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bookmarkStart w:id="414" w:name="xdx_907_eus-gaap--FiniteLivedIntangibleA"/>
            <w:bookmarkEnd w:id="414"/>
            <w:r>
              <w:rPr/>
              <w:t xml:space="preserve">12 – </w:t>
            </w:r>
            <w:bookmarkStart w:id="415" w:name="xdx_908_eus-gaap--FiniteLivedIntangibleA"/>
            <w:bookmarkEnd w:id="415"/>
            <w:r>
              <w:rPr/>
              <w:t>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6" w:name="xdx_984_eus-gaap--FiniteLivedIntangibleA"/>
            <w:bookmarkEnd w:id="416"/>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417" w:name="xdx_987_eus-gaap--FiniteLivedIntangibleA"/>
            <w:bookmarkEnd w:id="417"/>
          </w:p>
        </w:tc>
        <w:tc>
          <w:tcPr>
            <w:tcW w:w="1123" w:type="dxa"/>
            <w:tcBorders/>
            <w:shd w:fill="FFFFFF" w:val="clear"/>
            <w:vAlign w:val="center"/>
          </w:tcPr>
          <w:p>
            <w:pPr>
              <w:pStyle w:val="TableContents"/>
              <w:bidi w:val="0"/>
              <w:spacing w:before="0" w:after="283"/>
              <w:jc w:val="right"/>
              <w:rPr/>
            </w:pPr>
            <w:r>
              <w:rPr/>
              <w:t>(2,062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8" w:name="xdx_989_eus-gaap--FiniteLivedIntangibleA"/>
            <w:bookmarkEnd w:id="418"/>
          </w:p>
        </w:tc>
        <w:tc>
          <w:tcPr>
            <w:tcW w:w="680" w:type="dxa"/>
            <w:tcBorders/>
            <w:shd w:fill="FFFFFF" w:val="clear"/>
            <w:vAlign w:val="center"/>
          </w:tcPr>
          <w:p>
            <w:pPr>
              <w:pStyle w:val="TableContents"/>
              <w:bidi w:val="0"/>
              <w:spacing w:before="0" w:after="283"/>
              <w:jc w:val="right"/>
              <w:rPr/>
            </w:pPr>
            <w:r>
              <w:rPr/>
              <w:t>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19" w:name="xdx_989_eus-gaap--FiniteLivedIntangibleA"/>
            <w:bookmarkEnd w:id="419"/>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420" w:name="xdx_98A_eus-gaap--FiniteLivedIntangibleA"/>
            <w:bookmarkEnd w:id="420"/>
          </w:p>
        </w:tc>
        <w:tc>
          <w:tcPr>
            <w:tcW w:w="1123"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21" w:name="xdx_988_eus-gaap--FiniteLivedIntangibleA"/>
            <w:bookmarkEnd w:id="421"/>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bookmarkStart w:id="422" w:name="xdx_90B_eus-gaap--FiniteLivedIntangibleA"/>
            <w:bookmarkEnd w:id="422"/>
            <w:r>
              <w:rPr/>
              <w:t xml:space="preserve">2 – </w:t>
            </w:r>
            <w:bookmarkStart w:id="423" w:name="xdx_90A_eus-gaap--FiniteLivedIntangibleA"/>
            <w:bookmarkEnd w:id="423"/>
            <w:r>
              <w:rPr/>
              <w:t>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4" w:name="xdx_98C_eus-gaap--FiniteLivedIntangibleA"/>
            <w:bookmarkEnd w:id="424"/>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5" w:name="xdx_987_eus-gaap--FiniteLivedIntangibleA"/>
            <w:bookmarkEnd w:id="425"/>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6" w:name="xdx_985_eus-gaap--FiniteLivedIntangibleA"/>
            <w:bookmarkEnd w:id="426"/>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7" w:name="xdx_98D_eus-gaap--FiniteLivedIntangibleA"/>
            <w:bookmarkEnd w:id="427"/>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8" w:name="xdx_983_eus-gaap--FiniteLivedIntangibleA"/>
            <w:bookmarkEnd w:id="428"/>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29" w:name="xdx_98B_eus-gaap--FiniteLivedIntangibleA"/>
            <w:bookmarkEnd w:id="429"/>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0" w:name="xdx_98C_eus-gaap--FiniteLivedIntangibleA"/>
            <w:bookmarkEnd w:id="43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1" w:name="xdx_984_eus-gaap--FiniteLivedIntangibleA"/>
            <w:bookmarkEnd w:id="431"/>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(5,564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2" w:name="xdx_982_eus-gaap--FiniteLivedIntangibleA"/>
            <w:bookmarkEnd w:id="43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3" w:name="xdx_982_eus-gaap--FiniteLivedIntangibleA"/>
            <w:bookmarkEnd w:id="433"/>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4" w:name="xdx_989_eus-gaap--FiniteLivedIntangibleA"/>
            <w:bookmarkEnd w:id="434"/>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35" w:name="xdx_98D_eus-gaap--FiniteLivedIntangibleA"/>
            <w:bookmarkEnd w:id="435"/>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6" w:name="xdx_8AF_zgypayIUrItl"/>
      <w:bookmarkEnd w:id="43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June 30, 2026 and 2025 was $</w:t>
      </w:r>
      <w:bookmarkStart w:id="437" w:name="xdx_907_eus-gaap--AmortizationOfIntangib"/>
      <w:bookmarkEnd w:id="437"/>
      <w:r>
        <w:rPr>
          <w:rFonts w:ascii="Times New Roman;Times;Serif" w:hAnsi="Times New Roman;Times;Serif"/>
          <w:b w:val="false"/>
          <w:i w:val="false"/>
          <w:caps w:val="false"/>
          <w:smallCaps w:val="false"/>
          <w:sz w:val="20"/>
        </w:rPr>
        <w:t>395 and $</w:t>
      </w:r>
      <w:bookmarkStart w:id="438" w:name="xdx_902_eus-gaap--AmortizationOfIntangib"/>
      <w:bookmarkEnd w:id="438"/>
      <w:r>
        <w:rPr>
          <w:rFonts w:ascii="Times New Roman;Times;Serif" w:hAnsi="Times New Roman;Times;Serif"/>
          <w:b w:val="false"/>
          <w:i w:val="false"/>
          <w:caps w:val="false"/>
          <w:smallCaps w:val="false"/>
          <w:sz w:val="20"/>
        </w:rPr>
        <w:t>407, respectively. Amortization expense related to intangible assets for the nine months ended June 30, 2026 and 2025 was $</w:t>
      </w:r>
      <w:bookmarkStart w:id="439" w:name="xdx_90B_eus-gaap--AmortizationOfIntangib"/>
      <w:bookmarkEnd w:id="439"/>
      <w:r>
        <w:rPr>
          <w:rFonts w:ascii="Times New Roman;Times;Serif" w:hAnsi="Times New Roman;Times;Serif"/>
          <w:b w:val="false"/>
          <w:i w:val="false"/>
          <w:caps w:val="false"/>
          <w:smallCaps w:val="false"/>
          <w:sz w:val="20"/>
        </w:rPr>
        <w:t>1,195 and $</w:t>
      </w:r>
      <w:bookmarkStart w:id="440" w:name="xdx_900_eus-gaap--AmortizationOfIntangib"/>
      <w:bookmarkEnd w:id="440"/>
      <w:r>
        <w:rPr>
          <w:rFonts w:ascii="Times New Roman;Times;Serif" w:hAnsi="Times New Roman;Times;Serif"/>
          <w:b w:val="false"/>
          <w:i w:val="false"/>
          <w:caps w:val="false"/>
          <w:smallCaps w:val="false"/>
          <w:sz w:val="20"/>
        </w:rPr>
        <w:t xml:space="preserve">1,285, respectively. The weighted-average remaining lives of intangible assets as of June 30, 2026 were developed technology </w:t>
      </w:r>
      <w:bookmarkStart w:id="441" w:name="xdx_906_eus-gaap--AcquiredFiniteLivedInt"/>
      <w:bookmarkEnd w:id="441"/>
      <w:r>
        <w:rPr>
          <w:rFonts w:ascii="Times New Roman;Times;Serif" w:hAnsi="Times New Roman;Times;Serif"/>
          <w:b w:val="false"/>
          <w:i w:val="false"/>
          <w:caps w:val="false"/>
          <w:smallCaps w:val="false"/>
          <w:sz w:val="20"/>
        </w:rPr>
        <w:t xml:space="preserve">4.2 years; customer relationships </w:t>
      </w:r>
      <w:bookmarkStart w:id="442" w:name="xdx_905_eus-gaap--AcquiredFiniteLivedInt"/>
      <w:bookmarkEnd w:id="442"/>
      <w:r>
        <w:rPr>
          <w:rFonts w:ascii="Times New Roman;Times;Serif" w:hAnsi="Times New Roman;Times;Serif"/>
          <w:b w:val="false"/>
          <w:i w:val="false"/>
          <w:caps w:val="false"/>
          <w:smallCaps w:val="false"/>
          <w:sz w:val="20"/>
        </w:rPr>
        <w:t xml:space="preserve">10.9 years; and trade names </w:t>
      </w:r>
      <w:bookmarkStart w:id="443" w:name="xdx_90C_eus-gaap--AcquiredFiniteLivedInt"/>
      <w:bookmarkEnd w:id="443"/>
      <w:r>
        <w:rPr>
          <w:rFonts w:ascii="Times New Roman;Times;Serif" w:hAnsi="Times New Roman;Times;Serif"/>
          <w:b w:val="false"/>
          <w:i w:val="false"/>
          <w:caps w:val="false"/>
          <w:smallCaps w:val="false"/>
          <w:sz w:val="20"/>
        </w:rPr>
        <w:t>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44" w:name="xdx_89E_eus-gaap--ScheduleofFiniteLivedI"/>
      <w:bookmarkEnd w:id="444"/>
      <w:r>
        <w:rPr>
          <w:rFonts w:ascii="Times New Roman;Times;Serif" w:hAnsi="Times New Roman;Times;Serif"/>
          <w:b w:val="false"/>
          <w:i w:val="false"/>
          <w:caps w:val="false"/>
          <w:smallCaps w:val="false"/>
          <w:sz w:val="20"/>
        </w:rPr>
        <w:t>Estimated future amortization expense for intangible assets by fiscal year as of June 30, 2026 is as follows:</w:t>
      </w:r>
    </w:p>
    <w:p>
      <w:pPr>
        <w:pStyle w:val="TextBody"/>
        <w:bidi w:val="0"/>
        <w:spacing w:before="0" w:after="0"/>
        <w:ind w:left="0" w:right="0" w:hanging="0"/>
        <w:jc w:val="both"/>
        <w:rPr>
          <w:caps w:val="false"/>
          <w:smallCaps w:val="false"/>
        </w:rPr>
      </w:pPr>
      <w:r>
        <w:rPr>
          <w:caps w:val="false"/>
          <w:smallCaps w:val="false"/>
        </w:rPr>
        <w:t> </w:t>
      </w:r>
      <w:bookmarkStart w:id="445" w:name="xdx_8B2_zL1Esx4I1Wje"/>
      <w:bookmarkEnd w:id="445"/>
      <w:r>
        <w:rPr>
          <w:rFonts w:ascii="Times New Roman;Times;Serif" w:hAnsi="Times New Roman;Times;Serif"/>
          <w:b w:val="false"/>
          <w:i w:val="false"/>
          <w:caps w:val="false"/>
          <w:smallCaps w:val="false"/>
          <w:sz w:val="20"/>
        </w:rPr>
        <w:t>Schedule of Estimated Future Amortization Expense for Intangible Assets</w:t>
      </w:r>
    </w:p>
    <w:tbl>
      <w:tblPr>
        <w:tblW w:w="3900" w:type="dxa"/>
        <w:jc w:val="left"/>
        <w:tblInd w:w="0" w:type="dxa"/>
        <w:tblLayout w:type="fixed"/>
        <w:tblCellMar>
          <w:top w:w="0" w:type="dxa"/>
          <w:left w:w="0" w:type="dxa"/>
          <w:bottom w:w="28" w:type="dxa"/>
          <w:right w:w="0" w:type="dxa"/>
        </w:tblCellMar>
      </w:tblPr>
      <w:tblGrid>
        <w:gridCol w:w="2945"/>
        <w:gridCol w:w="60"/>
        <w:gridCol w:w="140"/>
        <w:gridCol w:w="680"/>
        <w:gridCol w:w="75"/>
      </w:tblGrid>
      <w:tr>
        <w:trPr/>
        <w:tc>
          <w:tcPr>
            <w:tcW w:w="2945" w:type="dxa"/>
            <w:tcBorders>
              <w:bottom w:val="single" w:sz="8" w:space="0" w:color="000000"/>
            </w:tcBorders>
            <w:vAlign w:val="center"/>
          </w:tcPr>
          <w:p>
            <w:pPr>
              <w:pStyle w:val="TableContents"/>
              <w:bidi w:val="0"/>
              <w:spacing w:before="0" w:after="283"/>
              <w:jc w:val="both"/>
              <w:rPr/>
            </w:pPr>
            <w:r>
              <w:rPr/>
              <w:t>Years ending September 30,</w:t>
            </w:r>
          </w:p>
        </w:tc>
        <w:tc>
          <w:tcPr>
            <w:tcW w:w="60" w:type="dxa"/>
            <w:tcBorders/>
            <w:tcMar>
              <w:bottom w:w="0" w:type="dxa"/>
            </w:tcMar>
            <w:vAlign w:val="center"/>
          </w:tcPr>
          <w:p>
            <w:pPr>
              <w:pStyle w:val="TableContents"/>
              <w:bidi w:val="0"/>
              <w:spacing w:before="0" w:after="283"/>
              <w:jc w:val="left"/>
              <w:rPr/>
            </w:pPr>
            <w:r>
              <w:rPr/>
              <w:t> </w:t>
            </w:r>
            <w:bookmarkStart w:id="446" w:name="xdx_49C_20260630_zj3gYTa9vkz2"/>
            <w:bookmarkEnd w:id="446"/>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bookmarkStart w:id="447" w:name="xdx_404_eus-gaap--FiniteLivedIntangibleA"/>
            <w:bookmarkEnd w:id="447"/>
          </w:p>
        </w:tc>
      </w:tr>
      <w:tr>
        <w:trPr/>
        <w:tc>
          <w:tcPr>
            <w:tcW w:w="2945" w:type="dxa"/>
            <w:tcBorders/>
            <w:shd w:fill="CCEEFF" w:val="clear"/>
            <w:tcMar>
              <w:bottom w:w="0" w:type="dxa"/>
            </w:tcMar>
            <w:vAlign w:val="center"/>
          </w:tcPr>
          <w:p>
            <w:pPr>
              <w:pStyle w:val="TableContents"/>
              <w:bidi w:val="0"/>
              <w:spacing w:before="0" w:after="283"/>
              <w:jc w:val="both"/>
              <w:rPr/>
            </w:pPr>
            <w:r>
              <w:rPr/>
              <w:t>2026 (remaining three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394</w:t>
            </w:r>
          </w:p>
        </w:tc>
        <w:tc>
          <w:tcPr>
            <w:tcW w:w="75" w:type="dxa"/>
            <w:tcBorders/>
            <w:shd w:fill="CCEEFF" w:val="clear"/>
            <w:tcMar>
              <w:bottom w:w="0" w:type="dxa"/>
            </w:tcMar>
            <w:vAlign w:val="center"/>
          </w:tcPr>
          <w:p>
            <w:pPr>
              <w:pStyle w:val="TableContents"/>
              <w:bidi w:val="0"/>
              <w:spacing w:before="0" w:after="283"/>
              <w:jc w:val="left"/>
              <w:rPr/>
            </w:pPr>
            <w:r>
              <w:rPr/>
              <w:t> </w:t>
            </w:r>
            <w:bookmarkStart w:id="448" w:name="xdx_405_eus-gaap--FiniteLivedIntangibleA"/>
            <w:bookmarkEnd w:id="448"/>
          </w:p>
        </w:tc>
      </w:tr>
      <w:tr>
        <w:trPr/>
        <w:tc>
          <w:tcPr>
            <w:tcW w:w="294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bookmarkStart w:id="449" w:name="xdx_40A_eus-gaap--FiniteLivedIntangibleA"/>
            <w:bookmarkEnd w:id="449"/>
          </w:p>
        </w:tc>
      </w:tr>
      <w:tr>
        <w:trPr/>
        <w:tc>
          <w:tcPr>
            <w:tcW w:w="294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bookmarkStart w:id="450" w:name="xdx_408_eus-gaap--FiniteLivedIntangibleA"/>
            <w:bookmarkEnd w:id="450"/>
          </w:p>
        </w:tc>
      </w:tr>
      <w:tr>
        <w:trPr/>
        <w:tc>
          <w:tcPr>
            <w:tcW w:w="294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bookmarkStart w:id="451" w:name="xdx_403_eus-gaap--FiniteLivedIntangibleA"/>
            <w:bookmarkEnd w:id="451"/>
          </w:p>
        </w:tc>
      </w:tr>
      <w:tr>
        <w:trPr/>
        <w:tc>
          <w:tcPr>
            <w:tcW w:w="294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bookmarkStart w:id="452" w:name="xdx_404_ecustom--FiniteLivedIntangibleAs"/>
            <w:bookmarkEnd w:id="452"/>
          </w:p>
        </w:tc>
      </w:tr>
      <w:tr>
        <w:trPr/>
        <w:tc>
          <w:tcPr>
            <w:tcW w:w="294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5,970</w:t>
            </w:r>
          </w:p>
        </w:tc>
        <w:tc>
          <w:tcPr>
            <w:tcW w:w="75" w:type="dxa"/>
            <w:tcBorders/>
            <w:shd w:fill="FFFFFF" w:val="clear"/>
            <w:tcMar>
              <w:bottom w:w="0" w:type="dxa"/>
            </w:tcMar>
            <w:vAlign w:val="center"/>
          </w:tcPr>
          <w:p>
            <w:pPr>
              <w:pStyle w:val="TableContents"/>
              <w:bidi w:val="0"/>
              <w:spacing w:before="0" w:after="283"/>
              <w:jc w:val="left"/>
              <w:rPr/>
            </w:pPr>
            <w:r>
              <w:rPr/>
              <w:t> </w:t>
            </w:r>
            <w:bookmarkStart w:id="453" w:name="xdx_40A_eus-gaap--FiniteLivedIntangibleA"/>
            <w:bookmarkEnd w:id="453"/>
          </w:p>
        </w:tc>
      </w:tr>
      <w:tr>
        <w:trPr/>
        <w:tc>
          <w:tcPr>
            <w:tcW w:w="2945" w:type="dxa"/>
            <w:tcBorders/>
            <w:shd w:fill="FFFFFF" w:val="clear"/>
            <w:tcMar>
              <w:bottom w:w="0" w:type="dxa"/>
            </w:tcMar>
            <w:vAlign w:val="center"/>
          </w:tcPr>
          <w:p>
            <w:pPr>
              <w:pStyle w:val="TableContents"/>
              <w:bidi w:val="0"/>
              <w:spacing w:before="0" w:after="283"/>
              <w:jc w:val="both"/>
              <w:rPr/>
            </w:pPr>
            <w:r>
              <w:rPr/>
              <w:t>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54" w:name="xdx_402_eus-gaap--FiniteLivedIntangibleA"/>
            <w:bookmarkEnd w:id="454"/>
          </w:p>
        </w:tc>
      </w:tr>
      <w:tr>
        <w:trPr/>
        <w:tc>
          <w:tcPr>
            <w:tcW w:w="2945" w:type="dxa"/>
            <w:tcBorders/>
            <w:shd w:fill="FFFFFF" w:val="clear"/>
            <w:tcMar>
              <w:bottom w:w="0" w:type="dxa"/>
            </w:tcMar>
            <w:vAlign w:val="center"/>
          </w:tcPr>
          <w:p>
            <w:pPr>
              <w:pStyle w:val="TableContents"/>
              <w:bidi w:val="0"/>
              <w:spacing w:before="0" w:after="283"/>
              <w:jc w:val="both"/>
              <w:rPr/>
            </w:pPr>
            <w:r>
              <w:rPr/>
              <w:t>Thereafter, 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455" w:name="xdx_40A_eus-gaap--FiniteLivedIntangibleA"/>
            <w:bookmarkEnd w:id="455"/>
          </w:p>
        </w:tc>
      </w:tr>
      <w:tr>
        <w:trPr/>
        <w:tc>
          <w:tcPr>
            <w:tcW w:w="294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12,324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56" w:name="xdx_8A3_zNbjgV57JqSl"/>
      <w:bookmarkEnd w:id="456"/>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7" w:name="xdx_809_eus-gaap--AccountsPayableAccrued"/>
      <w:bookmarkEnd w:id="457"/>
      <w:r>
        <w:rPr>
          <w:rFonts w:ascii="Times New Roman;Times;Serif" w:hAnsi="Times New Roman;Times;Serif"/>
          <w:b/>
          <w:i w:val="false"/>
          <w:caps w:val="false"/>
          <w:smallCaps w:val="false"/>
          <w:sz w:val="20"/>
        </w:rPr>
        <w:t xml:space="preserve">Note 6 — </w:t>
      </w:r>
      <w:bookmarkStart w:id="458" w:name="xdx_822_zO4Z7AtxMVI8"/>
      <w:bookmarkEnd w:id="458"/>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59" w:name="xdx_89D_eus-gaap--ScheduleOfAccruedLiabi"/>
      <w:bookmarkEnd w:id="459"/>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both"/>
        <w:rPr>
          <w:caps w:val="false"/>
          <w:smallCaps w:val="false"/>
        </w:rPr>
      </w:pPr>
      <w:r>
        <w:rPr>
          <w:caps w:val="false"/>
          <w:smallCaps w:val="false"/>
        </w:rPr>
        <w:t> </w:t>
      </w:r>
      <w:bookmarkStart w:id="460" w:name="xdx_8BA_zXPpviMEzD7i"/>
      <w:bookmarkEnd w:id="460"/>
      <w:r>
        <w:rPr>
          <w:rFonts w:ascii="Times New Roman;Times;Serif" w:hAnsi="Times New Roman;Times;Serif"/>
          <w:b w:val="false"/>
          <w:i w:val="false"/>
          <w:caps w:val="false"/>
          <w:smallCaps w:val="false"/>
          <w:sz w:val="20"/>
        </w:rPr>
        <w:t>Schedule of Accrued Expenses and Other Current Liabilities</w:t>
      </w:r>
    </w:p>
    <w:tbl>
      <w:tblPr>
        <w:tblW w:w="8489" w:type="dxa"/>
        <w:jc w:val="left"/>
        <w:tblInd w:w="0" w:type="dxa"/>
        <w:tblLayout w:type="fixed"/>
        <w:tblCellMar>
          <w:top w:w="0" w:type="dxa"/>
          <w:left w:w="0" w:type="dxa"/>
          <w:bottom w:w="0" w:type="dxa"/>
          <w:right w:w="0" w:type="dxa"/>
        </w:tblCellMar>
      </w:tblPr>
      <w:tblGrid>
        <w:gridCol w:w="4805"/>
        <w:gridCol w:w="60"/>
        <w:gridCol w:w="283"/>
        <w:gridCol w:w="1132"/>
        <w:gridCol w:w="60"/>
        <w:gridCol w:w="60"/>
        <w:gridCol w:w="343"/>
        <w:gridCol w:w="1671"/>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1" w:name="xdx_497_20260630_zgJri1uuESj8"/>
            <w:bookmarkEnd w:id="461"/>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2" w:name="xdx_49E_20250930_z4CZ63NRSk3l"/>
            <w:bookmarkEnd w:id="462"/>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63" w:name="xdx_406_eus-gaap--WorkersCompensationLia"/>
            <w:bookmarkEnd w:id="463"/>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bookmarkStart w:id="464" w:name="xdx_404_eus-gaap--AccruedProfessionalFee"/>
            <w:bookmarkEnd w:id="464"/>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bookmarkStart w:id="465" w:name="xdx_406_eus-gaap--InterestPayableCurrent"/>
            <w:bookmarkEnd w:id="465"/>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bookmarkStart w:id="466" w:name="xdx_40E_eus-gaap--DeferredRevenueCurrent"/>
            <w:bookmarkEnd w:id="466"/>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bookmarkStart w:id="467" w:name="xdx_408_ecustom--CommittedEquityFacility"/>
            <w:bookmarkEnd w:id="467"/>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bookmarkStart w:id="468" w:name="xdx_400_ecustom--UnpaidMergerRelatedTran"/>
            <w:bookmarkEnd w:id="468"/>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bookmarkStart w:id="469" w:name="xdx_40A_ecustom--EarnoutCurrent_iI_pn3n3"/>
            <w:bookmarkEnd w:id="469"/>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bookmarkStart w:id="470" w:name="xdx_40C_eus-gaap--OtherAccruedLiabilitie"/>
            <w:bookmarkEnd w:id="470"/>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bookmarkStart w:id="471" w:name="xdx_406_eus-gaap--AccruedLiabilitiesCurr"/>
            <w:bookmarkEnd w:id="471"/>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2" w:name="xdx_8A4_z3HZDnecLDz6"/>
      <w:bookmarkEnd w:id="47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3" w:name="xdx_804_eus-gaap--DebtDisclosureTextBloc"/>
      <w:bookmarkEnd w:id="473"/>
      <w:r>
        <w:rPr>
          <w:rFonts w:ascii="Times New Roman;Times;Serif" w:hAnsi="Times New Roman;Times;Serif"/>
          <w:b/>
          <w:i w:val="false"/>
          <w:caps w:val="false"/>
          <w:smallCaps w:val="false"/>
          <w:sz w:val="20"/>
        </w:rPr>
        <w:t xml:space="preserve">Note 7 — </w:t>
      </w:r>
      <w:bookmarkStart w:id="474" w:name="xdx_829_zspxaMlFokni"/>
      <w:bookmarkEnd w:id="474"/>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75" w:name="xdx_895_eus-gaap--ScheduleOfDebtTableTex"/>
      <w:bookmarkEnd w:id="475"/>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both"/>
        <w:rPr>
          <w:caps w:val="false"/>
          <w:smallCaps w:val="false"/>
        </w:rPr>
      </w:pPr>
      <w:r>
        <w:rPr>
          <w:caps w:val="false"/>
          <w:smallCaps w:val="false"/>
        </w:rPr>
        <w:t>  </w:t>
      </w:r>
      <w:bookmarkStart w:id="476" w:name="xdx_8B9_z3pygwoPwF1l"/>
      <w:bookmarkEnd w:id="476"/>
      <w:r>
        <w:rPr>
          <w:rFonts w:ascii="Times New Roman;Times;Serif" w:hAnsi="Times New Roman;Times;Serif"/>
          <w:b w:val="false"/>
          <w:i w:val="false"/>
          <w:caps w:val="false"/>
          <w:smallCaps w:val="false"/>
          <w:sz w:val="20"/>
        </w:rPr>
        <w:t>Schedule of Debt</w:t>
      </w:r>
    </w:p>
    <w:tbl>
      <w:tblPr>
        <w:tblW w:w="7313" w:type="dxa"/>
        <w:jc w:val="left"/>
        <w:tblInd w:w="0" w:type="dxa"/>
        <w:tblLayout w:type="fixed"/>
        <w:tblCellMar>
          <w:top w:w="0" w:type="dxa"/>
          <w:left w:w="0" w:type="dxa"/>
          <w:bottom w:w="0" w:type="dxa"/>
          <w:right w:w="0" w:type="dxa"/>
        </w:tblCellMar>
      </w:tblPr>
      <w:tblGrid>
        <w:gridCol w:w="3560"/>
        <w:gridCol w:w="60"/>
        <w:gridCol w:w="255"/>
        <w:gridCol w:w="1159"/>
        <w:gridCol w:w="95"/>
        <w:gridCol w:w="60"/>
        <w:gridCol w:w="363"/>
        <w:gridCol w:w="1651"/>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7" w:name="xdx_495_20260630_z585AyWt9KPc"/>
            <w:bookmarkEnd w:id="47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8" w:name="xdx_49B_20250930_zOXaNVBsPNbi"/>
            <w:bookmarkEnd w:id="478"/>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79" w:name="xdx_40E_eus-gaap--NotesPayable_iI_pn3n3_"/>
            <w:bookmarkEnd w:id="479"/>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bookmarkStart w:id="480" w:name="xdx_400_eus-gaap--NotesPayable_iI_pn3n3_"/>
            <w:bookmarkEnd w:id="480"/>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bookmarkStart w:id="481" w:name="xdx_409_eus-gaap--NotesPayable_iI_pn3n3_"/>
            <w:bookmarkEnd w:id="481"/>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bookmarkStart w:id="482" w:name="xdx_400_eus-gaap--LongTermDebt_iI_pn3n3_"/>
            <w:bookmarkEnd w:id="482"/>
          </w:p>
        </w:tc>
      </w:tr>
      <w:tr>
        <w:trPr/>
        <w:tc>
          <w:tcPr>
            <w:tcW w:w="3560" w:type="dxa"/>
            <w:tcBorders/>
            <w:shd w:fill="CCEEFF" w:val="clear"/>
            <w:vAlign w:val="center"/>
          </w:tcPr>
          <w:p>
            <w:pPr>
              <w:pStyle w:val="TableContents"/>
              <w:bidi w:val="0"/>
              <w:spacing w:before="0" w:after="283"/>
              <w:jc w:val="left"/>
              <w:rPr/>
            </w:pPr>
            <w:r>
              <w:rPr/>
              <w:t xml:space="preserve">Total debt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bookmarkStart w:id="483" w:name="xdx_40D_eus-gaap--DebtCurrent_iNI_pn3n3_"/>
            <w:bookmarkEnd w:id="483"/>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bookmarkStart w:id="484" w:name="xdx_409_eus-gaap--LongTermDebtNoncurrent"/>
            <w:bookmarkEnd w:id="484"/>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5" w:name="xdx_8A9_zNGCsg8aUdt1"/>
      <w:bookmarkEnd w:id="4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86" w:name="xdx_89D_eus-gaap--FairValueAssetsMeasure"/>
      <w:bookmarkEnd w:id="486"/>
      <w:r>
        <w:rPr>
          <w:rFonts w:ascii="Times New Roman;Times;Serif" w:hAnsi="Times New Roman;Times;Serif"/>
          <w:b w:val="false"/>
          <w:i w:val="false"/>
          <w:caps w:val="false"/>
          <w:smallCaps w:val="false"/>
          <w:sz w:val="20"/>
        </w:rPr>
        <w:t>Debt measured at fair value consists of the following:</w:t>
      </w:r>
    </w:p>
    <w:p>
      <w:pPr>
        <w:pStyle w:val="TextBody"/>
        <w:bidi w:val="0"/>
        <w:spacing w:before="0" w:after="0"/>
        <w:ind w:left="0" w:right="0" w:hanging="0"/>
        <w:jc w:val="both"/>
        <w:rPr>
          <w:caps w:val="false"/>
          <w:smallCaps w:val="false"/>
        </w:rPr>
      </w:pPr>
      <w:r>
        <w:rPr>
          <w:caps w:val="false"/>
          <w:smallCaps w:val="false"/>
        </w:rPr>
        <w:t>  </w:t>
      </w:r>
      <w:bookmarkStart w:id="487" w:name="xdx_8B0_zTP7cq8auXI4"/>
      <w:bookmarkEnd w:id="487"/>
      <w:r>
        <w:rPr>
          <w:rFonts w:ascii="Times New Roman;Times;Serif" w:hAnsi="Times New Roman;Times;Serif"/>
          <w:b w:val="false"/>
          <w:i w:val="false"/>
          <w:caps w:val="false"/>
          <w:smallCaps w:val="false"/>
          <w:sz w:val="20"/>
        </w:rPr>
        <w:t>Schedule of Measured at Fair Value</w:t>
      </w:r>
    </w:p>
    <w:tbl>
      <w:tblPr>
        <w:tblW w:w="7413" w:type="dxa"/>
        <w:jc w:val="left"/>
        <w:tblInd w:w="0" w:type="dxa"/>
        <w:tblLayout w:type="fixed"/>
        <w:tblCellMar>
          <w:top w:w="0" w:type="dxa"/>
          <w:left w:w="0" w:type="dxa"/>
          <w:bottom w:w="0" w:type="dxa"/>
          <w:right w:w="0" w:type="dxa"/>
        </w:tblCellMar>
      </w:tblPr>
      <w:tblGrid>
        <w:gridCol w:w="3695"/>
        <w:gridCol w:w="60"/>
        <w:gridCol w:w="255"/>
        <w:gridCol w:w="1159"/>
        <w:gridCol w:w="95"/>
        <w:gridCol w:w="60"/>
        <w:gridCol w:w="704"/>
        <w:gridCol w:w="131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8" w:name="xdx_495_20260630_zIBlFAVB6CFh"/>
            <w:bookmarkEnd w:id="48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9" w:name="xdx_49B_20250930_zr3DQHWEkGa5"/>
            <w:bookmarkEnd w:id="489"/>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90" w:name="xdx_402_eus-gaap--NotesPayableFairValueD"/>
            <w:bookmarkEnd w:id="490"/>
          </w:p>
        </w:tc>
      </w:tr>
      <w:tr>
        <w:trPr/>
        <w:tc>
          <w:tcPr>
            <w:tcW w:w="3695" w:type="dxa"/>
            <w:tcBorders/>
            <w:shd w:fill="CCEEFF" w:val="clear"/>
            <w:vAlign w:val="center"/>
          </w:tcPr>
          <w:p>
            <w:pPr>
              <w:pStyle w:val="TableContents"/>
              <w:bidi w:val="0"/>
              <w:spacing w:before="0" w:after="283"/>
              <w:jc w:val="left"/>
              <w:rPr/>
            </w:pPr>
            <w:r>
              <w:rPr/>
              <w:t>Notes payable – measured at fair value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91" w:name="xdx_408_eus-gaap--DebtInstrumentFairValu"/>
            <w:bookmarkEnd w:id="491"/>
          </w:p>
        </w:tc>
      </w:tr>
      <w:tr>
        <w:trPr/>
        <w:tc>
          <w:tcPr>
            <w:tcW w:w="3695" w:type="dxa"/>
            <w:tcBorders/>
            <w:shd w:fill="FFFFFF" w:val="clear"/>
            <w:vAlign w:val="center"/>
          </w:tcPr>
          <w:p>
            <w:pPr>
              <w:pStyle w:val="TableContents"/>
              <w:bidi w:val="0"/>
              <w:spacing w:before="0" w:after="283"/>
              <w:jc w:val="left"/>
              <w:rPr/>
            </w:pPr>
            <w:r>
              <w:rPr/>
              <w:t>Total debt measured at fair value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92" w:name="xdx_40D_eus-gaap--FairValueMeasurementWi"/>
            <w:bookmarkEnd w:id="492"/>
          </w:p>
        </w:tc>
      </w:tr>
      <w:tr>
        <w:trPr/>
        <w:tc>
          <w:tcPr>
            <w:tcW w:w="3695"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93" w:name="xdx_407_ecustom--NotesPayableMeasuredAtF"/>
            <w:bookmarkEnd w:id="493"/>
          </w:p>
        </w:tc>
      </w:tr>
      <w:tr>
        <w:trPr/>
        <w:tc>
          <w:tcPr>
            <w:tcW w:w="369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4" w:name="xdx_8AB_zgBSlAbU2s46"/>
      <w:bookmarkEnd w:id="49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an exchange agreement pursuant to which certain outstanding indebtedness and other amounts owed were exchanged for shares of the Company’s Class A Common Stock. Under this agreement, outstanding obligations of $</w:t>
      </w:r>
      <w:bookmarkStart w:id="495" w:name="xdx_908_eus-gaap--DebtInstrumentIssuedPr"/>
      <w:bookmarkEnd w:id="495"/>
      <w:r>
        <w:rPr>
          <w:rFonts w:ascii="Times New Roman;Times;Serif" w:hAnsi="Times New Roman;Times;Serif"/>
          <w:b w:val="false"/>
          <w:i w:val="false"/>
          <w:caps w:val="false"/>
          <w:smallCaps w:val="false"/>
          <w:sz w:val="20"/>
        </w:rPr>
        <w:t>1,425 were partially settled through the issuance of shares having an aggregate value of $</w:t>
      </w:r>
      <w:bookmarkStart w:id="496" w:name="xdx_90B_eus-gaap--DebtInstrumentFaceAmou"/>
      <w:bookmarkEnd w:id="496"/>
      <w:r>
        <w:rPr>
          <w:rFonts w:ascii="Times New Roman;Times;Serif" w:hAnsi="Times New Roman;Times;Serif"/>
          <w:b w:val="false"/>
          <w:i w:val="false"/>
          <w:caps w:val="false"/>
          <w:smallCaps w:val="false"/>
          <w:sz w:val="20"/>
        </w:rPr>
        <w:t>615, with the remaining balance of $</w:t>
      </w:r>
      <w:bookmarkStart w:id="497" w:name="xdx_905_eus-gaap--DebtInstrumentCarrying"/>
      <w:bookmarkEnd w:id="497"/>
      <w:r>
        <w:rPr>
          <w:rFonts w:ascii="Times New Roman;Times;Serif" w:hAnsi="Times New Roman;Times;Serif"/>
          <w:b w:val="false"/>
          <w:i w:val="false"/>
          <w:caps w:val="false"/>
          <w:smallCaps w:val="false"/>
          <w:sz w:val="20"/>
        </w:rPr>
        <w:t>810 to be resolved under a separate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final exchange agreement pursuant to which certain outstanding indebtedness and other amounts owed were exchanged for shares of the Company’s Class A Common Stock. Under the agreement, the remaining balance of $</w:t>
      </w:r>
      <w:bookmarkStart w:id="498" w:name="xdx_902_eus-gaap--CommonStockValueOutsta"/>
      <w:bookmarkEnd w:id="498"/>
      <w:r>
        <w:rPr>
          <w:rFonts w:ascii="Times New Roman;Times;Serif" w:hAnsi="Times New Roman;Times;Serif"/>
          <w:b w:val="false"/>
          <w:i w:val="false"/>
          <w:caps w:val="false"/>
          <w:smallCaps w:val="false"/>
          <w:sz w:val="20"/>
        </w:rPr>
        <w:t xml:space="preserve">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w:t>
      </w:r>
      <w:bookmarkStart w:id="499" w:name="xdx_909_eus-gaap--StockIssuedDuringPerio"/>
      <w:bookmarkEnd w:id="499"/>
      <w:r>
        <w:rPr>
          <w:rFonts w:ascii="Times New Roman;Times;Serif" w:hAnsi="Times New Roman;Times;Serif"/>
          <w:b w:val="false"/>
          <w:i w:val="false"/>
          <w:caps w:val="false"/>
          <w:smallCaps w:val="false"/>
          <w:sz w:val="20"/>
        </w:rPr>
        <w:t>459,310 shares of the Company’s Class A Common Stock and recognized a loss on the extinguishment of debt of $</w:t>
      </w:r>
      <w:bookmarkStart w:id="500" w:name="xdx_900_eus-gaap--GainsLossesOnExtinguis"/>
      <w:bookmarkEnd w:id="500"/>
      <w:r>
        <w:rPr>
          <w:rFonts w:ascii="Times New Roman;Times;Serif" w:hAnsi="Times New Roman;Times;Serif"/>
          <w:b w:val="false"/>
          <w:i w:val="false"/>
          <w:caps w:val="false"/>
          <w:smallCaps w:val="false"/>
          <w:sz w:val="20"/>
        </w:rPr>
        <w:t>149,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and the holders of four notes agreed to settle the outstanding principal and accrued interest, totaling $</w:t>
      </w:r>
      <w:bookmarkStart w:id="501" w:name="xdx_90C_eus-gaap--DebtInstrumentFaceAmou"/>
      <w:bookmarkEnd w:id="501"/>
      <w:r>
        <w:rPr>
          <w:rFonts w:ascii="Times New Roman;Times;Serif" w:hAnsi="Times New Roman;Times;Serif"/>
          <w:b w:val="false"/>
          <w:i w:val="false"/>
          <w:caps w:val="false"/>
          <w:smallCaps w:val="false"/>
          <w:sz w:val="20"/>
        </w:rPr>
        <w:t xml:space="preserve">3,001, for </w:t>
      </w:r>
      <w:bookmarkStart w:id="502" w:name="xdx_908_eus-gaap--StockIssuedDuringPerio"/>
      <w:bookmarkEnd w:id="502"/>
      <w:r>
        <w:rPr>
          <w:rFonts w:ascii="Times New Roman;Times;Serif" w:hAnsi="Times New Roman;Times;Serif"/>
          <w:b w:val="false"/>
          <w:i w:val="false"/>
          <w:caps w:val="false"/>
          <w:smallCaps w:val="false"/>
          <w:sz w:val="20"/>
        </w:rPr>
        <w:t>1,207,015 shares of the Company’s Class A Common Stock. The Company recognized a loss on the extinguishment of debt of $</w:t>
      </w:r>
      <w:bookmarkStart w:id="503" w:name="xdx_90C_eus-gaap--GainsLossesOnExtinguis"/>
      <w:bookmarkEnd w:id="503"/>
      <w:r>
        <w:rPr>
          <w:rFonts w:ascii="Times New Roman;Times;Serif" w:hAnsi="Times New Roman;Times;Serif"/>
          <w:b w:val="false"/>
          <w:i w:val="false"/>
          <w:caps w:val="false"/>
          <w:smallCaps w:val="false"/>
          <w:sz w:val="20"/>
        </w:rPr>
        <w:t>597, which was recorded in loss on extinguishment of notes payable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the holders of three notes agreed to settle the outstanding principal and accrued interest, totaling $</w:t>
      </w:r>
      <w:bookmarkStart w:id="504" w:name="xdx_90F_eus-gaap--DebtInstrumentFaceAmou"/>
      <w:bookmarkEnd w:id="504"/>
      <w:r>
        <w:rPr>
          <w:rFonts w:ascii="Times New Roman;Times;Serif" w:hAnsi="Times New Roman;Times;Serif"/>
          <w:b w:val="false"/>
          <w:i w:val="false"/>
          <w:caps w:val="false"/>
          <w:smallCaps w:val="false"/>
          <w:sz w:val="20"/>
        </w:rPr>
        <w:t xml:space="preserve">661, for </w:t>
      </w:r>
      <w:bookmarkStart w:id="505" w:name="xdx_90E_eus-gaap--StockIssuedDuringPerio"/>
      <w:bookmarkEnd w:id="505"/>
      <w:r>
        <w:rPr>
          <w:rFonts w:ascii="Times New Roman;Times;Serif" w:hAnsi="Times New Roman;Times;Serif"/>
          <w:b w:val="false"/>
          <w:i w:val="false"/>
          <w:caps w:val="false"/>
          <w:smallCaps w:val="false"/>
          <w:sz w:val="20"/>
        </w:rPr>
        <w:t>79,868 shares of the Company’s Class A Common Stock. The Company recognized a loss on the extinguishment of debt of $</w:t>
      </w:r>
      <w:bookmarkStart w:id="506" w:name="xdx_904_eus-gaap--GainsLossesOnExtinguis"/>
      <w:bookmarkEnd w:id="506"/>
      <w:r>
        <w:rPr>
          <w:rFonts w:ascii="Times New Roman;Times;Serif" w:hAnsi="Times New Roman;Times;Serif"/>
          <w:b w:val="false"/>
          <w:i w:val="false"/>
          <w:caps w:val="false"/>
          <w:smallCaps w:val="false"/>
          <w:sz w:val="20"/>
        </w:rPr>
        <w:t>300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agreements, entered into on February 23, 2026 and March 16, 2026, provided for bridge promissory notes with an aggregate principal amount of $</w:t>
      </w:r>
      <w:bookmarkStart w:id="507" w:name="xdx_905_eus-gaap--DebtInstrumentFaceAmou"/>
      <w:bookmarkEnd w:id="507"/>
      <w:r>
        <w:rPr>
          <w:rFonts w:ascii="Times New Roman;Times;Serif" w:hAnsi="Times New Roman;Times;Serif"/>
          <w:b w:val="false"/>
          <w:i w:val="false"/>
          <w:caps w:val="false"/>
          <w:smallCaps w:val="false"/>
          <w:sz w:val="20"/>
        </w:rPr>
        <w:t>554, aggregate original issue discount of $</w:t>
      </w:r>
      <w:bookmarkStart w:id="508" w:name="xdx_90C_eus-gaap--DebtInstrumentUnamorti"/>
      <w:bookmarkEnd w:id="508"/>
      <w:r>
        <w:rPr>
          <w:rFonts w:ascii="Times New Roman;Times;Serif" w:hAnsi="Times New Roman;Times;Serif"/>
          <w:b w:val="false"/>
          <w:i w:val="false"/>
          <w:caps w:val="false"/>
          <w:smallCaps w:val="false"/>
          <w:sz w:val="20"/>
        </w:rPr>
        <w:t>72, aggregate purchase price of $</w:t>
      </w:r>
      <w:bookmarkStart w:id="509" w:name="xdx_902_eus-gaap--PurchaseObligation_iI_"/>
      <w:bookmarkEnd w:id="509"/>
      <w:r>
        <w:rPr>
          <w:rFonts w:ascii="Times New Roman;Times;Serif" w:hAnsi="Times New Roman;Times;Serif"/>
          <w:b w:val="false"/>
          <w:i w:val="false"/>
          <w:caps w:val="false"/>
          <w:smallCaps w:val="false"/>
          <w:sz w:val="20"/>
        </w:rPr>
        <w:t xml:space="preserve">482, and one-time interest charges of </w:t>
      </w:r>
      <w:bookmarkStart w:id="510" w:name="xdx_90C_eus-gaap--ShortTermDebtInterestR"/>
      <w:bookmarkEnd w:id="510"/>
      <w:r>
        <w:rPr>
          <w:rFonts w:ascii="Times New Roman;Times;Serif" w:hAnsi="Times New Roman;Times;Serif"/>
          <w:b w:val="false"/>
          <w:i w:val="false"/>
          <w:caps w:val="false"/>
          <w:smallCaps w:val="false"/>
          <w:sz w:val="20"/>
        </w:rPr>
        <w:t>12%, resulting in net proceeds to the Company of $</w:t>
      </w:r>
      <w:bookmarkStart w:id="511" w:name="xdx_904_eus-gaap--ProceedsFromOtherDebt_"/>
      <w:bookmarkEnd w:id="511"/>
      <w:r>
        <w:rPr>
          <w:rFonts w:ascii="Times New Roman;Times;Serif" w:hAnsi="Times New Roman;Times;Serif"/>
          <w:b w:val="false"/>
          <w:i w:val="false"/>
          <w:caps w:val="false"/>
          <w:smallCaps w:val="false"/>
          <w:sz w:val="20"/>
        </w:rPr>
        <w:t>445. These bridge notes mature on December 30, 2026 and January 15, 2027, respectively, and require aggregate scheduled payments of $</w:t>
      </w:r>
      <w:bookmarkStart w:id="512" w:name="xdx_908_eus-gaap--ProceedsFromIssuanceOf"/>
      <w:bookmarkEnd w:id="512"/>
      <w:r>
        <w:rPr>
          <w:rFonts w:ascii="Times New Roman;Times;Serif" w:hAnsi="Times New Roman;Times;Serif"/>
          <w:b w:val="false"/>
          <w:i w:val="false"/>
          <w:caps w:val="false"/>
          <w:smallCaps w:val="false"/>
          <w:sz w:val="20"/>
        </w:rPr>
        <w:t>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agreement, entered into on March 31, 2026, with Leviston Resources, LLC (“Leviston”), provided for a senior secured convertible note with a principal amount of $</w:t>
      </w:r>
      <w:bookmarkStart w:id="513" w:name="xdx_904_eus-gaap--DebtInstrumentFaceAmou"/>
      <w:bookmarkEnd w:id="513"/>
      <w:r>
        <w:rPr>
          <w:rFonts w:ascii="Times New Roman;Times;Serif" w:hAnsi="Times New Roman;Times;Serif"/>
          <w:b w:val="false"/>
          <w:i w:val="false"/>
          <w:caps w:val="false"/>
          <w:smallCaps w:val="false"/>
          <w:sz w:val="20"/>
        </w:rPr>
        <w:t>3,000 (the “Convertible Note”). The holder funded $</w:t>
      </w:r>
      <w:bookmarkStart w:id="514" w:name="xdx_90B_eus-gaap--InvestmentOwnedUnderly"/>
      <w:bookmarkEnd w:id="514"/>
      <w:r>
        <w:rPr>
          <w:rFonts w:ascii="Times New Roman;Times;Serif" w:hAnsi="Times New Roman;Times;Serif"/>
          <w:b w:val="false"/>
          <w:i w:val="false"/>
          <w:caps w:val="false"/>
          <w:smallCaps w:val="false"/>
          <w:sz w:val="20"/>
        </w:rPr>
        <w:t>2,500, reflecting an original issue discount of $</w:t>
      </w:r>
      <w:bookmarkStart w:id="515" w:name="xdx_90A_ecustom--DiscountAmount_iI_pn3n3"/>
      <w:bookmarkEnd w:id="515"/>
      <w:r>
        <w:rPr>
          <w:rFonts w:ascii="Times New Roman;Times;Serif" w:hAnsi="Times New Roman;Times;Serif"/>
          <w:b w:val="false"/>
          <w:i w:val="false"/>
          <w:caps w:val="false"/>
          <w:smallCaps w:val="false"/>
          <w:sz w:val="20"/>
        </w:rPr>
        <w:t>500, and $</w:t>
      </w:r>
      <w:bookmarkStart w:id="516" w:name="xdx_902_eus-gaap--LegalFees_pn3n3_c20260"/>
      <w:bookmarkEnd w:id="516"/>
      <w:r>
        <w:rPr>
          <w:rFonts w:ascii="Times New Roman;Times;Serif" w:hAnsi="Times New Roman;Times;Serif"/>
          <w:b w:val="false"/>
          <w:i w:val="false"/>
          <w:caps w:val="false"/>
          <w:smallCaps w:val="false"/>
          <w:sz w:val="20"/>
        </w:rPr>
        <w:t>25 was withheld for legal fees, resulting in net proceeds to the Company of $</w:t>
      </w:r>
      <w:bookmarkStart w:id="517" w:name="xdx_90B_eus-gaap--ProceedsFromIssuanceIn"/>
      <w:bookmarkEnd w:id="517"/>
      <w:r>
        <w:rPr>
          <w:rFonts w:ascii="Times New Roman;Times;Serif" w:hAnsi="Times New Roman;Times;Serif"/>
          <w:b w:val="false"/>
          <w:i w:val="false"/>
          <w:caps w:val="false"/>
          <w:smallCaps w:val="false"/>
          <w:sz w:val="20"/>
        </w:rPr>
        <w:t xml:space="preserve">2,475. This note bears interest at </w:t>
      </w:r>
      <w:bookmarkStart w:id="518" w:name="xdx_90F_eus-gaap--DebtInstrumentInterest"/>
      <w:bookmarkEnd w:id="518"/>
      <w:r>
        <w:rPr>
          <w:rFonts w:ascii="Times New Roman;Times;Serif" w:hAnsi="Times New Roman;Times;Serif"/>
          <w:b w:val="false"/>
          <w:i w:val="false"/>
          <w:caps w:val="false"/>
          <w:smallCaps w:val="false"/>
          <w:sz w:val="20"/>
        </w:rPr>
        <w:t>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w:t>
      </w:r>
      <w:bookmarkStart w:id="519" w:name="xdx_90C_eus-gaap--DebtInstrumentFaceAmou"/>
      <w:bookmarkEnd w:id="519"/>
      <w:r>
        <w:rPr>
          <w:rFonts w:ascii="Times New Roman;Times;Serif" w:hAnsi="Times New Roman;Times;Serif"/>
          <w:b w:val="false"/>
          <w:i w:val="false"/>
          <w:caps w:val="false"/>
          <w:smallCaps w:val="false"/>
          <w:sz w:val="20"/>
        </w:rPr>
        <w:t>833 to the Company, increasing the total funded amount under the Original Note to $</w:t>
      </w:r>
      <w:bookmarkStart w:id="520" w:name="xdx_90B_eus-gaap--DebtInstrumentRepurcha"/>
      <w:bookmarkEnd w:id="520"/>
      <w:r>
        <w:rPr>
          <w:rFonts w:ascii="Times New Roman;Times;Serif" w:hAnsi="Times New Roman;Times;Serif"/>
          <w:b w:val="false"/>
          <w:i w:val="false"/>
          <w:caps w:val="false"/>
          <w:smallCaps w:val="false"/>
          <w:sz w:val="20"/>
        </w:rPr>
        <w:t xml:space="preserve">3,333. The First Amendment increased the aggregate principal amount of the Original Note, inclusive of a </w:t>
      </w:r>
      <w:bookmarkStart w:id="521" w:name="xdx_905_eus-gaap--DebtInstrumentInterest"/>
      <w:bookmarkEnd w:id="521"/>
      <w:r>
        <w:rPr>
          <w:rFonts w:ascii="Times New Roman;Times;Serif" w:hAnsi="Times New Roman;Times;Serif"/>
          <w:b w:val="false"/>
          <w:i w:val="false"/>
          <w:caps w:val="false"/>
          <w:smallCaps w:val="false"/>
          <w:sz w:val="20"/>
        </w:rPr>
        <w:t>16.667% original issue discount, from $</w:t>
      </w:r>
      <w:bookmarkStart w:id="522" w:name="xdx_903_eus-gaap--DebtInstrumentUnamorti"/>
      <w:bookmarkEnd w:id="522"/>
      <w:r>
        <w:rPr>
          <w:rFonts w:ascii="Times New Roman;Times;Serif" w:hAnsi="Times New Roman;Times;Serif"/>
          <w:b w:val="false"/>
          <w:i w:val="false"/>
          <w:caps w:val="false"/>
          <w:smallCaps w:val="false"/>
          <w:sz w:val="20"/>
        </w:rPr>
        <w:t>3,000 to $</w:t>
      </w:r>
      <w:bookmarkStart w:id="523" w:name="xdx_90E_eus-gaap--DebtInstrumentUnamorti"/>
      <w:bookmarkEnd w:id="523"/>
      <w:r>
        <w:rPr>
          <w:rFonts w:ascii="Times New Roman;Times;Serif" w:hAnsi="Times New Roman;Times;Serif"/>
          <w:b w:val="false"/>
          <w:i w:val="false"/>
          <w:caps w:val="false"/>
          <w:smallCaps w:val="false"/>
          <w:sz w:val="20"/>
        </w:rPr>
        <w:t>4,000. Interest on the incremental $</w:t>
      </w:r>
      <w:bookmarkStart w:id="524" w:name="xdx_90D_eus-gaap--DebtInstrumentIssuedPr"/>
      <w:bookmarkEnd w:id="524"/>
      <w:r>
        <w:rPr>
          <w:rFonts w:ascii="Times New Roman;Times;Serif" w:hAnsi="Times New Roman;Times;Serif"/>
          <w:b w:val="false"/>
          <w:i w:val="false"/>
          <w:caps w:val="false"/>
          <w:smallCaps w:val="false"/>
          <w:sz w:val="20"/>
        </w:rPr>
        <w:t>1,000 of principal created by the First Amendment commenced accruing on May 13, 2026; interest on the original $</w:t>
      </w:r>
      <w:bookmarkStart w:id="525" w:name="xdx_904_eus-gaap--DebtInstrumentPeriodic"/>
      <w:bookmarkEnd w:id="525"/>
      <w:r>
        <w:rPr>
          <w:rFonts w:ascii="Times New Roman;Times;Serif" w:hAnsi="Times New Roman;Times;Serif"/>
          <w:b w:val="false"/>
          <w:i w:val="false"/>
          <w:caps w:val="false"/>
          <w:smallCaps w:val="false"/>
          <w:sz w:val="20"/>
        </w:rPr>
        <w:t>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w:t>
      </w:r>
      <w:bookmarkStart w:id="526" w:name="xdx_909_eus-gaap--DebtInstrumentFaceAmou"/>
      <w:bookmarkEnd w:id="526"/>
      <w:r>
        <w:rPr>
          <w:rFonts w:ascii="Times New Roman;Times;Serif" w:hAnsi="Times New Roman;Times;Serif"/>
          <w:b w:val="false"/>
          <w:i w:val="false"/>
          <w:caps w:val="false"/>
          <w:smallCaps w:val="false"/>
          <w:sz w:val="20"/>
        </w:rPr>
        <w:t>4,000, with a corresponding maximum aggregate cash subscription amount of approximately $</w:t>
      </w:r>
      <w:bookmarkStart w:id="527" w:name="xdx_90F_eus-gaap--DebtInstrumentRepurcha"/>
      <w:bookmarkEnd w:id="527"/>
      <w:r>
        <w:rPr>
          <w:rFonts w:ascii="Times New Roman;Times;Serif" w:hAnsi="Times New Roman;Times;Serif"/>
          <w:b w:val="false"/>
          <w:i w:val="false"/>
          <w:caps w:val="false"/>
          <w:smallCaps w:val="false"/>
          <w:sz w:val="20"/>
        </w:rPr>
        <w:t xml:space="preserve">3,333, reflecting the same </w:t>
      </w:r>
      <w:bookmarkStart w:id="528" w:name="xdx_905_eus-gaap--DebtInstrumentInterest"/>
      <w:bookmarkEnd w:id="528"/>
      <w:r>
        <w:rPr>
          <w:rFonts w:ascii="Times New Roman;Times;Serif" w:hAnsi="Times New Roman;Times;Serif"/>
          <w:b w:val="false"/>
          <w:i w:val="false"/>
          <w:caps w:val="false"/>
          <w:smallCaps w:val="false"/>
          <w:sz w:val="20"/>
        </w:rPr>
        <w:t xml:space="preserve">16.667% original issue discount as the Original Note. </w:t>
      </w:r>
      <w:bookmarkStart w:id="529" w:name="xdx_905_eus-gaap--DebtInstrumentDescript"/>
      <w:bookmarkEnd w:id="529"/>
      <w:r>
        <w:rPr>
          <w:rFonts w:ascii="Times New Roman;Times;Serif" w:hAnsi="Times New Roman;Times;Serif"/>
          <w:b w:val="false"/>
          <w:i w:val="false"/>
          <w:caps w:val="false"/>
          <w:smallCaps w:val="false"/>
          <w:sz w:val="20"/>
        </w:rPr>
        <w:t>Each Additional Note will be issued in minimum tranches of $</w:t>
      </w:r>
      <w:bookmarkStart w:id="530" w:name="xdx_90A_eus-gaap--DebtInstrumentFaceAmou"/>
      <w:bookmarkEnd w:id="530"/>
      <w:r>
        <w:rPr>
          <w:rFonts w:ascii="Times New Roman;Times;Serif" w:hAnsi="Times New Roman;Times;Serif"/>
          <w:b w:val="false"/>
          <w:i w:val="false"/>
          <w:caps w:val="false"/>
          <w:smallCaps w:val="false"/>
          <w:sz w:val="20"/>
        </w:rPr>
        <w:t>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w:t>
      </w:r>
      <w:bookmarkStart w:id="531" w:name="xdx_90D_eus-gaap--DebtInstrumentFaceAmou"/>
      <w:bookmarkEnd w:id="531"/>
      <w:r>
        <w:rPr>
          <w:rFonts w:ascii="Times New Roman;Times;Serif" w:hAnsi="Times New Roman;Times;Serif"/>
          <w:b w:val="false"/>
          <w:i w:val="false"/>
          <w:caps w:val="false"/>
          <w:smallCaps w:val="false"/>
          <w:sz w:val="20"/>
        </w:rPr>
        <w:t xml:space="preserve">4,000 of outstanding principal under the Original Note, together with all accrued interest thereon, through the conversion of such amounts into an aggregate of </w:t>
      </w:r>
      <w:bookmarkStart w:id="532" w:name="xdx_900_eus-gaap--DebtConversionConverte"/>
      <w:bookmarkEnd w:id="532"/>
      <w:r>
        <w:rPr>
          <w:rFonts w:ascii="Times New Roman;Times;Serif" w:hAnsi="Times New Roman;Times;Serif"/>
          <w:b w:val="false"/>
          <w:i w:val="false"/>
          <w:caps w:val="false"/>
          <w:smallCaps w:val="false"/>
          <w:sz w:val="20"/>
        </w:rPr>
        <w:t>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at the time of settlement of $</w:t>
      </w:r>
      <w:bookmarkStart w:id="533" w:name="xdx_90F_eus-gaap--SharesSubjectToMandato"/>
      <w:bookmarkEnd w:id="533"/>
      <w:r>
        <w:rPr>
          <w:rFonts w:ascii="Times New Roman;Times;Serif" w:hAnsi="Times New Roman;Times;Serif"/>
          <w:b w:val="false"/>
          <w:i w:val="false"/>
          <w:caps w:val="false"/>
          <w:smallCaps w:val="false"/>
          <w:sz w:val="20"/>
        </w:rPr>
        <w:t>6,827, or $</w:t>
      </w:r>
      <w:bookmarkStart w:id="534" w:name="xdx_908_eus-gaap--CommonStockNoParValue_"/>
      <w:bookmarkEnd w:id="534"/>
      <w:r>
        <w:rPr>
          <w:rFonts w:ascii="Times New Roman;Times;Serif" w:hAnsi="Times New Roman;Times;Serif"/>
          <w:b w:val="false"/>
          <w:i w:val="false"/>
          <w:caps w:val="false"/>
          <w:smallCaps w:val="false"/>
          <w:sz w:val="20"/>
        </w:rPr>
        <w:t>2.73 per share, the Company recognized a loss on extinguishment of debt of $</w:t>
      </w:r>
      <w:bookmarkStart w:id="535" w:name="xdx_906_eus-gaap--GainsLossesOnExtinguis"/>
      <w:bookmarkEnd w:id="535"/>
      <w:r>
        <w:rPr>
          <w:rFonts w:ascii="Times New Roman;Times;Serif" w:hAnsi="Times New Roman;Times;Serif"/>
          <w:b w:val="false"/>
          <w:i w:val="false"/>
          <w:caps w:val="false"/>
          <w:smallCaps w:val="false"/>
          <w:sz w:val="20"/>
        </w:rPr>
        <w:t>3,328,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issued to Leviston an Additional Note pursuant to the IRA with a principal amount of $</w:t>
      </w:r>
      <w:bookmarkStart w:id="536" w:name="xdx_908_eus-gaap--DebtInstrumentFaceAmou"/>
      <w:bookmarkEnd w:id="536"/>
      <w:r>
        <w:rPr>
          <w:rFonts w:ascii="Times New Roman;Times;Serif" w:hAnsi="Times New Roman;Times;Serif"/>
          <w:b w:val="false"/>
          <w:i w:val="false"/>
          <w:caps w:val="false"/>
          <w:smallCaps w:val="false"/>
          <w:sz w:val="20"/>
        </w:rPr>
        <w:t>1,200. The holder funded $</w:t>
      </w:r>
      <w:bookmarkStart w:id="537" w:name="xdx_906_eus-gaap--InvestmentOwnedUnderly"/>
      <w:bookmarkEnd w:id="537"/>
      <w:r>
        <w:rPr>
          <w:rFonts w:ascii="Times New Roman;Times;Serif" w:hAnsi="Times New Roman;Times;Serif"/>
          <w:b w:val="false"/>
          <w:i w:val="false"/>
          <w:caps w:val="false"/>
          <w:smallCaps w:val="false"/>
          <w:sz w:val="20"/>
        </w:rPr>
        <w:t>1,000 reflecting an original issue discount of $</w:t>
      </w:r>
      <w:bookmarkStart w:id="538" w:name="xdx_90B_ecustom--DiscountAmount_iI_pn3n3"/>
      <w:bookmarkEnd w:id="538"/>
      <w:r>
        <w:rPr>
          <w:rFonts w:ascii="Times New Roman;Times;Serif" w:hAnsi="Times New Roman;Times;Serif"/>
          <w:b w:val="false"/>
          <w:i w:val="false"/>
          <w:caps w:val="false"/>
          <w:smallCaps w:val="false"/>
          <w:sz w:val="20"/>
        </w:rPr>
        <w:t>200, resulting in net proceeds to the Company of $</w:t>
      </w:r>
      <w:bookmarkStart w:id="539" w:name="xdx_906_eus-gaap--ProceedsFromIssuanceIn"/>
      <w:bookmarkEnd w:id="539"/>
      <w:r>
        <w:rPr>
          <w:rFonts w:ascii="Times New Roman;Times;Serif" w:hAnsi="Times New Roman;Times;Serif"/>
          <w:b w:val="false"/>
          <w:i w:val="false"/>
          <w:caps w:val="false"/>
          <w:smallCaps w:val="false"/>
          <w:sz w:val="20"/>
        </w:rPr>
        <w:t xml:space="preserve">1,000. This note bears interest at </w:t>
      </w:r>
      <w:bookmarkStart w:id="540" w:name="xdx_908_eus-gaap--DebtInstrumentInterest"/>
      <w:bookmarkEnd w:id="540"/>
      <w:r>
        <w:rPr>
          <w:rFonts w:ascii="Times New Roman;Times;Serif" w:hAnsi="Times New Roman;Times;Serif"/>
          <w:b w:val="false"/>
          <w:i w:val="false"/>
          <w:caps w:val="false"/>
          <w:smallCaps w:val="false"/>
          <w:sz w:val="20"/>
        </w:rPr>
        <w:t xml:space="preserve">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2026, the Company issued to Leviston a senior secured convertible note with a principal amount of $</w:t>
      </w:r>
      <w:bookmarkStart w:id="541" w:name="xdx_908_eus-gaap--DebtInstrumentFaceAmou"/>
      <w:bookmarkEnd w:id="541"/>
      <w:r>
        <w:rPr>
          <w:rFonts w:ascii="Times New Roman;Times;Serif" w:hAnsi="Times New Roman;Times;Serif"/>
          <w:b w:val="false"/>
          <w:i w:val="false"/>
          <w:caps w:val="false"/>
          <w:smallCaps w:val="false"/>
          <w:sz w:val="20"/>
        </w:rPr>
        <w:t>2,800. The holder funded $</w:t>
      </w:r>
      <w:bookmarkStart w:id="542" w:name="xdx_903_eus-gaap--InvestmentOwnedUnderly"/>
      <w:bookmarkEnd w:id="542"/>
      <w:r>
        <w:rPr>
          <w:rFonts w:ascii="Times New Roman;Times;Serif" w:hAnsi="Times New Roman;Times;Serif"/>
          <w:b w:val="false"/>
          <w:i w:val="false"/>
          <w:caps w:val="false"/>
          <w:smallCaps w:val="false"/>
          <w:sz w:val="20"/>
        </w:rPr>
        <w:t>2,333, reflecting an original issue discount of $</w:t>
      </w:r>
      <w:bookmarkStart w:id="543" w:name="xdx_902_ecustom--DiscountAmount_iI_pn3n3"/>
      <w:bookmarkEnd w:id="543"/>
      <w:r>
        <w:rPr>
          <w:rFonts w:ascii="Times New Roman;Times;Serif" w:hAnsi="Times New Roman;Times;Serif"/>
          <w:b w:val="false"/>
          <w:i w:val="false"/>
          <w:caps w:val="false"/>
          <w:smallCaps w:val="false"/>
          <w:sz w:val="20"/>
        </w:rPr>
        <w:t>467, and $</w:t>
      </w:r>
      <w:bookmarkStart w:id="544" w:name="xdx_90E_eus-gaap--LegalFees_pn3n3_c20260"/>
      <w:bookmarkEnd w:id="544"/>
      <w:r>
        <w:rPr>
          <w:rFonts w:ascii="Times New Roman;Times;Serif" w:hAnsi="Times New Roman;Times;Serif"/>
          <w:b w:val="false"/>
          <w:i w:val="false"/>
          <w:caps w:val="false"/>
          <w:smallCaps w:val="false"/>
          <w:sz w:val="20"/>
        </w:rPr>
        <w:t>25 was withheld for legal fees, resulting in net proceeds to the Company of $</w:t>
      </w:r>
      <w:bookmarkStart w:id="545" w:name="xdx_90F_eus-gaap--ProceedsFromIssuanceIn"/>
      <w:bookmarkEnd w:id="545"/>
      <w:r>
        <w:rPr>
          <w:rFonts w:ascii="Times New Roman;Times;Serif" w:hAnsi="Times New Roman;Times;Serif"/>
          <w:b w:val="false"/>
          <w:i w:val="false"/>
          <w:caps w:val="false"/>
          <w:smallCaps w:val="false"/>
          <w:sz w:val="20"/>
        </w:rPr>
        <w:t xml:space="preserve">2,308. This note bears interest at </w:t>
      </w:r>
      <w:bookmarkStart w:id="546" w:name="xdx_90D_eus-gaap--DebtInstrumentInterest"/>
      <w:bookmarkEnd w:id="546"/>
      <w:r>
        <w:rPr>
          <w:rFonts w:ascii="Times New Roman;Times;Serif" w:hAnsi="Times New Roman;Times;Serif"/>
          <w:b w:val="false"/>
          <w:i w:val="false"/>
          <w:caps w:val="false"/>
          <w:smallCaps w:val="false"/>
          <w:sz w:val="20"/>
        </w:rPr>
        <w:t xml:space="preserve">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Maximcash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w:t>
      </w:r>
      <w:bookmarkStart w:id="547" w:name="xdx_90A_eus-gaap--DebtInstrumentFaceAmou"/>
      <w:bookmarkEnd w:id="547"/>
      <w:r>
        <w:rPr>
          <w:rFonts w:ascii="Times New Roman;Times;Serif" w:hAnsi="Times New Roman;Times;Serif"/>
          <w:b w:val="false"/>
          <w:i w:val="false"/>
          <w:caps w:val="false"/>
          <w:smallCaps w:val="false"/>
          <w:sz w:val="20"/>
        </w:rPr>
        <w:t>600. Under the amendment, the Company agreed to make an additional interim payment of $</w:t>
      </w:r>
      <w:bookmarkStart w:id="548" w:name="xdx_905_ecustom--InterimPayments_pn3n3_c"/>
      <w:bookmarkEnd w:id="548"/>
      <w:r>
        <w:rPr>
          <w:rFonts w:ascii="Times New Roman;Times;Serif" w:hAnsi="Times New Roman;Times;Serif"/>
          <w:b w:val="false"/>
          <w:i w:val="false"/>
          <w:caps w:val="false"/>
          <w:smallCaps w:val="false"/>
          <w:sz w:val="20"/>
        </w:rPr>
        <w:t>33, and make a principal reduction payment of $</w:t>
      </w:r>
      <w:bookmarkStart w:id="549" w:name="xdx_901_eus-gaap--DebtInstrumentAnnualPr"/>
      <w:bookmarkEnd w:id="549"/>
      <w:r>
        <w:rPr>
          <w:rFonts w:ascii="Times New Roman;Times;Serif" w:hAnsi="Times New Roman;Times;Serif"/>
          <w:b w:val="false"/>
          <w:i w:val="false"/>
          <w:caps w:val="false"/>
          <w:smallCaps w:val="false"/>
          <w:sz w:val="20"/>
        </w:rPr>
        <w:t>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w:t>
      </w:r>
      <w:bookmarkStart w:id="550" w:name="xdx_904_eus-gaap--SettlementAssetsCurren"/>
      <w:bookmarkEnd w:id="550"/>
      <w:r>
        <w:rPr>
          <w:rFonts w:ascii="Times New Roman;Times;Serif" w:hAnsi="Times New Roman;Times;Serif"/>
          <w:b w:val="false"/>
          <w:i w:val="false"/>
          <w:caps w:val="false"/>
          <w:smallCaps w:val="false"/>
          <w:sz w:val="20"/>
        </w:rPr>
        <w:t>232, consisting of principal of $</w:t>
      </w:r>
      <w:bookmarkStart w:id="551" w:name="xdx_902_eus-gaap--DebtInstrumentFaceAmou"/>
      <w:bookmarkEnd w:id="551"/>
      <w:r>
        <w:rPr>
          <w:rFonts w:ascii="Times New Roman;Times;Serif" w:hAnsi="Times New Roman;Times;Serif"/>
          <w:b w:val="false"/>
          <w:i w:val="false"/>
          <w:caps w:val="false"/>
          <w:smallCaps w:val="false"/>
          <w:sz w:val="20"/>
        </w:rPr>
        <w:t>140 and accrued interest of $</w:t>
      </w:r>
      <w:bookmarkStart w:id="552" w:name="xdx_90B_eus-gaap--InterestPayableCurrent"/>
      <w:bookmarkEnd w:id="552"/>
      <w:r>
        <w:rPr>
          <w:rFonts w:ascii="Times New Roman;Times;Serif" w:hAnsi="Times New Roman;Times;Serif"/>
          <w:b w:val="false"/>
          <w:i w:val="false"/>
          <w:caps w:val="false"/>
          <w:smallCaps w:val="false"/>
          <w:sz w:val="20"/>
        </w:rPr>
        <w:t xml:space="preserve">92, was settled through the issuance of </w:t>
      </w:r>
      <w:bookmarkStart w:id="553" w:name="xdx_908_eus-gaap--StockIssuedDuringPerio"/>
      <w:bookmarkEnd w:id="553"/>
      <w:r>
        <w:rPr>
          <w:rFonts w:ascii="Times New Roman;Times;Serif" w:hAnsi="Times New Roman;Times;Serif"/>
          <w:b w:val="false"/>
          <w:i w:val="false"/>
          <w:caps w:val="false"/>
          <w:smallCaps w:val="false"/>
          <w:sz w:val="20"/>
        </w:rPr>
        <w:t>169,375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or delivered at the time of settlement of $</w:t>
      </w:r>
      <w:bookmarkStart w:id="554" w:name="xdx_90F_eus-gaap--SharesSubjectToMandato"/>
      <w:bookmarkEnd w:id="554"/>
      <w:r>
        <w:rPr>
          <w:rFonts w:ascii="Times New Roman;Times;Serif" w:hAnsi="Times New Roman;Times;Serif"/>
          <w:b w:val="false"/>
          <w:i w:val="false"/>
          <w:caps w:val="false"/>
          <w:smallCaps w:val="false"/>
          <w:sz w:val="20"/>
        </w:rPr>
        <w:t>376, or $</w:t>
      </w:r>
      <w:bookmarkStart w:id="555" w:name="xdx_903_eus-gaap--SharePrice_iI_pid_c202"/>
      <w:bookmarkEnd w:id="555"/>
      <w:r>
        <w:rPr>
          <w:rFonts w:ascii="Times New Roman;Times;Serif" w:hAnsi="Times New Roman;Times;Serif"/>
          <w:b w:val="false"/>
          <w:i w:val="false"/>
          <w:caps w:val="false"/>
          <w:smallCaps w:val="false"/>
          <w:sz w:val="20"/>
        </w:rPr>
        <w:t>2.22 per share, the Company recognized a loss on extinguishment of debt of $</w:t>
      </w:r>
      <w:bookmarkStart w:id="556" w:name="xdx_900_eus-gaap--GainsLossesOnExtinguis"/>
      <w:bookmarkEnd w:id="556"/>
      <w:r>
        <w:rPr>
          <w:rFonts w:ascii="Times New Roman;Times;Serif" w:hAnsi="Times New Roman;Times;Serif"/>
          <w:b w:val="false"/>
          <w:i w:val="false"/>
          <w:caps w:val="false"/>
          <w:smallCaps w:val="false"/>
          <w:sz w:val="20"/>
        </w:rPr>
        <w:t>144,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and Sale of Future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also amended two existing agreements for the purchase and sale of future receipts, pursuant to which the Company agreed to sell to the buyers additional future trade receipts totaling $</w:t>
      </w:r>
      <w:bookmarkStart w:id="557" w:name="xdx_909_eus-gaap--AccountsPayableTradeCu"/>
      <w:bookmarkEnd w:id="557"/>
      <w:r>
        <w:rPr>
          <w:rFonts w:ascii="Times New Roman;Times;Serif" w:hAnsi="Times New Roman;Times;Serif"/>
          <w:b w:val="false"/>
          <w:i w:val="false"/>
          <w:caps w:val="false"/>
          <w:smallCaps w:val="false"/>
          <w:sz w:val="20"/>
        </w:rPr>
        <w:t>1,966 (together with amounts already outstanding under these agreements, the “Future Receipts Purchased Amount”) for net proceeds to the Company of $</w:t>
      </w:r>
      <w:bookmarkStart w:id="558" w:name="xdx_90D_eus-gaap--ProceedsFromIssuanceOf"/>
      <w:bookmarkEnd w:id="558"/>
      <w:r>
        <w:rPr>
          <w:rFonts w:ascii="Times New Roman;Times;Serif" w:hAnsi="Times New Roman;Times;Serif"/>
          <w:b w:val="false"/>
          <w:i w:val="false"/>
          <w:caps w:val="false"/>
          <w:smallCaps w:val="false"/>
          <w:sz w:val="20"/>
        </w:rPr>
        <w:t>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w:t>
      </w:r>
      <w:bookmarkStart w:id="559" w:name="xdx_904_ecustom--FutureReceiptsPurchased"/>
      <w:bookmarkEnd w:id="559"/>
      <w:r>
        <w:rPr>
          <w:rFonts w:ascii="Times New Roman;Times;Serif" w:hAnsi="Times New Roman;Times;Serif"/>
          <w:b w:val="false"/>
          <w:i w:val="false"/>
          <w:caps w:val="false"/>
          <w:smallCaps w:val="false"/>
          <w:sz w:val="20"/>
        </w:rPr>
        <w:t>710 for net proceeds to the Company of $</w:t>
      </w:r>
      <w:bookmarkStart w:id="560" w:name="xdx_90E_eus-gaap--ProceedsFromIssuanceOf"/>
      <w:bookmarkEnd w:id="560"/>
      <w:r>
        <w:rPr>
          <w:rFonts w:ascii="Times New Roman;Times;Serif" w:hAnsi="Times New Roman;Times;Serif"/>
          <w:b w:val="false"/>
          <w:i w:val="false"/>
          <w:caps w:val="false"/>
          <w:smallCaps w:val="false"/>
          <w:sz w:val="20"/>
        </w:rPr>
        <w:t>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three agreements for the purchase and sale of future receipts with unrelated buyers, pursuant to which the Company agreed to sell to the buyer certain future trade receipts in the aggregate amount of $</w:t>
      </w:r>
      <w:bookmarkStart w:id="561" w:name="xdx_906_ecustom--FutureReceiptsPurchased"/>
      <w:bookmarkEnd w:id="561"/>
      <w:r>
        <w:rPr>
          <w:rFonts w:ascii="Times New Roman;Times;Serif" w:hAnsi="Times New Roman;Times;Serif"/>
          <w:b w:val="false"/>
          <w:i w:val="false"/>
          <w:caps w:val="false"/>
          <w:smallCaps w:val="false"/>
          <w:sz w:val="20"/>
        </w:rPr>
        <w:t>2,918 (the “Future Receipts Purchased Amount”) for net proceeds to the Company of $</w:t>
      </w:r>
      <w:bookmarkStart w:id="562" w:name="xdx_906_eus-gaap--ProceedsFromIssuanceOf"/>
      <w:bookmarkEnd w:id="562"/>
      <w:r>
        <w:rPr>
          <w:rFonts w:ascii="Times New Roman;Times;Serif" w:hAnsi="Times New Roman;Times;Serif"/>
          <w:b w:val="false"/>
          <w:i w:val="false"/>
          <w:caps w:val="false"/>
          <w:smallCaps w:val="false"/>
          <w:sz w:val="20"/>
        </w:rPr>
        <w:t>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two notes payable with financial institutions for net proceeds of $</w:t>
      </w:r>
      <w:bookmarkStart w:id="563" w:name="xdx_90B_eus-gaap--ProceedsFromNotesPayab"/>
      <w:bookmarkEnd w:id="563"/>
      <w:r>
        <w:rPr>
          <w:rFonts w:ascii="Times New Roman;Times;Serif" w:hAnsi="Times New Roman;Times;Serif"/>
          <w:b w:val="false"/>
          <w:i w:val="false"/>
          <w:caps w:val="false"/>
          <w:smallCaps w:val="false"/>
          <w:sz w:val="20"/>
        </w:rPr>
        <w:t>545. The notes have terms of seven to eighteen months and require weekly payments totaling $</w:t>
      </w:r>
      <w:bookmarkStart w:id="564" w:name="xdx_90C_eus-gaap--DebtInstrumentPeriodic"/>
      <w:bookmarkEnd w:id="564"/>
      <w:r>
        <w:rPr>
          <w:rFonts w:ascii="Times New Roman;Times;Serif" w:hAnsi="Times New Roman;Times;Serif"/>
          <w:b w:val="false"/>
          <w:i w:val="false"/>
          <w:caps w:val="false"/>
          <w:smallCaps w:val="false"/>
          <w:sz w:val="20"/>
        </w:rPr>
        <w:t>819, including finance charges. The notes are secured by substantially all of the Company’s assets and one note is guaranteed by an officer and director of the Company. The Company also borrowed $</w:t>
      </w:r>
      <w:bookmarkStart w:id="565" w:name="xdx_902_eus-gaap--SecuritiesBorrowed_iI_"/>
      <w:bookmarkEnd w:id="565"/>
      <w:r>
        <w:rPr>
          <w:rFonts w:ascii="Times New Roman;Times;Serif" w:hAnsi="Times New Roman;Times;Serif"/>
          <w:b w:val="false"/>
          <w:i w:val="false"/>
          <w:caps w:val="false"/>
          <w:smallCaps w:val="false"/>
          <w:sz w:val="20"/>
        </w:rPr>
        <w:t>100 from an unrelated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Principal Payments and Remaining Principal Balances on Non-Related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the Company made principal payments on notes payable of $</w:t>
      </w:r>
      <w:bookmarkStart w:id="566" w:name="xdx_905_eus-gaap--RepaymentsOfNotesPayab"/>
      <w:bookmarkEnd w:id="566"/>
      <w:r>
        <w:rPr>
          <w:rFonts w:ascii="Times New Roman;Times;Serif" w:hAnsi="Times New Roman;Times;Serif"/>
          <w:b w:val="false"/>
          <w:i w:val="false"/>
          <w:caps w:val="false"/>
          <w:smallCaps w:val="false"/>
          <w:sz w:val="20"/>
        </w:rPr>
        <w:t>2,842 and $</w:t>
      </w:r>
      <w:bookmarkStart w:id="567" w:name="xdx_907_eus-gaap--RepaymentsOfNotesPayab"/>
      <w:bookmarkEnd w:id="567"/>
      <w:r>
        <w:rPr>
          <w:rFonts w:ascii="Times New Roman;Times;Serif" w:hAnsi="Times New Roman;Times;Serif"/>
          <w:b w:val="false"/>
          <w:i w:val="false"/>
          <w:caps w:val="false"/>
          <w:smallCaps w:val="false"/>
          <w:sz w:val="20"/>
        </w:rPr>
        <w:t>655, respectively. As of June 30, 2026, notes payable having an aggregate remaining principal balance of $</w:t>
      </w:r>
      <w:bookmarkStart w:id="568" w:name="xdx_90B_eus-gaap--NotesPayable_iI_pn3n3_"/>
      <w:bookmarkEnd w:id="568"/>
      <w:r>
        <w:rPr>
          <w:rFonts w:ascii="Times New Roman;Times;Serif" w:hAnsi="Times New Roman;Times;Serif"/>
          <w:b w:val="false"/>
          <w:i w:val="false"/>
          <w:caps w:val="false"/>
          <w:smallCaps w:val="false"/>
          <w:sz w:val="20"/>
        </w:rPr>
        <w:t>995 were outstanding and are included in “Notes payable” in the condensed consolidated balance sheet. As of June 30, 2026, notes payable measured at a fair value of $</w:t>
      </w:r>
      <w:bookmarkStart w:id="569" w:name="xdx_90F_eus-gaap--DebtInstrumentFairValu"/>
      <w:bookmarkEnd w:id="569"/>
      <w:r>
        <w:rPr>
          <w:rFonts w:ascii="Times New Roman;Times;Serif" w:hAnsi="Times New Roman;Times;Serif"/>
          <w:b w:val="false"/>
          <w:i w:val="false"/>
          <w:caps w:val="false"/>
          <w:smallCaps w:val="false"/>
          <w:sz w:val="20"/>
        </w:rPr>
        <w:t>3,360 are included in “Notes payable – measured at fair value”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outstanding promissory notes with related parties which bear interest at </w:t>
      </w:r>
      <w:bookmarkStart w:id="570" w:name="xdx_900_eus-gaap--DebtInstrumentInterest"/>
      <w:bookmarkEnd w:id="570"/>
      <w:r>
        <w:rPr>
          <w:rFonts w:ascii="Times New Roman;Times;Serif" w:hAnsi="Times New Roman;Times;Serif"/>
          <w:b w:val="false"/>
          <w:i w:val="false"/>
          <w:caps w:val="false"/>
          <w:smallCaps w:val="false"/>
          <w:sz w:val="20"/>
        </w:rPr>
        <w:t xml:space="preserve">7% per annum and are unsecured. One </w:t>
      </w:r>
      <w:bookmarkStart w:id="571" w:name="xdx_909_eus-gaap--DebtInstrumentInterest"/>
      <w:bookmarkEnd w:id="571"/>
      <w:r>
        <w:rPr>
          <w:rFonts w:ascii="Times New Roman;Times;Serif" w:hAnsi="Times New Roman;Times;Serif"/>
          <w:b w:val="false"/>
          <w:i w:val="false"/>
          <w:caps w:val="false"/>
          <w:smallCaps w:val="false"/>
          <w:sz w:val="20"/>
        </w:rPr>
        <w:t>7% promissory note, having a principal balance of $</w:t>
      </w:r>
      <w:bookmarkStart w:id="572" w:name="xdx_902_eus-gaap--NotesPayable_iI_pn3n3_"/>
      <w:bookmarkEnd w:id="572"/>
      <w:r>
        <w:rPr>
          <w:rFonts w:ascii="Times New Roman;Times;Serif" w:hAnsi="Times New Roman;Times;Serif"/>
          <w:b w:val="false"/>
          <w:i w:val="false"/>
          <w:caps w:val="false"/>
          <w:smallCaps w:val="false"/>
          <w:sz w:val="20"/>
        </w:rPr>
        <w:t xml:space="preserve">229 as of June 30, 2026, is payable in monthly payments of varying amounts through September 2026. The other </w:t>
      </w:r>
      <w:bookmarkStart w:id="573" w:name="xdx_900_eus-gaap--DebtInstrumentInterest"/>
      <w:bookmarkEnd w:id="573"/>
      <w:r>
        <w:rPr>
          <w:rFonts w:ascii="Times New Roman;Times;Serif" w:hAnsi="Times New Roman;Times;Serif"/>
          <w:b w:val="false"/>
          <w:i w:val="false"/>
          <w:caps w:val="false"/>
          <w:smallCaps w:val="false"/>
          <w:sz w:val="20"/>
        </w:rPr>
        <w:t>7% promissory note, having a principal balance of $</w:t>
      </w:r>
      <w:bookmarkStart w:id="574" w:name="xdx_901_eus-gaap--NotesPayable_iI_pn3n3_"/>
      <w:bookmarkEnd w:id="574"/>
      <w:r>
        <w:rPr>
          <w:rFonts w:ascii="Times New Roman;Times;Serif" w:hAnsi="Times New Roman;Times;Serif"/>
          <w:b w:val="false"/>
          <w:i w:val="false"/>
          <w:caps w:val="false"/>
          <w:smallCaps w:val="false"/>
          <w:sz w:val="20"/>
        </w:rPr>
        <w:t>1,168 as of June 30, 2026, no longer bears interest; the outstanding principal and previously accrued interest balance is payable in monthly payments of varying amounts through March 2027, with the remaining principal of $</w:t>
      </w:r>
      <w:bookmarkStart w:id="575" w:name="xdx_90D_eus-gaap--DebtInstrumentPeriodic"/>
      <w:bookmarkEnd w:id="575"/>
      <w:r>
        <w:rPr>
          <w:rFonts w:ascii="Times New Roman;Times;Serif" w:hAnsi="Times New Roman;Times;Serif"/>
          <w:b w:val="false"/>
          <w:i w:val="false"/>
          <w:caps w:val="false"/>
          <w:smallCaps w:val="false"/>
          <w:sz w:val="20"/>
        </w:rPr>
        <w:t xml:space="preserve">979 payable on May 15, 2027. The outstanding principal balance of the </w:t>
      </w:r>
      <w:bookmarkStart w:id="576" w:name="xdx_903_eus-gaap--DebtInstrumentInterest"/>
      <w:bookmarkEnd w:id="576"/>
      <w:r>
        <w:rPr>
          <w:rFonts w:ascii="Times New Roman;Times;Serif" w:hAnsi="Times New Roman;Times;Serif"/>
          <w:b w:val="false"/>
          <w:i w:val="false"/>
          <w:caps w:val="false"/>
          <w:smallCaps w:val="false"/>
          <w:sz w:val="20"/>
        </w:rPr>
        <w:t>7% promissory notes is included in “Notes payable — related parties, current” and “Notes payable — related parties, noncurrent” in the condensed consolidated balance sheet as of June 30, 2026. During the nine months ended June 30, 2026 and 2025, the Company made principal payments of $</w:t>
      </w:r>
      <w:bookmarkStart w:id="577" w:name="xdx_901_eus-gaap--DebtInstrumentPeriodic"/>
      <w:bookmarkEnd w:id="577"/>
      <w:r>
        <w:rPr>
          <w:rFonts w:ascii="Times New Roman;Times;Serif" w:hAnsi="Times New Roman;Times;Serif"/>
          <w:b w:val="false"/>
          <w:i w:val="false"/>
          <w:caps w:val="false"/>
          <w:smallCaps w:val="false"/>
          <w:sz w:val="20"/>
        </w:rPr>
        <w:t>854 and $</w:t>
      </w:r>
      <w:bookmarkStart w:id="578" w:name="xdx_90E_eus-gaap--DebtInstrumentPeriodic"/>
      <w:bookmarkEnd w:id="578"/>
      <w:r>
        <w:rPr>
          <w:rFonts w:ascii="Times New Roman;Times;Serif" w:hAnsi="Times New Roman;Times;Serif"/>
          <w:b w:val="false"/>
          <w:i w:val="false"/>
          <w:caps w:val="false"/>
          <w:smallCaps w:val="false"/>
          <w:sz w:val="20"/>
        </w:rPr>
        <w:t xml:space="preserve">115, respectively, on the </w:t>
      </w:r>
      <w:bookmarkStart w:id="579" w:name="xdx_902_eus-gaap--DebtInstrumentInterest"/>
      <w:bookmarkEnd w:id="579"/>
      <w:r>
        <w:rPr>
          <w:rFonts w:ascii="Times New Roman;Times;Serif" w:hAnsi="Times New Roman;Times;Serif"/>
          <w:b w:val="false"/>
          <w:i w:val="false"/>
          <w:caps w:val="false"/>
          <w:smallCaps w:val="false"/>
          <w:sz w:val="20"/>
        </w:rPr>
        <w:t>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0" w:name="xdx_80A_eus-gaap--LesseeOperatingLeasesT"/>
      <w:bookmarkEnd w:id="580"/>
      <w:r>
        <w:rPr>
          <w:rFonts w:ascii="Times New Roman;Times;Serif" w:hAnsi="Times New Roman;Times;Serif"/>
          <w:b/>
          <w:i w:val="false"/>
          <w:caps w:val="false"/>
          <w:smallCaps w:val="false"/>
          <w:sz w:val="20"/>
        </w:rPr>
        <w:t xml:space="preserve">Note 8 — </w:t>
      </w:r>
      <w:bookmarkStart w:id="581" w:name="xdx_824_zyfbh4R1lQcb"/>
      <w:bookmarkEnd w:id="581"/>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operating leases for office space. The leases have remaining terms ranging from five months to </w:t>
      </w:r>
      <w:bookmarkStart w:id="582" w:name="xdx_90F_eus-gaap--LesseeOperatingLeaseRe"/>
      <w:bookmarkEnd w:id="582"/>
      <w:r>
        <w:rPr>
          <w:rFonts w:ascii="Times New Roman;Times;Serif" w:hAnsi="Times New Roman;Times;Serif"/>
          <w:b w:val="false"/>
          <w:i w:val="false"/>
          <w:caps w:val="false"/>
          <w:smallCaps w:val="false"/>
          <w:sz w:val="20"/>
        </w:rPr>
        <w:t>1.1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bookmarkStart w:id="583" w:name="xdx_89A_eus-gaap--LeaseCostTableTextBloc"/>
      <w:bookmarkEnd w:id="583"/>
      <w:r>
        <w:rPr>
          <w:caps w:val="false"/>
          <w:smallCaps w:val="false"/>
        </w:rPr>
        <w:t>  </w:t>
      </w:r>
      <w:bookmarkStart w:id="584" w:name="xdx_8BE_zHdVonyEPbv5"/>
      <w:bookmarkEnd w:id="584"/>
      <w:r>
        <w:rPr>
          <w:rFonts w:ascii="Times New Roman;Times;Serif" w:hAnsi="Times New Roman;Times;Serif"/>
          <w:b w:val="false"/>
          <w:i w:val="false"/>
          <w:caps w:val="false"/>
          <w:smallCaps w:val="false"/>
          <w:sz w:val="20"/>
        </w:rPr>
        <w:t>Schedule of Lease Costs </w:t>
      </w:r>
    </w:p>
    <w:tbl>
      <w:tblPr>
        <w:tblW w:w="4493" w:type="dxa"/>
        <w:jc w:val="left"/>
        <w:tblInd w:w="0" w:type="dxa"/>
        <w:tblLayout w:type="fixed"/>
        <w:tblCellMar>
          <w:top w:w="0" w:type="dxa"/>
          <w:left w:w="0" w:type="dxa"/>
          <w:bottom w:w="0" w:type="dxa"/>
          <w:right w:w="0" w:type="dxa"/>
        </w:tblCellMar>
      </w:tblPr>
      <w:tblGrid>
        <w:gridCol w:w="2000"/>
        <w:gridCol w:w="60"/>
        <w:gridCol w:w="284"/>
        <w:gridCol w:w="773"/>
        <w:gridCol w:w="122"/>
        <w:gridCol w:w="122"/>
        <w:gridCol w:w="284"/>
        <w:gridCol w:w="77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5" w:name="xdx_499_20251001__20260630_z1fRJavtaioh"/>
            <w:bookmarkEnd w:id="585"/>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bookmarkStart w:id="586" w:name="xdx_49B_20241001__20250630_z8EKoIfrGDF5"/>
            <w:bookmarkEnd w:id="586"/>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87" w:name="xdx_40E_eus-gaap--OperatingLeaseCost_pn3"/>
            <w:bookmarkEnd w:id="587"/>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bookmarkStart w:id="588" w:name="xdx_405_eus-gaap--ShortTermLeaseCost_pn3"/>
            <w:bookmarkEnd w:id="588"/>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bookmarkStart w:id="589" w:name="xdx_40E_eus-gaap--LeaseCost_iT_pn3n3_mtL"/>
            <w:bookmarkEnd w:id="589"/>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0" w:name="xdx_8A2_zidNiLgWirU"/>
      <w:bookmarkEnd w:id="59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nine months ended June 30, 2026 and 2025 was $</w:t>
      </w:r>
      <w:bookmarkStart w:id="591" w:name="xdx_901_eus-gaap--OperatingLeasePayments"/>
      <w:bookmarkEnd w:id="591"/>
      <w:r>
        <w:rPr>
          <w:rFonts w:ascii="Times New Roman;Times;Serif" w:hAnsi="Times New Roman;Times;Serif"/>
          <w:b w:val="false"/>
          <w:i w:val="false"/>
          <w:caps w:val="false"/>
          <w:smallCaps w:val="false"/>
          <w:sz w:val="20"/>
        </w:rPr>
        <w:t>239 and $</w:t>
      </w:r>
      <w:bookmarkStart w:id="592" w:name="xdx_90C_eus-gaap--OperatingLeasePayments"/>
      <w:bookmarkEnd w:id="592"/>
      <w:r>
        <w:rPr>
          <w:rFonts w:ascii="Times New Roman;Times;Serif" w:hAnsi="Times New Roman;Times;Serif"/>
          <w:b w:val="false"/>
          <w:i w:val="false"/>
          <w:caps w:val="false"/>
          <w:smallCaps w:val="false"/>
          <w:sz w:val="20"/>
        </w:rPr>
        <w:t xml:space="preserve">458, respectively. As of June 30, 2026, the weighted-average remaining lease term was </w:t>
      </w:r>
      <w:bookmarkStart w:id="593" w:name="xdx_907_eus-gaap--OperatingLeaseWeighted"/>
      <w:bookmarkEnd w:id="593"/>
      <w:r>
        <w:rPr>
          <w:rFonts w:ascii="Times New Roman;Times;Serif" w:hAnsi="Times New Roman;Times;Serif"/>
          <w:b w:val="false"/>
          <w:i w:val="false"/>
          <w:caps w:val="false"/>
          <w:smallCaps w:val="false"/>
          <w:sz w:val="20"/>
        </w:rPr>
        <w:t xml:space="preserve">0.7 years, and the weighted-average discount rate was </w:t>
      </w:r>
      <w:bookmarkStart w:id="594" w:name="xdx_902_eus-gaap--OperatingLeaseWeighted"/>
      <w:bookmarkEnd w:id="594"/>
      <w:r>
        <w:rPr>
          <w:rFonts w:ascii="Times New Roman;Times;Serif" w:hAnsi="Times New Roman;Times;Serif"/>
          <w:b w:val="false"/>
          <w:i w:val="false"/>
          <w:caps w:val="false"/>
          <w:smallCaps w:val="false"/>
          <w:sz w:val="20"/>
        </w:rPr>
        <w:t>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pStyle w:val="TextBody"/>
        <w:bidi w:val="0"/>
        <w:spacing w:before="0" w:after="0"/>
        <w:ind w:left="0" w:right="0" w:hanging="0"/>
        <w:jc w:val="both"/>
        <w:rPr>
          <w:caps w:val="false"/>
          <w:smallCaps w:val="false"/>
        </w:rPr>
      </w:pPr>
      <w:bookmarkStart w:id="595" w:name="xdx_89E_eus-gaap--LesseeOperatingLeaseLi"/>
      <w:bookmarkEnd w:id="595"/>
      <w:r>
        <w:rPr>
          <w:caps w:val="false"/>
          <w:smallCaps w:val="false"/>
        </w:rPr>
        <w:t>  </w:t>
      </w:r>
      <w:bookmarkStart w:id="596" w:name="xdx_8B1_z81AEtDxMS19"/>
      <w:bookmarkEnd w:id="596"/>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97" w:name="xdx_49F_20260630_zv7bojfSxn12"/>
            <w:bookmarkEnd w:id="597"/>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98" w:name="xdx_40F_eus-gaap--LesseeOperatingLeaseLi"/>
            <w:bookmarkEnd w:id="598"/>
          </w:p>
        </w:tc>
      </w:tr>
      <w:tr>
        <w:trPr/>
        <w:tc>
          <w:tcPr>
            <w:tcW w:w="4610" w:type="dxa"/>
            <w:tcBorders/>
            <w:shd w:fill="FFFFFF" w:val="clear"/>
            <w:vAlign w:val="center"/>
          </w:tcPr>
          <w:p>
            <w:pPr>
              <w:pStyle w:val="TableContents"/>
              <w:bidi w:val="0"/>
              <w:spacing w:before="0" w:after="283"/>
              <w:jc w:val="both"/>
              <w:rPr/>
            </w:pPr>
            <w:r>
              <w:rPr/>
              <w:t>2026 (remaining three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bookmarkStart w:id="599" w:name="xdx_40A_eus-gaap--LesseeOperatingLeaseLi"/>
            <w:bookmarkEnd w:id="599"/>
          </w:p>
        </w:tc>
      </w:tr>
      <w:tr>
        <w:trPr/>
        <w:tc>
          <w:tcPr>
            <w:tcW w:w="461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bookmarkStart w:id="600" w:name="xdx_403_eus-gaap--LesseeOperatingLeaseLi"/>
            <w:bookmarkEnd w:id="600"/>
          </w:p>
        </w:tc>
      </w:tr>
      <w:tr>
        <w:trPr/>
        <w:tc>
          <w:tcPr>
            <w:tcW w:w="4610" w:type="dxa"/>
            <w:tcBorders/>
            <w:shd w:fill="CCEEFF" w:val="clear"/>
            <w:vAlign w:val="center"/>
          </w:tcPr>
          <w:p>
            <w:pPr>
              <w:pStyle w:val="TableContents"/>
              <w:bidi w:val="0"/>
              <w:spacing w:before="0" w:after="283"/>
              <w:jc w:val="both"/>
              <w:rPr/>
            </w:pPr>
            <w:r>
              <w:rPr/>
              <w:t>Year II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01" w:name="xdx_40E_eus-gaap--LesseeOperatingLeaseLi"/>
            <w:bookmarkEnd w:id="601"/>
          </w:p>
        </w:tc>
      </w:tr>
      <w:tr>
        <w:trPr/>
        <w:tc>
          <w:tcPr>
            <w:tcW w:w="461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bookmarkStart w:id="602" w:name="xdx_401_eus-gaap--LesseeOperatingLeaseLi"/>
            <w:bookmarkEnd w:id="602"/>
          </w:p>
        </w:tc>
      </w:tr>
      <w:tr>
        <w:trPr/>
        <w:tc>
          <w:tcPr>
            <w:tcW w:w="461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bookmarkStart w:id="603" w:name="xdx_40A_eus-gaap--OperatingLeaseLiabilit"/>
            <w:bookmarkEnd w:id="603"/>
          </w:p>
        </w:tc>
      </w:tr>
      <w:tr>
        <w:trPr/>
        <w:tc>
          <w:tcPr>
            <w:tcW w:w="4610" w:type="dxa"/>
            <w:tcBorders/>
            <w:shd w:fill="FFFFFF" w:val="clear"/>
            <w:vAlign w:val="center"/>
          </w:tcPr>
          <w:p>
            <w:pPr>
              <w:pStyle w:val="TableContents"/>
              <w:bidi w:val="0"/>
              <w:spacing w:before="0" w:after="283"/>
              <w:jc w:val="both"/>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bookmarkStart w:id="604" w:name="xdx_403_eus-gaap--OperatingLeaseLiabilit"/>
            <w:bookmarkEnd w:id="604"/>
          </w:p>
        </w:tc>
      </w:tr>
      <w:tr>
        <w:trPr/>
        <w:tc>
          <w:tcPr>
            <w:tcW w:w="4610" w:type="dxa"/>
            <w:tcBorders/>
            <w:shd w:fill="CCEEFF" w:val="clear"/>
            <w:vAlign w:val="center"/>
          </w:tcPr>
          <w:p>
            <w:pPr>
              <w:pStyle w:val="TableContents"/>
              <w:bidi w:val="0"/>
              <w:spacing w:before="0" w:after="283"/>
              <w:jc w:val="both"/>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bookmarkStart w:id="605" w:name="xdx_409_eus-gaap--OperatingLeaseLiabilit"/>
            <w:bookmarkEnd w:id="605"/>
          </w:p>
        </w:tc>
      </w:tr>
      <w:tr>
        <w:trPr/>
        <w:tc>
          <w:tcPr>
            <w:tcW w:w="4610" w:type="dxa"/>
            <w:tcBorders/>
            <w:shd w:fill="FFFFFF" w:val="clear"/>
            <w:vAlign w:val="center"/>
          </w:tcPr>
          <w:p>
            <w:pPr>
              <w:pStyle w:val="TableContents"/>
              <w:bidi w:val="0"/>
              <w:spacing w:before="0" w:after="283"/>
              <w:jc w:val="both"/>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6" w:name="xdx_8AD_zvIRUkxfy4M3"/>
      <w:bookmarkEnd w:id="60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7" w:name="xdx_803_eus-gaap--CommitmentsAndContinge"/>
      <w:bookmarkEnd w:id="607"/>
      <w:r>
        <w:rPr>
          <w:rFonts w:ascii="Times New Roman;Times;Serif" w:hAnsi="Times New Roman;Times;Serif"/>
          <w:b/>
          <w:i w:val="false"/>
          <w:caps w:val="false"/>
          <w:smallCaps w:val="false"/>
          <w:sz w:val="20"/>
        </w:rPr>
        <w:t xml:space="preserve">Note 9 — </w:t>
      </w:r>
      <w:bookmarkStart w:id="608" w:name="xdx_826_zSuAHfKSbxJ6"/>
      <w:bookmarkEnd w:id="60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9" w:name="xdx_808_eus-gaap--IncomeTaxDisclosureTex"/>
      <w:bookmarkEnd w:id="609"/>
      <w:r>
        <w:rPr>
          <w:rFonts w:ascii="Times New Roman;Times;Serif" w:hAnsi="Times New Roman;Times;Serif"/>
          <w:b/>
          <w:i w:val="false"/>
          <w:caps w:val="false"/>
          <w:smallCaps w:val="false"/>
          <w:sz w:val="20"/>
        </w:rPr>
        <w:t>Note 10 — </w:t>
      </w:r>
      <w:bookmarkStart w:id="610" w:name="xdx_828_zrKcVpJChjV"/>
      <w:bookmarkEnd w:id="61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w:t>
      </w:r>
      <w:bookmarkStart w:id="611" w:name="xdx_906_eus-gaap--IncomeTaxExpenseBenefi"/>
      <w:bookmarkEnd w:id="611"/>
      <w:r>
        <w:rPr>
          <w:rFonts w:ascii="Times New Roman;Times;Serif" w:hAnsi="Times New Roman;Times;Serif"/>
          <w:b w:val="false"/>
          <w:i w:val="false"/>
          <w:caps w:val="false"/>
          <w:smallCaps w:val="false"/>
          <w:sz w:val="20"/>
        </w:rPr>
        <w:t>3 and an income tax benefit of $</w:t>
      </w:r>
      <w:bookmarkStart w:id="612" w:name="xdx_90D_eus-gaap--IncomeTaxExpenseBenefi"/>
      <w:bookmarkEnd w:id="612"/>
      <w:r>
        <w:rPr>
          <w:rFonts w:ascii="Times New Roman;Times;Serif" w:hAnsi="Times New Roman;Times;Serif"/>
          <w:b w:val="false"/>
          <w:i w:val="false"/>
          <w:caps w:val="false"/>
          <w:smallCaps w:val="false"/>
          <w:sz w:val="20"/>
        </w:rPr>
        <w:t>2 for the three months ended June 30, 2026 and 2025, respectively, and an income tax benefit of $</w:t>
      </w:r>
      <w:bookmarkStart w:id="613" w:name="xdx_900_eus-gaap--IncomeTaxExpenseBenefi"/>
      <w:bookmarkEnd w:id="613"/>
      <w:r>
        <w:rPr>
          <w:rFonts w:ascii="Times New Roman;Times;Serif" w:hAnsi="Times New Roman;Times;Serif"/>
          <w:b w:val="false"/>
          <w:i w:val="false"/>
          <w:caps w:val="false"/>
          <w:smallCaps w:val="false"/>
          <w:sz w:val="20"/>
        </w:rPr>
        <w:t>18 and an income tax benefit of $</w:t>
      </w:r>
      <w:bookmarkStart w:id="614" w:name="xdx_909_eus-gaap--IncomeTaxExpenseBenefi"/>
      <w:bookmarkEnd w:id="614"/>
      <w:r>
        <w:rPr>
          <w:rFonts w:ascii="Times New Roman;Times;Serif" w:hAnsi="Times New Roman;Times;Serif"/>
          <w:b w:val="false"/>
          <w:i w:val="false"/>
          <w:caps w:val="false"/>
          <w:smallCaps w:val="false"/>
          <w:sz w:val="20"/>
        </w:rPr>
        <w:t>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xdx_801_eus-gaap--StockholdersEquityNote"/>
      <w:bookmarkEnd w:id="615"/>
      <w:r>
        <w:rPr>
          <w:rFonts w:ascii="Times New Roman;Times;Serif" w:hAnsi="Times New Roman;Times;Serif"/>
          <w:b/>
          <w:i w:val="false"/>
          <w:caps w:val="false"/>
          <w:smallCaps w:val="false"/>
          <w:sz w:val="20"/>
        </w:rPr>
        <w:t xml:space="preserve">Note 11 — </w:t>
      </w:r>
      <w:bookmarkStart w:id="616" w:name="xdx_828_zkaEnsHLx4Jj"/>
      <w:bookmarkEnd w:id="616"/>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preferred stock instruments at issuance and each reporting period for classification and derivative features requiring bifurcation.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Preferred Stock and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19, 2026, the Company entered into a Securities Purchase Agreement (the “Kips Purchase Agreement”) with Kips Bay Select, LP (“Kips”), pursuant to which the Company agreed to sell to Kips (i) </w:t>
      </w:r>
      <w:bookmarkStart w:id="617" w:name="xdx_902_eus-gaap--SaleOfStockNumberOfSha"/>
      <w:bookmarkEnd w:id="617"/>
      <w:r>
        <w:rPr>
          <w:rFonts w:ascii="Times New Roman;Times;Serif" w:hAnsi="Times New Roman;Times;Serif"/>
          <w:b w:val="false"/>
          <w:i w:val="false"/>
          <w:caps w:val="false"/>
          <w:smallCaps w:val="false"/>
          <w:sz w:val="20"/>
        </w:rPr>
        <w:t>2,000 shares of Series A 10% Convertible Preferred Stock (the “Preferred Shares”) for an aggregate purchase price of $</w:t>
      </w:r>
      <w:bookmarkStart w:id="618" w:name="xdx_906_eus-gaap--ProceedsFromIssuanceOf"/>
      <w:bookmarkEnd w:id="618"/>
      <w:r>
        <w:rPr>
          <w:rFonts w:ascii="Times New Roman;Times;Serif" w:hAnsi="Times New Roman;Times;Serif"/>
          <w:b w:val="false"/>
          <w:i w:val="false"/>
          <w:caps w:val="false"/>
          <w:smallCaps w:val="false"/>
          <w:sz w:val="20"/>
        </w:rPr>
        <w:t>2,000, reflecting an aggregate stated value of $</w:t>
      </w:r>
      <w:bookmarkStart w:id="619" w:name="xdx_90A_ecustom--PreferredStockAggregate"/>
      <w:bookmarkEnd w:id="619"/>
      <w:r>
        <w:rPr>
          <w:rFonts w:ascii="Times New Roman;Times;Serif" w:hAnsi="Times New Roman;Times;Serif"/>
          <w:b w:val="false"/>
          <w:i w:val="false"/>
          <w:caps w:val="false"/>
          <w:smallCaps w:val="false"/>
          <w:sz w:val="20"/>
        </w:rPr>
        <w:t xml:space="preserve">2,400, and (ii) a Preferred Stock Purchase Warrant (the “Preferred Warrant”) to purchase up to an additional </w:t>
      </w:r>
      <w:bookmarkStart w:id="620" w:name="xdx_906_eus-gaap--ClassOfWarrantOrRightN"/>
      <w:bookmarkEnd w:id="620"/>
      <w:r>
        <w:rPr>
          <w:rFonts w:ascii="Times New Roman;Times;Serif" w:hAnsi="Times New Roman;Times;Serif"/>
          <w:b w:val="false"/>
          <w:i w:val="false"/>
          <w:caps w:val="false"/>
          <w:smallCaps w:val="false"/>
          <w:sz w:val="20"/>
        </w:rPr>
        <w:t>6,000 shares of Series A 10% Convertible Preferred Stock at an exercise price of $</w:t>
      </w:r>
      <w:bookmarkStart w:id="621" w:name="xdx_905_eus-gaap--ClassOfWarrantOrRightE"/>
      <w:bookmarkEnd w:id="621"/>
      <w:r>
        <w:rPr>
          <w:rFonts w:ascii="Times New Roman;Times;Serif" w:hAnsi="Times New Roman;Times;Serif"/>
          <w:b w:val="false"/>
          <w:i w:val="false"/>
          <w:caps w:val="false"/>
          <w:smallCaps w:val="false"/>
          <w:sz w:val="20"/>
        </w:rPr>
        <w:t>1,000 per share. Kips funded $</w:t>
      </w:r>
      <w:bookmarkStart w:id="622" w:name="xdx_906_eus-gaap--WarrantsAndRightsOutst"/>
      <w:bookmarkEnd w:id="622"/>
      <w:r>
        <w:rPr>
          <w:rFonts w:ascii="Times New Roman;Times;Serif" w:hAnsi="Times New Roman;Times;Serif"/>
          <w:b w:val="false"/>
          <w:i w:val="false"/>
          <w:caps w:val="false"/>
          <w:smallCaps w:val="false"/>
          <w:sz w:val="20"/>
        </w:rPr>
        <w:t>2,000 and $</w:t>
      </w:r>
      <w:bookmarkStart w:id="623" w:name="xdx_90E_eus-gaap--LegalFees_pn3n3_c20260"/>
      <w:bookmarkEnd w:id="623"/>
      <w:r>
        <w:rPr>
          <w:rFonts w:ascii="Times New Roman;Times;Serif" w:hAnsi="Times New Roman;Times;Serif"/>
          <w:b w:val="false"/>
          <w:i w:val="false"/>
          <w:caps w:val="false"/>
          <w:smallCaps w:val="false"/>
          <w:sz w:val="20"/>
        </w:rPr>
        <w:t>25 was withheld for legal fees, resulting in net proceeds to the Company of $</w:t>
      </w:r>
      <w:bookmarkStart w:id="624" w:name="xdx_907_eus-gaap--ProceedsFromOtherDebt_"/>
      <w:bookmarkEnd w:id="624"/>
      <w:r>
        <w:rPr>
          <w:rFonts w:ascii="Times New Roman;Times;Serif" w:hAnsi="Times New Roman;Times;Serif"/>
          <w:b w:val="false"/>
          <w:i w:val="false"/>
          <w:caps w:val="false"/>
          <w:smallCaps w:val="false"/>
          <w:sz w:val="20"/>
        </w:rPr>
        <w:t>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whether voluntary or involuntary, holders of preferred stock shall be entitled to receive out of the assets, whether capital or surplus, of the Company an amount equal to the Stated Value of $</w:t>
      </w:r>
      <w:bookmarkStart w:id="625" w:name="xdx_90A_eus-gaap--SharesIssuedPricePerSh"/>
      <w:bookmarkEnd w:id="625"/>
      <w:r>
        <w:rPr>
          <w:rFonts w:ascii="Times New Roman;Times;Serif" w:hAnsi="Times New Roman;Times;Serif"/>
          <w:b w:val="false"/>
          <w:i w:val="false"/>
          <w:caps w:val="false"/>
          <w:smallCaps w:val="false"/>
          <w:sz w:val="20"/>
        </w:rPr>
        <w:t>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are cumulative and accrue at a stated rate of </w:t>
      </w:r>
      <w:bookmarkStart w:id="626" w:name="xdx_901_eus-gaap--DebtInstrumentInterest"/>
      <w:bookmarkEnd w:id="626"/>
      <w:r>
        <w:rPr>
          <w:rFonts w:ascii="Times New Roman;Times;Serif" w:hAnsi="Times New Roman;Times;Serif"/>
          <w:b w:val="false"/>
          <w:i w:val="false"/>
          <w:caps w:val="false"/>
          <w:smallCaps w:val="false"/>
          <w:sz w:val="20"/>
        </w:rPr>
        <w:t xml:space="preserve">10.00% of the Stated Value per annum and are payable in cash, or at the Company’s option, shares of Series A </w:t>
      </w:r>
      <w:bookmarkStart w:id="627" w:name="xdx_904_eus-gaap--DebtInstrumentInterest"/>
      <w:bookmarkEnd w:id="627"/>
      <w:r>
        <w:rPr>
          <w:rFonts w:ascii="Times New Roman;Times;Serif" w:hAnsi="Times New Roman;Times;Serif"/>
          <w:b w:val="false"/>
          <w:i w:val="false"/>
          <w:caps w:val="false"/>
          <w:smallCaps w:val="false"/>
          <w:sz w:val="20"/>
        </w:rPr>
        <w:t>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w:t>
      </w:r>
      <w:bookmarkStart w:id="628" w:name="xdx_904_eus-gaap--DebtInstrumentInterest"/>
      <w:bookmarkEnd w:id="628"/>
      <w:r>
        <w:rPr>
          <w:rFonts w:ascii="Times New Roman;Times;Serif" w:hAnsi="Times New Roman;Times;Serif"/>
          <w:b w:val="false"/>
          <w:i w:val="false"/>
          <w:caps w:val="false"/>
          <w:smallCaps w:val="false"/>
          <w:sz w:val="20"/>
        </w:rPr>
        <w:t>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w:t>
      </w:r>
      <w:bookmarkStart w:id="629" w:name="xdx_904_eus-gaap--WarrantsAndRightsOutst"/>
      <w:bookmarkEnd w:id="629"/>
      <w:r>
        <w:rPr>
          <w:rFonts w:ascii="Times New Roman;Times;Serif" w:hAnsi="Times New Roman;Times;Serif"/>
          <w:b w:val="false"/>
          <w:i w:val="false"/>
          <w:caps w:val="false"/>
          <w:smallCaps w:val="false"/>
          <w:sz w:val="20"/>
        </w:rPr>
        <w:t xml:space="preserve">3,707, included in “Loss on issuance of preferred shares and liability-classified warrants” on the condensed consolidated statements of operations and comprehensive loss.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w:t>
      </w:r>
      <w:bookmarkStart w:id="630" w:name="xdx_90E_eus-gaap--SharesIssued_iI_pid_c2"/>
      <w:bookmarkEnd w:id="630"/>
      <w:r>
        <w:rPr>
          <w:rFonts w:ascii="Times New Roman;Times;Serif" w:hAnsi="Times New Roman;Times;Serif"/>
          <w:b w:val="false"/>
          <w:i w:val="false"/>
          <w:caps w:val="false"/>
          <w:smallCaps w:val="false"/>
          <w:sz w:val="20"/>
        </w:rPr>
        <w:t>294,117 shares of Class A Common Stock (the “Extension Shares”) on July 17, 2026, valued at $</w:t>
      </w:r>
      <w:bookmarkStart w:id="631" w:name="xdx_901_eus-gaap--ProceedsFromIssuanceOf"/>
      <w:bookmarkEnd w:id="631"/>
      <w:r>
        <w:rPr>
          <w:rFonts w:ascii="Times New Roman;Times;Serif" w:hAnsi="Times New Roman;Times;Serif"/>
          <w:b w:val="false"/>
          <w:i w:val="false"/>
          <w:caps w:val="false"/>
          <w:smallCaps w:val="false"/>
          <w:sz w:val="20"/>
        </w:rPr>
        <w:t>600 based on a price of $</w:t>
      </w:r>
      <w:bookmarkStart w:id="632" w:name="xdx_90A_eus-gaap--SharesIssuedPricePerSh"/>
      <w:bookmarkEnd w:id="632"/>
      <w:r>
        <w:rPr>
          <w:rFonts w:ascii="Times New Roman;Times;Serif" w:hAnsi="Times New Roman;Times;Serif"/>
          <w:b w:val="false"/>
          <w:i w:val="false"/>
          <w:caps w:val="false"/>
          <w:smallCaps w:val="false"/>
          <w:sz w:val="20"/>
        </w:rPr>
        <w:t>2.04 per share, which exceeded the Nasdaq Listing Rule 5635(d) Minimum Price of $</w:t>
      </w:r>
      <w:bookmarkStart w:id="633" w:name="xdx_901_eus-gaap--SaleOfStockPricePerSha"/>
      <w:bookmarkEnd w:id="633"/>
      <w:r>
        <w:rPr>
          <w:rFonts w:ascii="Times New Roman;Times;Serif" w:hAnsi="Times New Roman;Times;Serif"/>
          <w:b w:val="false"/>
          <w:i w:val="false"/>
          <w:caps w:val="false"/>
          <w:smallCaps w:val="false"/>
          <w:sz w:val="20"/>
        </w:rPr>
        <w:t>2.036. Our registration statement on Form S-1 (File No. 333-296928) was filed June 22, 2026 and declared effective July 16, 2026. The Company recorded a charge of $</w:t>
      </w:r>
      <w:bookmarkStart w:id="634" w:name="xdx_904_ecustom--ExtensionsCharges_pn3n3"/>
      <w:bookmarkEnd w:id="634"/>
      <w:r>
        <w:rPr>
          <w:rFonts w:ascii="Times New Roman;Times;Serif" w:hAnsi="Times New Roman;Times;Serif"/>
          <w:b w:val="false"/>
          <w:i w:val="false"/>
          <w:caps w:val="false"/>
          <w:smallCaps w:val="false"/>
          <w:sz w:val="20"/>
        </w:rPr>
        <w:t>600 in the three months ended June 30, 2026 with respect to the Extension Shares, which was recorded in financing costs expensed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exchange agreements discussed in Note 7,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nine months ended June 30, 2025, the Company and the holders of certain of the Company’s accounts payable and accrued expenses and other current liabilities agreed to settle the outstanding balances, totaling $</w:t>
      </w:r>
      <w:bookmarkStart w:id="635" w:name="xdx_90C_eus-gaap--DebtInstrumentFaceAmou"/>
      <w:bookmarkEnd w:id="635"/>
      <w:r>
        <w:rPr>
          <w:rFonts w:ascii="Times New Roman;Times;Serif" w:hAnsi="Times New Roman;Times;Serif"/>
          <w:b w:val="false"/>
          <w:i w:val="false"/>
          <w:caps w:val="false"/>
          <w:smallCaps w:val="false"/>
          <w:sz w:val="20"/>
        </w:rPr>
        <w:t xml:space="preserve">2,122, for </w:t>
      </w:r>
      <w:bookmarkStart w:id="636" w:name="xdx_905_eus-gaap--StockIssuedDuringPerio"/>
      <w:bookmarkEnd w:id="636"/>
      <w:r>
        <w:rPr>
          <w:rFonts w:ascii="Times New Roman;Times;Serif" w:hAnsi="Times New Roman;Times;Serif"/>
          <w:b w:val="false"/>
          <w:i w:val="false"/>
          <w:caps w:val="false"/>
          <w:smallCaps w:val="false"/>
          <w:sz w:val="20"/>
        </w:rPr>
        <w:t>134,062 shares of the Company’s Class A Common Stock. The Company recognized a gain on the settlements of $</w:t>
      </w:r>
      <w:bookmarkStart w:id="637" w:name="xdx_90C_ecustom--GainOnSettlements_iI_pn"/>
      <w:bookmarkEnd w:id="637"/>
      <w:r>
        <w:rPr>
          <w:rFonts w:ascii="Times New Roman;Times;Serif" w:hAnsi="Times New Roman;Times;Serif"/>
          <w:b w:val="false"/>
          <w:i w:val="false"/>
          <w:caps w:val="false"/>
          <w:smallCaps w:val="false"/>
          <w:sz w:val="20"/>
        </w:rPr>
        <w:t>1,469 recorded in other non-operating (gains) losses, net,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in connection with a modification of the RaGE earnout agreement, the Company issued </w:t>
      </w:r>
      <w:bookmarkStart w:id="638" w:name="xdx_905_eus-gaap--StockIssuedDuringPerio"/>
      <w:bookmarkEnd w:id="638"/>
      <w:r>
        <w:rPr>
          <w:rFonts w:ascii="Times New Roman;Times;Serif" w:hAnsi="Times New Roman;Times;Serif"/>
          <w:b w:val="false"/>
          <w:i w:val="false"/>
          <w:caps w:val="false"/>
          <w:smallCaps w:val="false"/>
          <w:sz w:val="20"/>
        </w:rPr>
        <w:t>464,952 shares of the Company’s Class A Common Stock. The Company recognized an additional expense on the issuance of $</w:t>
      </w:r>
      <w:bookmarkStart w:id="639" w:name="xdx_90A_eus-gaap--StockIssuedDuringPerio"/>
      <w:bookmarkEnd w:id="639"/>
      <w:r>
        <w:rPr>
          <w:rFonts w:ascii="Times New Roman;Times;Serif" w:hAnsi="Times New Roman;Times;Serif"/>
          <w:b w:val="false"/>
          <w:i w:val="false"/>
          <w:caps w:val="false"/>
          <w:smallCaps w:val="false"/>
          <w:sz w:val="20"/>
        </w:rPr>
        <w:t>1,121 recorded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 2026, the Company’s board of directors approved a reverse stock split of its Class A Common Stock and Class B Common Stock at a ratio of </w:t>
      </w:r>
      <w:bookmarkStart w:id="640" w:name="xdx_901_eus-gaap--StockholdersEquityReve"/>
      <w:bookmarkEnd w:id="640"/>
      <w:r>
        <w:rPr>
          <w:rFonts w:ascii="Times New Roman;Times;Serif" w:hAnsi="Times New Roman;Times;Serif"/>
          <w:b w:val="false"/>
          <w:i w:val="false"/>
          <w:caps w:val="false"/>
          <w:smallCaps w:val="false"/>
          <w:sz w:val="20"/>
        </w:rPr>
        <w:t>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certain securities purchase agreements with unrelated investors relating to a public offering of </w:t>
      </w:r>
      <w:bookmarkStart w:id="641" w:name="xdx_90A_eus-gaap--SaleOfStockNumberOfSha"/>
      <w:bookmarkEnd w:id="641"/>
      <w:r>
        <w:rPr>
          <w:rFonts w:ascii="Times New Roman;Times;Serif" w:hAnsi="Times New Roman;Times;Serif"/>
          <w:b w:val="false"/>
          <w:i w:val="false"/>
          <w:caps w:val="false"/>
          <w:smallCaps w:val="false"/>
          <w:sz w:val="20"/>
        </w:rPr>
        <w:t>3,000,000 shares of its Class A Common Stock at a price to the public of $</w:t>
      </w:r>
      <w:bookmarkStart w:id="642" w:name="xdx_907_eus-gaap--SaleOfStockPricePerSha"/>
      <w:bookmarkEnd w:id="642"/>
      <w:r>
        <w:rPr>
          <w:rFonts w:ascii="Times New Roman;Times;Serif" w:hAnsi="Times New Roman;Times;Serif"/>
          <w:b w:val="false"/>
          <w:i w:val="false"/>
          <w:caps w:val="false"/>
          <w:smallCaps w:val="false"/>
          <w:sz w:val="20"/>
        </w:rPr>
        <w:t xml:space="preserve">2.00 per share (the “Offering”). In connection with the Offering, the Company entered into a placement agency agreement, pursuant to which the Company agreed to pay the placement agent a cash placement fee equal to </w:t>
      </w:r>
      <w:bookmarkStart w:id="643" w:name="xdx_906_ecustom--PlacementAgentCashPlace"/>
      <w:bookmarkEnd w:id="643"/>
      <w:r>
        <w:rPr>
          <w:rFonts w:ascii="Times New Roman;Times;Serif" w:hAnsi="Times New Roman;Times;Serif"/>
          <w:b w:val="false"/>
          <w:i w:val="false"/>
          <w:caps w:val="false"/>
          <w:smallCaps w:val="false"/>
          <w:sz w:val="20"/>
        </w:rPr>
        <w:t xml:space="preserve">8.0% of the aggregate gross proceeds raised in the Offering. Subject to certain conditions, the Company also agreed to reimburse the placement agent up to </w:t>
      </w:r>
      <w:bookmarkStart w:id="644" w:name="xdx_905_ecustom--PlacementAgentCashPlace"/>
      <w:bookmarkEnd w:id="644"/>
      <w:r>
        <w:rPr>
          <w:rFonts w:ascii="Times New Roman;Times;Serif" w:hAnsi="Times New Roman;Times;Serif"/>
          <w:b w:val="false"/>
          <w:i w:val="false"/>
          <w:caps w:val="false"/>
          <w:smallCaps w:val="false"/>
          <w:sz w:val="20"/>
        </w:rPr>
        <w:t>1.0% of the gross proceeds raised in the Offering for non-accountable expenses and up to $</w:t>
      </w:r>
      <w:bookmarkStart w:id="645" w:name="xdx_90B_eus-gaap--LegalFees_pn3n3_c20260"/>
      <w:bookmarkEnd w:id="645"/>
      <w:r>
        <w:rPr>
          <w:rFonts w:ascii="Times New Roman;Times;Serif" w:hAnsi="Times New Roman;Times;Serif"/>
          <w:b w:val="false"/>
          <w:i w:val="false"/>
          <w:caps w:val="false"/>
          <w:smallCaps w:val="false"/>
          <w:sz w:val="20"/>
        </w:rPr>
        <w:t>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w:t>
      </w:r>
      <w:bookmarkStart w:id="646" w:name="xdx_90B_eus-gaap--ProceedsFromIssuanceIn"/>
      <w:bookmarkEnd w:id="646"/>
      <w:r>
        <w:rPr>
          <w:rFonts w:ascii="Times New Roman;Times;Serif" w:hAnsi="Times New Roman;Times;Serif"/>
          <w:b w:val="false"/>
          <w:i w:val="false"/>
          <w:caps w:val="false"/>
          <w:smallCaps w:val="false"/>
          <w:sz w:val="20"/>
        </w:rPr>
        <w:t xml:space="preserve">5,360, after deducting placement agent fees and commissions and other estimated offering expenses payable by the Company. As a result of the Offering, the Company issued </w:t>
      </w:r>
      <w:bookmarkStart w:id="647" w:name="xdx_90E_eus-gaap--SharesIssued_iI_pid_c2"/>
      <w:bookmarkEnd w:id="647"/>
      <w:r>
        <w:rPr>
          <w:rFonts w:ascii="Times New Roman;Times;Serif" w:hAnsi="Times New Roman;Times;Serif"/>
          <w:b w:val="false"/>
          <w:i w:val="false"/>
          <w:caps w:val="false"/>
          <w:smallCaps w:val="false"/>
          <w:sz w:val="20"/>
        </w:rPr>
        <w:t>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sold </w:t>
      </w:r>
      <w:bookmarkStart w:id="648" w:name="xdx_900_eus-gaap--StockIssuedDuringPerio"/>
      <w:bookmarkEnd w:id="648"/>
      <w:r>
        <w:rPr>
          <w:rFonts w:ascii="Times New Roman;Times;Serif" w:hAnsi="Times New Roman;Times;Serif"/>
          <w:b w:val="false"/>
          <w:i w:val="false"/>
          <w:caps w:val="false"/>
          <w:smallCaps w:val="false"/>
          <w:sz w:val="20"/>
        </w:rPr>
        <w:t>52,173 shares of its Class A Common Stock to an unaffiliated investor for net proceeds of $</w:t>
      </w:r>
      <w:bookmarkStart w:id="649" w:name="xdx_90B_eus-gaap--ProceedsFromIssuanceOf"/>
      <w:bookmarkEnd w:id="649"/>
      <w:r>
        <w:rPr>
          <w:rFonts w:ascii="Times New Roman;Times;Serif" w:hAnsi="Times New Roman;Times;Serif"/>
          <w:b w:val="false"/>
          <w:i w:val="false"/>
          <w:caps w:val="false"/>
          <w:smallCaps w:val="false"/>
          <w:sz w:val="20"/>
        </w:rPr>
        <w:t xml:space="preserve">600. The Company also issued </w:t>
      </w:r>
      <w:bookmarkStart w:id="650" w:name="xdx_90A_eus-gaap--StockIssuedDuringPerio"/>
      <w:bookmarkEnd w:id="650"/>
      <w:r>
        <w:rPr>
          <w:rFonts w:ascii="Times New Roman;Times;Serif" w:hAnsi="Times New Roman;Times;Serif"/>
          <w:b w:val="false"/>
          <w:i w:val="false"/>
          <w:caps w:val="false"/>
          <w:smallCaps w:val="false"/>
          <w:sz w:val="20"/>
        </w:rPr>
        <w:t>61,059 shares of its Class A Common Stock to certain vendors in settlement of $</w:t>
      </w:r>
      <w:bookmarkStart w:id="651" w:name="xdx_90F_eus-gaap--IncreaseDecreaseInAcco"/>
      <w:bookmarkEnd w:id="651"/>
      <w:r>
        <w:rPr>
          <w:rFonts w:ascii="Times New Roman;Times;Serif" w:hAnsi="Times New Roman;Times;Serif"/>
          <w:b w:val="false"/>
          <w:i w:val="false"/>
          <w:caps w:val="false"/>
          <w:smallCaps w:val="false"/>
          <w:sz w:val="20"/>
        </w:rPr>
        <w:t>700 of accounts payable. In connection therewith, the Company recognized a gain of $</w:t>
      </w:r>
      <w:bookmarkStart w:id="652" w:name="xdx_90A_eus-gaap--EquityMethodInvestment"/>
      <w:bookmarkEnd w:id="652"/>
      <w:r>
        <w:rPr>
          <w:rFonts w:ascii="Times New Roman;Times;Serif" w:hAnsi="Times New Roman;Times;Serif"/>
          <w:b w:val="false"/>
          <w:i w:val="false"/>
          <w:caps w:val="false"/>
          <w:smallCaps w:val="false"/>
          <w:sz w:val="20"/>
        </w:rPr>
        <w:t xml:space="preserve">147. Also during the nine months ended June 30, 2025, holders of </w:t>
      </w:r>
      <w:bookmarkStart w:id="653" w:name="xdx_90B_eus-gaap--StockIssuedDuringPerio"/>
      <w:bookmarkEnd w:id="653"/>
      <w:r>
        <w:rPr>
          <w:rFonts w:ascii="Times New Roman;Times;Serif" w:hAnsi="Times New Roman;Times;Serif"/>
          <w:b w:val="false"/>
          <w:i w:val="false"/>
          <w:caps w:val="false"/>
          <w:smallCaps w:val="false"/>
          <w:sz w:val="20"/>
        </w:rPr>
        <w:t>12,500 shares of the Company’s Class B Common Stock elected to convert such shares into the same number of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w:t>
      </w:r>
      <w:bookmarkStart w:id="654" w:name="xdx_90B_eus-gaap--StockRepurchasedDuring"/>
      <w:bookmarkEnd w:id="654"/>
      <w:r>
        <w:rPr>
          <w:rFonts w:ascii="Times New Roman;Times;Serif" w:hAnsi="Times New Roman;Times;Serif"/>
          <w:b w:val="false"/>
          <w:i w:val="false"/>
          <w:caps w:val="false"/>
          <w:smallCaps w:val="false"/>
          <w:sz w:val="20"/>
        </w:rPr>
        <w:t xml:space="preserve">15,800 in shares of its Class A Common Stock through the Manager acting in its capacity as its sales agent. On June 26, 2026, the Company terminated its At The Market Offering Agreement and filed a post-effective amendment to deregister approximately </w:t>
      </w:r>
      <w:bookmarkStart w:id="655" w:name="xdx_909_eus-gaap--StockRepurchasedDuring"/>
      <w:bookmarkEnd w:id="655"/>
      <w:r>
        <w:rPr>
          <w:rFonts w:ascii="Times New Roman;Times;Serif" w:hAnsi="Times New Roman;Times;Serif"/>
          <w:b w:val="false"/>
          <w:i w:val="false"/>
          <w:caps w:val="false"/>
          <w:smallCaps w:val="false"/>
          <w:sz w:val="20"/>
        </w:rPr>
        <w:t>900,000 shares of Class A Common Stock previously registered for potential sale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2026, the Company sold </w:t>
      </w:r>
      <w:bookmarkStart w:id="656" w:name="xdx_908_eus-gaap--SaleOfStockNumberOfSha"/>
      <w:bookmarkEnd w:id="656"/>
      <w:r>
        <w:rPr>
          <w:rFonts w:ascii="Times New Roman;Times;Serif" w:hAnsi="Times New Roman;Times;Serif"/>
          <w:b w:val="false"/>
          <w:i w:val="false"/>
          <w:caps w:val="false"/>
          <w:smallCaps w:val="false"/>
          <w:sz w:val="20"/>
        </w:rPr>
        <w:t>191,449 shares of its Class A Common Stock under the ATM Agreement, for net proceeds (after commissions) of $</w:t>
      </w:r>
      <w:bookmarkStart w:id="657" w:name="xdx_900_eus-gaap--ProceedsFromIssuanceOf"/>
      <w:bookmarkEnd w:id="657"/>
      <w:r>
        <w:rPr>
          <w:rFonts w:ascii="Times New Roman;Times;Serif" w:hAnsi="Times New Roman;Times;Serif"/>
          <w:b w:val="false"/>
          <w:i w:val="false"/>
          <w:caps w:val="false"/>
          <w:smallCaps w:val="false"/>
          <w:sz w:val="20"/>
        </w:rPr>
        <w:t>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58" w:name="xdx_892_eus-gaap--ScheduleOfStockholders"/>
      <w:bookmarkEnd w:id="658"/>
      <w:r>
        <w:rPr>
          <w:rFonts w:ascii="Times New Roman;Times;Serif" w:hAnsi="Times New Roman;Times;Serif"/>
          <w:b w:val="false"/>
          <w:i w:val="false"/>
          <w:caps w:val="false"/>
          <w:smallCaps w:val="false"/>
          <w:sz w:val="20"/>
        </w:rPr>
        <w:t>As of June 30,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bookmarkStart w:id="659" w:name="xdx_8B3_z6WIhAFUCsKe"/>
      <w:bookmarkEnd w:id="659"/>
      <w:r>
        <w:rPr>
          <w:rFonts w:ascii="Times New Roman;Times;Serif" w:hAnsi="Times New Roman;Times;Serif"/>
          <w:b w:val="false"/>
          <w:i w:val="false"/>
          <w:caps w:val="false"/>
          <w:smallCaps w:val="false"/>
          <w:sz w:val="20"/>
        </w:rPr>
        <w:t>Schedule of Common Stock Available for Issuance</w:t>
      </w:r>
    </w:p>
    <w:tbl>
      <w:tblPr>
        <w:tblW w:w="9805" w:type="dxa"/>
        <w:jc w:val="left"/>
        <w:tblInd w:w="0" w:type="dxa"/>
        <w:tblLayout w:type="fixed"/>
        <w:tblCellMar>
          <w:top w:w="0" w:type="dxa"/>
          <w:left w:w="0" w:type="dxa"/>
          <w:bottom w:w="0" w:type="dxa"/>
          <w:right w:w="0" w:type="dxa"/>
        </w:tblCellMar>
      </w:tblPr>
      <w:tblGrid>
        <w:gridCol w:w="8390"/>
        <w:gridCol w:w="60"/>
        <w:gridCol w:w="60"/>
        <w:gridCol w:w="1220"/>
        <w:gridCol w:w="75"/>
      </w:tblGrid>
      <w:tr>
        <w:trPr/>
        <w:tc>
          <w:tcPr>
            <w:tcW w:w="8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60" w:name="xdx_49D_20260630__us-gaap--StatementClas"/>
            <w:bookmarkEnd w:id="660"/>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61" w:name="xdx_400_eus-gaap--CommonStockSharesAutho"/>
            <w:bookmarkEnd w:id="661"/>
          </w:p>
        </w:tc>
      </w:tr>
      <w:tr>
        <w:trPr/>
        <w:tc>
          <w:tcPr>
            <w:tcW w:w="839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839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62" w:name="xdx_40A_eus-gaap--CommonStockSharesOutst"/>
            <w:bookmarkEnd w:id="662"/>
          </w:p>
        </w:tc>
      </w:tr>
      <w:tr>
        <w:trPr/>
        <w:tc>
          <w:tcPr>
            <w:tcW w:w="839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15,001,187</w:t>
            </w:r>
          </w:p>
        </w:tc>
        <w:tc>
          <w:tcPr>
            <w:tcW w:w="75" w:type="dxa"/>
            <w:tcBorders/>
            <w:shd w:fill="CCEEFF" w:val="clear"/>
            <w:vAlign w:val="center"/>
          </w:tcPr>
          <w:p>
            <w:pPr>
              <w:pStyle w:val="TableContents"/>
              <w:bidi w:val="0"/>
              <w:spacing w:before="0" w:after="283"/>
              <w:jc w:val="left"/>
              <w:rPr/>
            </w:pPr>
            <w:r>
              <w:rPr/>
              <w:t> </w:t>
            </w:r>
            <w:bookmarkStart w:id="663" w:name="xdx_40F_ecustom--ReserveForConversionOfC"/>
            <w:bookmarkEnd w:id="663"/>
          </w:p>
        </w:tc>
      </w:tr>
      <w:tr>
        <w:trPr/>
        <w:tc>
          <w:tcPr>
            <w:tcW w:w="839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bookmarkStart w:id="664" w:name="xdx_401_ecustom--ReserveForExerciseOfCom"/>
            <w:bookmarkEnd w:id="664"/>
          </w:p>
        </w:tc>
      </w:tr>
      <w:tr>
        <w:trPr/>
        <w:tc>
          <w:tcPr>
            <w:tcW w:w="839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2,593,074</w:t>
            </w:r>
          </w:p>
        </w:tc>
        <w:tc>
          <w:tcPr>
            <w:tcW w:w="75" w:type="dxa"/>
            <w:tcBorders/>
            <w:shd w:fill="CCEEFF" w:val="clear"/>
            <w:vAlign w:val="center"/>
          </w:tcPr>
          <w:p>
            <w:pPr>
              <w:pStyle w:val="TableContents"/>
              <w:bidi w:val="0"/>
              <w:spacing w:before="0" w:after="283"/>
              <w:jc w:val="left"/>
              <w:rPr/>
            </w:pPr>
            <w:r>
              <w:rPr/>
              <w:t> </w:t>
            </w:r>
            <w:bookmarkStart w:id="665" w:name="xdx_404_ecustom--ReserveForEarnoutShares"/>
            <w:bookmarkEnd w:id="665"/>
          </w:p>
        </w:tc>
      </w:tr>
      <w:tr>
        <w:trPr/>
        <w:tc>
          <w:tcPr>
            <w:tcW w:w="839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bookmarkStart w:id="666" w:name="xdx_40B_ecustom--ReserveForExtensionShar"/>
            <w:bookmarkEnd w:id="666"/>
          </w:p>
        </w:tc>
      </w:tr>
      <w:tr>
        <w:trPr/>
        <w:tc>
          <w:tcPr>
            <w:tcW w:w="8390" w:type="dxa"/>
            <w:tcBorders/>
            <w:shd w:fill="CCEEFF" w:val="clear"/>
            <w:vAlign w:val="center"/>
          </w:tcPr>
          <w:p>
            <w:pPr>
              <w:pStyle w:val="TableContents"/>
              <w:bidi w:val="0"/>
              <w:spacing w:before="0" w:after="283"/>
              <w:jc w:val="left"/>
              <w:rPr/>
            </w:pPr>
            <w:r>
              <w:rPr/>
              <w:t>Reserve for Extension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294,117</w:t>
            </w:r>
          </w:p>
        </w:tc>
        <w:tc>
          <w:tcPr>
            <w:tcW w:w="75" w:type="dxa"/>
            <w:tcBorders/>
            <w:shd w:fill="CCEEFF" w:val="clear"/>
            <w:vAlign w:val="center"/>
          </w:tcPr>
          <w:p>
            <w:pPr>
              <w:pStyle w:val="TableContents"/>
              <w:bidi w:val="0"/>
              <w:spacing w:before="0" w:after="283"/>
              <w:jc w:val="left"/>
              <w:rPr/>
            </w:pPr>
            <w:r>
              <w:rPr/>
              <w:t> </w:t>
            </w:r>
            <w:bookmarkStart w:id="667" w:name="xdx_40C_ecustom--ReserveForConversionOfS"/>
            <w:bookmarkEnd w:id="667"/>
          </w:p>
        </w:tc>
      </w:tr>
      <w:tr>
        <w:trPr/>
        <w:tc>
          <w:tcPr>
            <w:tcW w:w="83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 for conversion of Series A 10% Convertible Preferred Stock and exercise of Preferred Warrant </w:t>
            </w:r>
            <w:bookmarkStart w:id="668" w:name="xdx_F49_zrNa4DLkashi"/>
            <w:bookmarkEnd w:id="668"/>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69" w:name="xdx_409_ecustom--ReserveForConversionOfC"/>
            <w:bookmarkEnd w:id="669"/>
          </w:p>
        </w:tc>
      </w:tr>
      <w:tr>
        <w:trPr/>
        <w:tc>
          <w:tcPr>
            <w:tcW w:w="8390" w:type="dxa"/>
            <w:tcBorders/>
            <w:shd w:fill="CCEEFF" w:val="clear"/>
            <w:vAlign w:val="center"/>
          </w:tcPr>
          <w:p>
            <w:pPr>
              <w:pStyle w:val="TableContents"/>
              <w:bidi w:val="0"/>
              <w:spacing w:before="0" w:after="283"/>
              <w:jc w:val="left"/>
              <w:rPr/>
            </w:pPr>
            <w:r>
              <w:rPr/>
              <w:t>Reserve for conversion of convertible notes payable measured at fair value</w:t>
            </w:r>
            <w:bookmarkStart w:id="670" w:name="xdx_F45_zXQ9TKXMQHAi"/>
            <w:bookmarkEnd w:id="670"/>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71" w:name="xdx_409_ecustom--StockOptionsAndRSUsOuts"/>
            <w:bookmarkEnd w:id="671"/>
          </w:p>
        </w:tc>
      </w:tr>
      <w:tr>
        <w:trPr/>
        <w:tc>
          <w:tcPr>
            <w:tcW w:w="839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711,217</w:t>
            </w:r>
          </w:p>
        </w:tc>
        <w:tc>
          <w:tcPr>
            <w:tcW w:w="75" w:type="dxa"/>
            <w:tcBorders/>
            <w:shd w:fill="FFFFFF" w:val="clear"/>
            <w:vAlign w:val="center"/>
          </w:tcPr>
          <w:p>
            <w:pPr>
              <w:pStyle w:val="TableContents"/>
              <w:bidi w:val="0"/>
              <w:spacing w:before="0" w:after="283"/>
              <w:jc w:val="left"/>
              <w:rPr/>
            </w:pPr>
            <w:r>
              <w:rPr/>
              <w:t> </w:t>
            </w:r>
            <w:bookmarkStart w:id="672" w:name="xdx_409_eus-gaap--ShareBasedCompensation"/>
            <w:bookmarkEnd w:id="672"/>
          </w:p>
        </w:tc>
      </w:tr>
      <w:tr>
        <w:trPr/>
        <w:tc>
          <w:tcPr>
            <w:tcW w:w="839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357,047</w:t>
            </w:r>
          </w:p>
        </w:tc>
        <w:tc>
          <w:tcPr>
            <w:tcW w:w="75" w:type="dxa"/>
            <w:tcBorders/>
            <w:shd w:fill="CCEEFF" w:val="clear"/>
            <w:vAlign w:val="center"/>
          </w:tcPr>
          <w:p>
            <w:pPr>
              <w:pStyle w:val="TableContents"/>
              <w:bidi w:val="0"/>
              <w:spacing w:before="0" w:after="283"/>
              <w:jc w:val="left"/>
              <w:rPr/>
            </w:pPr>
            <w:r>
              <w:rPr/>
              <w:t> </w:t>
            </w:r>
            <w:bookmarkStart w:id="673" w:name="xdx_406_ecustom--AwardsAvailableForGrant"/>
            <w:bookmarkEnd w:id="673"/>
          </w:p>
        </w:tc>
      </w:tr>
      <w:tr>
        <w:trPr/>
        <w:tc>
          <w:tcPr>
            <w:tcW w:w="8390" w:type="dxa"/>
            <w:tcBorders/>
            <w:shd w:fill="FFFFFF" w:val="clear"/>
            <w:vAlign w:val="center"/>
          </w:tcPr>
          <w:p>
            <w:pPr>
              <w:pStyle w:val="TableContents"/>
              <w:bidi w:val="0"/>
              <w:spacing w:before="0" w:after="283"/>
              <w:jc w:val="left"/>
              <w:rPr/>
            </w:pPr>
            <w:r>
              <w:rPr/>
              <w:t>Awards available for grant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bookmarkStart w:id="674" w:name="xdx_40B_eus-gaap--CommonStockCapitalShar"/>
            <w:bookmarkEnd w:id="674"/>
          </w:p>
        </w:tc>
      </w:tr>
      <w:tr>
        <w:trPr/>
        <w:tc>
          <w:tcPr>
            <w:tcW w:w="8390" w:type="dxa"/>
            <w:tcBorders/>
            <w:shd w:fill="CCEEFF" w:val="clear"/>
            <w:vAlign w:val="center"/>
          </w:tcPr>
          <w:p>
            <w:pPr>
              <w:pStyle w:val="TableContents"/>
              <w:bidi w:val="0"/>
              <w:spacing w:before="0" w:after="283"/>
              <w:jc w:val="left"/>
              <w:rPr/>
            </w:pPr>
            <w:r>
              <w:rPr/>
              <w:t>Shares of 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265,424,162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60"/>
        <w:gridCol w:w="9990"/>
      </w:tblGrid>
      <w:tr>
        <w:trPr/>
        <w:tc>
          <w:tcPr>
            <w:tcW w:w="155" w:type="dxa"/>
            <w:tcBorders/>
            <w:vAlign w:val="center"/>
          </w:tcPr>
          <w:p>
            <w:pPr>
              <w:pStyle w:val="TableContents"/>
              <w:bidi w:val="0"/>
              <w:spacing w:before="0" w:after="283"/>
              <w:jc w:val="right"/>
              <w:rPr>
                <w:rFonts w:ascii="Times New Roman;Times;Serif" w:hAnsi="Times New Roman;Times;Serif"/>
                <w:sz w:val="20"/>
              </w:rPr>
            </w:pPr>
            <w:bookmarkStart w:id="675" w:name="xdx_F07_zkzkF1f1hwd4"/>
            <w:bookmarkEnd w:id="675"/>
            <w:r>
              <w:rPr>
                <w:rFonts w:ascii="Times New Roman;Times;Serif" w:hAnsi="Times New Roman;Times;Serif"/>
                <w:sz w:val="20"/>
              </w:rPr>
              <w:t>1</w:t>
            </w:r>
          </w:p>
        </w:tc>
        <w:tc>
          <w:tcPr>
            <w:tcW w:w="6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rFonts w:ascii="Times New Roman;Times;Serif" w:hAnsi="Times New Roman;Times;Serif"/>
                <w:sz w:val="20"/>
              </w:rPr>
            </w:pPr>
            <w:bookmarkStart w:id="676" w:name="xdx_F19_znSNZzMngjqa"/>
            <w:bookmarkEnd w:id="676"/>
            <w:r>
              <w:rPr>
                <w:rFonts w:ascii="Times New Roman;Times;Serif" w:hAnsi="Times New Roman;Times;Serif"/>
                <w:sz w:val="20"/>
              </w:rPr>
              <w:t xml:space="preserve">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 that approximately </w:t>
            </w:r>
            <w:bookmarkStart w:id="677" w:name="xdx_90C_eus-gaap--StockIssuedDuringPerio"/>
            <w:bookmarkStart w:id="678" w:name="xdx_907_eus-gaap--StockIssuedDuringPerio"/>
            <w:bookmarkEnd w:id="677"/>
            <w:bookmarkEnd w:id="678"/>
            <w:r>
              <w:rPr>
                <w:rFonts w:ascii="Times New Roman;Times;Serif" w:hAnsi="Times New Roman;Times;Serif"/>
                <w:sz w:val="20"/>
              </w:rPr>
              <w:t>6,367,975 shares would be issuable upon conversion of the preferred shares and exercise of the warrants as of June 30, 2026.</w:t>
            </w:r>
          </w:p>
        </w:tc>
      </w:tr>
      <w:tr>
        <w:trPr/>
        <w:tc>
          <w:tcPr>
            <w:tcW w:w="155" w:type="dxa"/>
            <w:tcBorders/>
            <w:vAlign w:val="center"/>
          </w:tcPr>
          <w:p>
            <w:pPr>
              <w:pStyle w:val="TableContents"/>
              <w:bidi w:val="0"/>
              <w:spacing w:before="0" w:after="283"/>
              <w:jc w:val="right"/>
              <w:rPr/>
            </w:pPr>
            <w:bookmarkStart w:id="679" w:name="xdx_F00_zSDiiRGl7gm"/>
            <w:bookmarkEnd w:id="679"/>
            <w:r>
              <w:rPr/>
              <w:t>2</w:t>
            </w:r>
          </w:p>
        </w:tc>
        <w:tc>
          <w:tcPr>
            <w:tcW w:w="6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80" w:name="xdx_F18_ztIrlT2aPPq7"/>
            <w:bookmarkEnd w:id="680"/>
            <w:r>
              <w:rPr>
                <w:rFonts w:ascii="Times New Roman;Times;Serif" w:hAnsi="Times New Roman;Times;Serif"/>
                <w:b w:val="false"/>
                <w:i w:val="false"/>
                <w:caps w:val="false"/>
                <w:smallCaps w:val="false"/>
                <w:sz w:val="20"/>
              </w:rPr>
              <w:t xml:space="preserve">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w:t>
            </w:r>
            <w:bookmarkStart w:id="681" w:name="xdx_90C_ecustom--ReserveForConversionOfC"/>
            <w:bookmarkEnd w:id="681"/>
            <w:r>
              <w:rPr>
                <w:rFonts w:ascii="Times New Roman;Times;Serif" w:hAnsi="Times New Roman;Times;Serif"/>
                <w:b w:val="false"/>
                <w:i w:val="false"/>
                <w:caps w:val="false"/>
                <w:smallCaps w:val="false"/>
                <w:sz w:val="20"/>
              </w:rPr>
              <w:t>2,570,688 shares would be issuable upon conversion as of June 30, 2026.</w:t>
            </w:r>
          </w:p>
        </w:tc>
      </w:tr>
    </w:tbl>
    <w:p>
      <w:pPr>
        <w:pStyle w:val="TextBody"/>
        <w:bidi w:val="0"/>
        <w:spacing w:before="0" w:after="0"/>
        <w:ind w:left="0" w:right="0" w:hanging="0"/>
        <w:jc w:val="both"/>
        <w:rPr>
          <w:caps w:val="false"/>
          <w:smallCaps w:val="false"/>
        </w:rPr>
      </w:pPr>
      <w:bookmarkStart w:id="682" w:name="xdx_8A7_ztlzH6hqbgBk"/>
      <w:bookmarkEnd w:id="682"/>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3" w:name="xdx_804_ecustom--WarrantsTextBlock_zp0f0"/>
      <w:bookmarkEnd w:id="683"/>
      <w:r>
        <w:rPr>
          <w:rFonts w:ascii="Times New Roman;Times;Serif" w:hAnsi="Times New Roman;Times;Serif"/>
          <w:b/>
          <w:i w:val="false"/>
          <w:caps w:val="false"/>
          <w:smallCaps w:val="false"/>
          <w:sz w:val="20"/>
        </w:rPr>
        <w:t xml:space="preserve">Note 12 — </w:t>
      </w:r>
      <w:bookmarkStart w:id="684" w:name="xdx_82A_z4hsITzkrgG3"/>
      <w:bookmarkEnd w:id="684"/>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85" w:name="xdx_89A_ecustom--ScheduleOfOutstandingWa"/>
      <w:bookmarkEnd w:id="685"/>
      <w:r>
        <w:rPr>
          <w:rFonts w:ascii="Times New Roman;Times;Serif" w:hAnsi="Times New Roman;Times;Serif"/>
          <w:b w:val="false"/>
          <w:i w:val="false"/>
          <w:caps w:val="false"/>
          <w:smallCaps w:val="false"/>
          <w:sz w:val="20"/>
        </w:rPr>
        <w:t>Outstanding warrants for the Company’s Class A Common Stock consist of the following:</w:t>
      </w:r>
    </w:p>
    <w:p>
      <w:pPr>
        <w:pStyle w:val="TextBody"/>
        <w:bidi w:val="0"/>
        <w:spacing w:before="0" w:after="0"/>
        <w:ind w:left="0" w:right="0" w:hanging="0"/>
        <w:jc w:val="left"/>
        <w:rPr>
          <w:caps w:val="false"/>
          <w:smallCaps w:val="false"/>
        </w:rPr>
      </w:pPr>
      <w:r>
        <w:rPr>
          <w:caps w:val="false"/>
          <w:smallCaps w:val="false"/>
        </w:rPr>
        <w:t>  </w:t>
      </w:r>
      <w:bookmarkStart w:id="686" w:name="xdx_8BE_zteOHCJZKCU9"/>
      <w:bookmarkEnd w:id="686"/>
      <w:r>
        <w:rPr>
          <w:rFonts w:ascii="Times New Roman;Times;Serif" w:hAnsi="Times New Roman;Times;Serif"/>
          <w:b w:val="false"/>
          <w:i w:val="false"/>
          <w:caps w:val="false"/>
          <w:smallCaps w:val="false"/>
          <w:sz w:val="20"/>
        </w:rPr>
        <w:t>Schedule of Outstanding Warrants</w:t>
      </w:r>
    </w:p>
    <w:tbl>
      <w:tblPr>
        <w:tblW w:w="8128" w:type="dxa"/>
        <w:jc w:val="left"/>
        <w:tblInd w:w="0" w:type="dxa"/>
        <w:tblLayout w:type="fixed"/>
        <w:tblCellMar>
          <w:top w:w="0" w:type="dxa"/>
          <w:left w:w="0" w:type="dxa"/>
          <w:bottom w:w="28" w:type="dxa"/>
          <w:right w:w="0" w:type="dxa"/>
        </w:tblCellMar>
      </w:tblPr>
      <w:tblGrid>
        <w:gridCol w:w="4445"/>
        <w:gridCol w:w="60"/>
        <w:gridCol w:w="81"/>
        <w:gridCol w:w="1333"/>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both"/>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bookmarkStart w:id="687" w:name="xdx_40D_eus-gaap--ClassOfWarrantOrRightO"/>
            <w:bookmarkEnd w:id="687"/>
          </w:p>
        </w:tc>
      </w:tr>
      <w:tr>
        <w:trPr/>
        <w:tc>
          <w:tcPr>
            <w:tcW w:w="4445" w:type="dxa"/>
            <w:tcBorders/>
            <w:shd w:fill="CCEEFF" w:val="clear"/>
            <w:tcMar>
              <w:bottom w:w="0" w:type="dxa"/>
            </w:tcMar>
            <w:vAlign w:val="center"/>
          </w:tcPr>
          <w:p>
            <w:pPr>
              <w:pStyle w:val="TableContents"/>
              <w:bidi w:val="0"/>
              <w:spacing w:before="0" w:after="283"/>
              <w:jc w:val="both"/>
              <w:rPr/>
            </w:pPr>
            <w:r>
              <w:rPr/>
              <w:t>Public Warrants and Private Warrants - $</w:t>
            </w:r>
            <w:bookmarkStart w:id="688" w:name="xdx_90F_ecustom--WarrantExercisePrice_pi"/>
            <w:bookmarkEnd w:id="688"/>
            <w:r>
              <w:rPr/>
              <w:t>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89" w:name="xdx_98A_eus-gaap--ClassOfWarrantOrRightO"/>
            <w:bookmarkEnd w:id="689"/>
          </w:p>
        </w:tc>
        <w:tc>
          <w:tcPr>
            <w:tcW w:w="1333"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690" w:name="xdx_989_eus-gaap--ClassOfWarrantOrRightO"/>
            <w:bookmarkEnd w:id="690"/>
          </w:p>
        </w:tc>
        <w:tc>
          <w:tcPr>
            <w:tcW w:w="1899"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691" w:name="xdx_902_ecustom--WarrantExercisePrice_pi"/>
            <w:bookmarkEnd w:id="691"/>
            <w:r>
              <w:rPr/>
              <w:t>0.00 Extension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92" w:name="xdx_98B_eus-gaap--ClassOfWarrantOrRightO"/>
            <w:bookmarkEnd w:id="692"/>
          </w:p>
        </w:tc>
        <w:tc>
          <w:tcPr>
            <w:tcW w:w="1333" w:type="dxa"/>
            <w:tcBorders/>
            <w:shd w:fill="CCEEFF" w:val="clear"/>
            <w:tcMar>
              <w:bottom w:w="0" w:type="dxa"/>
            </w:tcMar>
            <w:vAlign w:val="center"/>
          </w:tcPr>
          <w:p>
            <w:pPr>
              <w:pStyle w:val="TableContents"/>
              <w:bidi w:val="0"/>
              <w:spacing w:before="0" w:after="283"/>
              <w:jc w:val="right"/>
              <w:rPr/>
            </w:pPr>
            <w:r>
              <w:rPr/>
              <w:t>294,117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693" w:name="xdx_98A_eus-gaap--ClassOfWarrantOrRightO"/>
            <w:bookmarkEnd w:id="693"/>
          </w:p>
        </w:tc>
        <w:tc>
          <w:tcPr>
            <w:tcW w:w="18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w:t>
            </w:r>
            <w:bookmarkStart w:id="694" w:name="xdx_901_ecustom--WarrantExercisePrice_pi"/>
            <w:bookmarkEnd w:id="694"/>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695" w:name="xdx_985_eus-gaap--ClassOfWarrantOrRightO"/>
            <w:bookmarkEnd w:id="695"/>
          </w:p>
        </w:tc>
        <w:tc>
          <w:tcPr>
            <w:tcW w:w="1333" w:type="dxa"/>
            <w:tcBorders/>
            <w:shd w:fill="FFFFFF" w:val="clear"/>
            <w:tcMar>
              <w:bottom w:w="0" w:type="dxa"/>
            </w:tcMar>
            <w:vAlign w:val="center"/>
          </w:tcPr>
          <w:p>
            <w:pPr>
              <w:pStyle w:val="TableContents"/>
              <w:bidi w:val="0"/>
              <w:spacing w:before="0" w:after="283"/>
              <w:jc w:val="right"/>
              <w:rPr/>
            </w:pPr>
            <w:r>
              <w:rPr/>
              <w:t>38,000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696" w:name="xdx_985_eus-gaap--ClassOfWarrantOrRightO"/>
            <w:bookmarkEnd w:id="696"/>
          </w:p>
        </w:tc>
        <w:tc>
          <w:tcPr>
            <w:tcW w:w="1899" w:type="dxa"/>
            <w:tcBorders/>
            <w:shd w:fill="FFFFFF" w:val="clear"/>
            <w:tcMar>
              <w:bottom w:w="0" w:type="dxa"/>
            </w:tcMar>
            <w:vAlign w:val="center"/>
          </w:tcPr>
          <w:p>
            <w:pPr>
              <w:pStyle w:val="TableContents"/>
              <w:bidi w:val="0"/>
              <w:spacing w:before="0" w:after="283"/>
              <w:jc w:val="right"/>
              <w:rPr/>
            </w:pPr>
            <w:r>
              <w:rPr/>
              <w:t>38,000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697" w:name="xdx_908_eus-gaap--WarrantExercisePriceDe"/>
            <w:bookmarkEnd w:id="697"/>
            <w:r>
              <w:rPr/>
              <w:t>8.20 to $</w:t>
            </w:r>
            <w:bookmarkStart w:id="698" w:name="xdx_90E_eus-gaap--WarrantExercisePriceIn"/>
            <w:bookmarkEnd w:id="698"/>
            <w:r>
              <w:rPr/>
              <w:t>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bookmarkStart w:id="699" w:name="xdx_98C_eus-gaap--ClassOfWarrantOrRightO"/>
            <w:bookmarkEnd w:id="699"/>
          </w:p>
        </w:tc>
        <w:tc>
          <w:tcPr>
            <w:tcW w:w="1333" w:type="dxa"/>
            <w:tcBorders/>
            <w:shd w:fill="CCEEFF" w:val="clear"/>
            <w:tcMar>
              <w:bottom w:w="0" w:type="dxa"/>
            </w:tcMar>
            <w:vAlign w:val="center"/>
          </w:tcPr>
          <w:p>
            <w:pPr>
              <w:pStyle w:val="TableContents"/>
              <w:bidi w:val="0"/>
              <w:spacing w:before="0" w:after="283"/>
              <w:jc w:val="right"/>
              <w:rPr/>
            </w:pPr>
            <w:r>
              <w:rPr/>
              <w:t>632,857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bookmarkStart w:id="700" w:name="xdx_985_eus-gaap--ClassOfWarrantOrRightO"/>
            <w:bookmarkEnd w:id="700"/>
          </w:p>
        </w:tc>
        <w:tc>
          <w:tcPr>
            <w:tcW w:w="1899" w:type="dxa"/>
            <w:tcBorders/>
            <w:shd w:fill="CCEEFF" w:val="clear"/>
            <w:tcMar>
              <w:bottom w:w="0" w:type="dxa"/>
            </w:tcMar>
            <w:vAlign w:val="center"/>
          </w:tcPr>
          <w:p>
            <w:pPr>
              <w:pStyle w:val="TableContents"/>
              <w:bidi w:val="0"/>
              <w:spacing w:before="0" w:after="283"/>
              <w:jc w:val="right"/>
              <w:rPr/>
            </w:pPr>
            <w:r>
              <w:rPr/>
              <w:t>632,857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w:t>
            </w:r>
            <w:bookmarkStart w:id="701" w:name="xdx_900_eus-gaap--WarrantExercisePriceDe"/>
            <w:bookmarkEnd w:id="701"/>
            <w:r>
              <w:rPr/>
              <w:t>10.80 to $</w:t>
            </w:r>
            <w:bookmarkStart w:id="702" w:name="xdx_905_eus-gaap--WarrantExercisePriceIn"/>
            <w:bookmarkEnd w:id="702"/>
            <w:r>
              <w:rPr/>
              <w:t>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bookmarkStart w:id="703" w:name="xdx_982_eus-gaap--ClassOfWarrantOrRightO"/>
            <w:bookmarkEnd w:id="703"/>
          </w:p>
        </w:tc>
        <w:tc>
          <w:tcPr>
            <w:tcW w:w="1333" w:type="dxa"/>
            <w:tcBorders/>
            <w:shd w:fill="FFFFFF" w:val="clear"/>
            <w:tcMar>
              <w:bottom w:w="0" w:type="dxa"/>
            </w:tcMar>
            <w:vAlign w:val="center"/>
          </w:tcPr>
          <w:p>
            <w:pPr>
              <w:pStyle w:val="TableContents"/>
              <w:bidi w:val="0"/>
              <w:spacing w:before="0" w:after="283"/>
              <w:jc w:val="right"/>
              <w:rPr/>
            </w:pPr>
            <w:r>
              <w:rPr/>
              <w:t>1,002,075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bookmarkStart w:id="704" w:name="xdx_981_eus-gaap--ClassOfWarrantOrRightO"/>
            <w:bookmarkEnd w:id="704"/>
          </w:p>
        </w:tc>
        <w:tc>
          <w:tcPr>
            <w:tcW w:w="1899" w:type="dxa"/>
            <w:tcBorders/>
            <w:shd w:fill="FFFFFF" w:val="clear"/>
            <w:tcMar>
              <w:bottom w:w="0" w:type="dxa"/>
            </w:tcMar>
            <w:vAlign w:val="center"/>
          </w:tcPr>
          <w:p>
            <w:pPr>
              <w:pStyle w:val="TableContents"/>
              <w:bidi w:val="0"/>
              <w:spacing w:before="0" w:after="283"/>
              <w:jc w:val="right"/>
              <w:rPr/>
            </w:pPr>
            <w:r>
              <w:rPr/>
              <w:t>902,075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w:t>
            </w:r>
            <w:bookmarkStart w:id="705" w:name="xdx_906_eus-gaap--WarrantExercisePriceDe"/>
            <w:bookmarkEnd w:id="705"/>
            <w:r>
              <w:rPr/>
              <w:t>17.38 to $</w:t>
            </w:r>
            <w:bookmarkStart w:id="706" w:name="xdx_90A_eus-gaap--WarrantExercisePriceIn"/>
            <w:bookmarkEnd w:id="706"/>
            <w:r>
              <w:rPr/>
              <w:t>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vAlign w:val="center"/>
          </w:tcPr>
          <w:p>
            <w:pPr>
              <w:pStyle w:val="TableContents"/>
              <w:bidi w:val="0"/>
              <w:spacing w:before="0" w:after="283"/>
              <w:jc w:val="left"/>
              <w:rPr/>
            </w:pPr>
            <w:r>
              <w:rPr/>
              <w:t> </w:t>
            </w:r>
            <w:bookmarkStart w:id="707" w:name="xdx_984_eus-gaap--ClassOfWarrantOrRightO"/>
            <w:bookmarkEnd w:id="707"/>
          </w:p>
        </w:tc>
        <w:tc>
          <w:tcPr>
            <w:tcW w:w="1333" w:type="dxa"/>
            <w:tcBorders>
              <w:bottom w:val="single" w:sz="8" w:space="0" w:color="000000"/>
            </w:tcBorders>
            <w:shd w:fill="CCEEFF" w:val="clear"/>
            <w:vAlign w:val="center"/>
          </w:tcPr>
          <w:p>
            <w:pPr>
              <w:pStyle w:val="TableContents"/>
              <w:bidi w:val="0"/>
              <w:spacing w:before="0" w:after="283"/>
              <w:jc w:val="right"/>
              <w:rPr/>
            </w:pPr>
            <w:r>
              <w:rPr/>
              <w:t>20,142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bookmarkStart w:id="708" w:name="xdx_980_eus-gaap--ClassOfWarrantOrRightO"/>
            <w:bookmarkEnd w:id="708"/>
          </w:p>
        </w:tc>
        <w:tc>
          <w:tcPr>
            <w:tcW w:w="1899" w:type="dxa"/>
            <w:tcBorders>
              <w:bottom w:val="single" w:sz="8" w:space="0" w:color="000000"/>
            </w:tcBorders>
            <w:shd w:fill="CCEEFF" w:val="clear"/>
            <w:vAlign w:val="center"/>
          </w:tcPr>
          <w:p>
            <w:pPr>
              <w:pStyle w:val="TableContents"/>
              <w:bidi w:val="0"/>
              <w:spacing w:before="0" w:after="283"/>
              <w:jc w:val="right"/>
              <w:rPr/>
            </w:pPr>
            <w:r>
              <w:rPr/>
              <w:t>35,636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bookmarkStart w:id="709" w:name="xdx_98C_eus-gaap--ClassOfWarrantOrRightO"/>
            <w:bookmarkEnd w:id="709"/>
          </w:p>
        </w:tc>
        <w:tc>
          <w:tcPr>
            <w:tcW w:w="1333" w:type="dxa"/>
            <w:tcBorders>
              <w:bottom w:val="single" w:sz="8" w:space="0" w:color="000000"/>
            </w:tcBorders>
            <w:shd w:fill="FFFFFF" w:val="clear"/>
            <w:vAlign w:val="center"/>
          </w:tcPr>
          <w:p>
            <w:pPr>
              <w:pStyle w:val="TableContents"/>
              <w:bidi w:val="0"/>
              <w:spacing w:before="0" w:after="283"/>
              <w:jc w:val="right"/>
              <w:rPr/>
            </w:pPr>
            <w:r>
              <w:rPr/>
              <w:t>2,887,191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bookmarkStart w:id="710" w:name="xdx_98A_eus-gaap--ClassOfWarrantOrRightO"/>
            <w:bookmarkEnd w:id="710"/>
          </w:p>
        </w:tc>
        <w:tc>
          <w:tcPr>
            <w:tcW w:w="1899" w:type="dxa"/>
            <w:tcBorders>
              <w:bottom w:val="single" w:sz="8" w:space="0" w:color="000000"/>
            </w:tcBorders>
            <w:shd w:fill="FFFFFF" w:val="clear"/>
            <w:vAlign w:val="center"/>
          </w:tcPr>
          <w:p>
            <w:pPr>
              <w:pStyle w:val="TableContents"/>
              <w:bidi w:val="0"/>
              <w:spacing w:before="0" w:after="283"/>
              <w:jc w:val="right"/>
              <w:rPr/>
            </w:pPr>
            <w:r>
              <w:rPr/>
              <w:t>2,508,568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1" w:name="xdx_8A7_zGl6eMpjjHA7"/>
      <w:bookmarkEnd w:id="71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12" w:name="xdx_897_ecustom--ScheduleOfOutstandingWa"/>
      <w:bookmarkEnd w:id="712"/>
      <w:r>
        <w:rPr>
          <w:rFonts w:ascii="Times New Roman;Times;Serif" w:hAnsi="Times New Roman;Times;Serif"/>
          <w:b w:val="false"/>
          <w:i w:val="false"/>
          <w:caps w:val="false"/>
          <w:smallCaps w:val="false"/>
          <w:sz w:val="20"/>
        </w:rPr>
        <w:t>Outstanding warrants for the Company’s Series A 10% Convertible Preferred Stock consist of the following:</w:t>
      </w:r>
    </w:p>
    <w:p>
      <w:pPr>
        <w:pStyle w:val="TextBody"/>
        <w:bidi w:val="0"/>
        <w:spacing w:before="0" w:after="0"/>
        <w:ind w:left="0" w:right="0" w:hanging="0"/>
        <w:jc w:val="left"/>
        <w:rPr>
          <w:caps w:val="false"/>
          <w:smallCaps w:val="false"/>
        </w:rPr>
      </w:pPr>
      <w:r>
        <w:rPr>
          <w:caps w:val="false"/>
          <w:smallCaps w:val="false"/>
        </w:rPr>
        <w:t>  </w:t>
      </w:r>
      <w:bookmarkStart w:id="713" w:name="xdx_8BA_zec0AQhUn7a"/>
      <w:bookmarkEnd w:id="713"/>
      <w:r>
        <w:rPr>
          <w:rFonts w:ascii="Times New Roman;Times;Serif" w:hAnsi="Times New Roman;Times;Serif"/>
          <w:b w:val="false"/>
          <w:i w:val="false"/>
          <w:caps w:val="false"/>
          <w:smallCaps w:val="false"/>
          <w:sz w:val="20"/>
        </w:rPr>
        <w:t>Schedule of Outstanding Warrants</w:t>
      </w:r>
    </w:p>
    <w:tbl>
      <w:tblPr>
        <w:tblW w:w="7378" w:type="dxa"/>
        <w:jc w:val="left"/>
        <w:tblInd w:w="0" w:type="dxa"/>
        <w:tblLayout w:type="fixed"/>
        <w:tblCellMar>
          <w:top w:w="0" w:type="dxa"/>
          <w:left w:w="0" w:type="dxa"/>
          <w:bottom w:w="28" w:type="dxa"/>
          <w:right w:w="0" w:type="dxa"/>
        </w:tblCellMar>
      </w:tblPr>
      <w:tblGrid>
        <w:gridCol w:w="3695"/>
        <w:gridCol w:w="60"/>
        <w:gridCol w:w="136"/>
        <w:gridCol w:w="1278"/>
        <w:gridCol w:w="60"/>
        <w:gridCol w:w="60"/>
        <w:gridCol w:w="377"/>
        <w:gridCol w:w="1637"/>
        <w:gridCol w:w="75"/>
      </w:tblGrid>
      <w:tr>
        <w:trPr/>
        <w:tc>
          <w:tcPr>
            <w:tcW w:w="3695" w:type="dxa"/>
            <w:tcBorders>
              <w:bottom w:val="single" w:sz="8" w:space="0" w:color="000000"/>
            </w:tcBorders>
            <w:vAlign w:val="center"/>
          </w:tcPr>
          <w:p>
            <w:pPr>
              <w:pStyle w:val="TableContents"/>
              <w:bidi w:val="0"/>
              <w:spacing w:before="0" w:after="283"/>
              <w:jc w:val="left"/>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bookmarkStart w:id="714" w:name="xdx_409_eus-gaap--ClassOfWarrantOrRightO"/>
            <w:bookmarkEnd w:id="714"/>
          </w:p>
        </w:tc>
      </w:tr>
      <w:tr>
        <w:trPr/>
        <w:tc>
          <w:tcPr>
            <w:tcW w:w="3695" w:type="dxa"/>
            <w:tcBorders/>
            <w:shd w:fill="CCEEFF" w:val="clear"/>
            <w:tcMar>
              <w:bottom w:w="0" w:type="dxa"/>
            </w:tcMar>
            <w:vAlign w:val="center"/>
          </w:tcPr>
          <w:p>
            <w:pPr>
              <w:pStyle w:val="TableContents"/>
              <w:bidi w:val="0"/>
              <w:spacing w:before="0" w:after="283"/>
              <w:jc w:val="left"/>
              <w:rPr/>
            </w:pPr>
            <w:r>
              <w:rPr/>
              <w:t>Preferred Warrant - $</w:t>
            </w:r>
            <w:bookmarkStart w:id="715" w:name="xdx_90F_ecustom--WarrantExercisePrice_pi"/>
            <w:bookmarkEnd w:id="715"/>
            <w:r>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bookmarkStart w:id="716" w:name="xdx_981_eus-gaap--ClassOfWarrantOrRightO"/>
            <w:bookmarkEnd w:id="716"/>
          </w:p>
        </w:tc>
        <w:tc>
          <w:tcPr>
            <w:tcW w:w="1278" w:type="dxa"/>
            <w:tcBorders>
              <w:bottom w:val="single" w:sz="8"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vAlign w:val="center"/>
          </w:tcPr>
          <w:p>
            <w:pPr>
              <w:pStyle w:val="TableContents"/>
              <w:bidi w:val="0"/>
              <w:spacing w:before="0" w:after="283"/>
              <w:jc w:val="left"/>
              <w:rPr/>
            </w:pPr>
            <w:r>
              <w:rPr/>
              <w:t> </w:t>
            </w:r>
            <w:bookmarkStart w:id="717" w:name="xdx_983_eus-gaap--ClassOfWarrantOrRightO"/>
            <w:bookmarkEnd w:id="717"/>
          </w:p>
        </w:tc>
        <w:tc>
          <w:tcPr>
            <w:tcW w:w="1637"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bookmarkStart w:id="718" w:name="xdx_98B_eus-gaap--ClassOfWarrantOrRightO"/>
            <w:bookmarkEnd w:id="718"/>
          </w:p>
        </w:tc>
        <w:tc>
          <w:tcPr>
            <w:tcW w:w="1278" w:type="dxa"/>
            <w:tcBorders>
              <w:bottom w:val="single" w:sz="8" w:space="0" w:color="000000"/>
            </w:tcBorders>
            <w:shd w:fill="FFFFFF" w:val="cle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bookmarkStart w:id="719" w:name="xdx_98B_eus-gaap--ClassOfWarrantOrRightO"/>
            <w:bookmarkEnd w:id="719"/>
          </w:p>
        </w:tc>
        <w:tc>
          <w:tcPr>
            <w:tcW w:w="1637"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0" w:name="xdx_8AC_zT2alngI1aR3"/>
      <w:bookmarkEnd w:id="72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amendments to certain liability-classified warrants to purchase an aggregate of </w:t>
      </w:r>
      <w:bookmarkStart w:id="721" w:name="xdx_909_eus-gaap--ClassOfWarrantOrRightO"/>
      <w:bookmarkEnd w:id="721"/>
      <w:r>
        <w:rPr>
          <w:rFonts w:ascii="Times New Roman;Times;Serif" w:hAnsi="Times New Roman;Times;Serif"/>
          <w:b w:val="false"/>
          <w:i w:val="false"/>
          <w:caps w:val="false"/>
          <w:smallCaps w:val="false"/>
          <w:sz w:val="20"/>
        </w:rPr>
        <w:t>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w:t>
      </w:r>
      <w:bookmarkStart w:id="722" w:name="xdx_90A_eus-gaap--FairValueAdjustmentOfW"/>
      <w:bookmarkEnd w:id="722"/>
      <w:r>
        <w:rPr>
          <w:rFonts w:ascii="Times New Roman;Times;Serif" w:hAnsi="Times New Roman;Times;Serif"/>
          <w:b w:val="false"/>
          <w:i w:val="false"/>
          <w:caps w:val="false"/>
          <w:smallCaps w:val="false"/>
          <w:sz w:val="20"/>
        </w:rPr>
        <w:t xml:space="preserve">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w:t>
      </w:r>
      <w:bookmarkStart w:id="723" w:name="xdx_900_eus-gaap--ClassOfWarrantOrRightN"/>
      <w:bookmarkEnd w:id="723"/>
      <w:r>
        <w:rPr>
          <w:rFonts w:ascii="Times New Roman;Times;Serif" w:hAnsi="Times New Roman;Times;Serif"/>
          <w:b w:val="false"/>
          <w:i w:val="false"/>
          <w:caps w:val="false"/>
          <w:smallCaps w:val="false"/>
          <w:sz w:val="20"/>
        </w:rPr>
        <w:t>100,000 shares of Class A Common Stock at a price of $</w:t>
      </w:r>
      <w:bookmarkStart w:id="724" w:name="xdx_908_eus-gaap--SharesIssuedPricePerSh"/>
      <w:bookmarkEnd w:id="724"/>
      <w:r>
        <w:rPr>
          <w:rFonts w:ascii="Times New Roman;Times;Serif" w:hAnsi="Times New Roman;Times;Serif"/>
          <w:b w:val="false"/>
          <w:i w:val="false"/>
          <w:caps w:val="false"/>
          <w:smallCaps w:val="false"/>
          <w:sz w:val="20"/>
        </w:rPr>
        <w:t>10.80 per share. The Company recognized the $</w:t>
      </w:r>
      <w:bookmarkStart w:id="725" w:name="xdx_906_ecustom--NoncashExpenseForWarran"/>
      <w:bookmarkEnd w:id="725"/>
      <w:r>
        <w:rPr>
          <w:rFonts w:ascii="Times New Roman;Times;Serif" w:hAnsi="Times New Roman;Times;Serif"/>
          <w:b w:val="false"/>
          <w:i w:val="false"/>
          <w:caps w:val="false"/>
          <w:smallCaps w:val="false"/>
          <w:sz w:val="20"/>
        </w:rPr>
        <w:t>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nine months ended June 30, 2026 and 2025, the Company recognized net non-cash losses of $</w:t>
      </w:r>
      <w:bookmarkStart w:id="726" w:name="xdx_902_eus-gaap--FairValueAdjustmentOfW"/>
      <w:bookmarkEnd w:id="726"/>
      <w:r>
        <w:rPr>
          <w:rFonts w:ascii="Times New Roman;Times;Serif" w:hAnsi="Times New Roman;Times;Serif"/>
          <w:b w:val="false"/>
          <w:i w:val="false"/>
          <w:caps w:val="false"/>
          <w:smallCaps w:val="false"/>
          <w:sz w:val="20"/>
        </w:rPr>
        <w:t>320 and net non-cash gains of $</w:t>
      </w:r>
      <w:bookmarkStart w:id="727" w:name="xdx_908_eus-gaap--FairValueAdjustmentOfW"/>
      <w:bookmarkEnd w:id="727"/>
      <w:r>
        <w:rPr>
          <w:rFonts w:ascii="Times New Roman;Times;Serif" w:hAnsi="Times New Roman;Times;Serif"/>
          <w:b w:val="false"/>
          <w:i w:val="false"/>
          <w:caps w:val="false"/>
          <w:smallCaps w:val="false"/>
          <w:sz w:val="20"/>
        </w:rPr>
        <w:t>1,237, respectively, which are included in “Change in fair value of warrants” in the condensed consolidated statements of operations and comprehensive loss. As of June 30, 2026 and September 30, 2025, the related liabilities of $</w:t>
      </w:r>
      <w:bookmarkStart w:id="728" w:name="xdx_903_ecustom--WarrantLiabilityNoncurr"/>
      <w:bookmarkEnd w:id="728"/>
      <w:r>
        <w:rPr>
          <w:rFonts w:ascii="Times New Roman;Times;Serif" w:hAnsi="Times New Roman;Times;Serif"/>
          <w:b w:val="false"/>
          <w:i w:val="false"/>
          <w:caps w:val="false"/>
          <w:smallCaps w:val="false"/>
          <w:sz w:val="20"/>
        </w:rPr>
        <w:t>3,047 and $</w:t>
      </w:r>
      <w:bookmarkStart w:id="729" w:name="xdx_900_ecustom--WarrantLiabilityNoncurr"/>
      <w:bookmarkEnd w:id="729"/>
      <w:r>
        <w:rPr>
          <w:rFonts w:ascii="Times New Roman;Times;Serif" w:hAnsi="Times New Roman;Times;Serif"/>
          <w:b w:val="false"/>
          <w:i w:val="false"/>
          <w:caps w:val="false"/>
          <w:smallCaps w:val="false"/>
          <w:sz w:val="20"/>
        </w:rPr>
        <w:t>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30" w:name="xdx_806_eus-gaap--DisclosureOfCompensati"/>
      <w:bookmarkEnd w:id="730"/>
      <w:r>
        <w:rPr>
          <w:rFonts w:ascii="Times New Roman;Times;Serif" w:hAnsi="Times New Roman;Times;Serif"/>
          <w:b/>
          <w:i w:val="false"/>
          <w:caps w:val="false"/>
          <w:smallCaps w:val="false"/>
          <w:sz w:val="20"/>
        </w:rPr>
        <w:t xml:space="preserve">Note 13 — </w:t>
      </w:r>
      <w:bookmarkStart w:id="731" w:name="xdx_827_z2BGTQmBkq6i"/>
      <w:bookmarkEnd w:id="73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w:t>
      </w:r>
      <w:bookmarkStart w:id="732" w:name="xdx_906_eus-gaap--CommonStockCapitalShar"/>
      <w:bookmarkEnd w:id="732"/>
      <w:r>
        <w:rPr>
          <w:rFonts w:ascii="Times New Roman;Times;Serif" w:hAnsi="Times New Roman;Times;Serif"/>
          <w:b w:val="false"/>
          <w:i w:val="false"/>
          <w:caps w:val="false"/>
          <w:smallCaps w:val="false"/>
          <w:sz w:val="20"/>
        </w:rPr>
        <w:t>357,047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nine months ended June 30, 2025, the Company and a former employee entered into certain agreements wherein the Company agreed to accelerate the vesting of </w:t>
      </w:r>
      <w:bookmarkStart w:id="733" w:name="xdx_90F_eus-gaap--SharebasedCompensation"/>
      <w:bookmarkEnd w:id="733"/>
      <w:r>
        <w:rPr>
          <w:rFonts w:ascii="Times New Roman;Times;Serif" w:hAnsi="Times New Roman;Times;Serif"/>
          <w:b w:val="false"/>
          <w:i w:val="false"/>
          <w:caps w:val="false"/>
          <w:smallCaps w:val="false"/>
          <w:sz w:val="20"/>
        </w:rPr>
        <w:t xml:space="preserve">99,999 common stock warrants and grant the holder an additional </w:t>
      </w:r>
      <w:bookmarkStart w:id="734" w:name="xdx_90D_eus-gaap--ShareBasedCompensation"/>
      <w:bookmarkEnd w:id="734"/>
      <w:r>
        <w:rPr>
          <w:rFonts w:ascii="Times New Roman;Times;Serif" w:hAnsi="Times New Roman;Times;Serif"/>
          <w:b w:val="false"/>
          <w:i w:val="false"/>
          <w:caps w:val="false"/>
          <w:smallCaps w:val="false"/>
          <w:sz w:val="20"/>
        </w:rPr>
        <w:t>25,000 warrants to purchase shares of its Class A Common Stock. The warrants are immediately exercisable and have an exercise price of $</w:t>
      </w:r>
      <w:bookmarkStart w:id="735" w:name="xdx_902_eus-gaap--ClassOfWarrantOrRightE"/>
      <w:bookmarkEnd w:id="735"/>
      <w:r>
        <w:rPr>
          <w:rFonts w:ascii="Times New Roman;Times;Serif" w:hAnsi="Times New Roman;Times;Serif"/>
          <w:b w:val="false"/>
          <w:i w:val="false"/>
          <w:caps w:val="false"/>
          <w:smallCaps w:val="false"/>
          <w:sz w:val="20"/>
        </w:rPr>
        <w:t xml:space="preserve">0.10 per share. Subsequently, the Company agreed to cancel </w:t>
      </w:r>
      <w:bookmarkStart w:id="736" w:name="xdx_906_eus-gaap--StockIssuedDuringPerio"/>
      <w:bookmarkEnd w:id="736"/>
      <w:r>
        <w:rPr>
          <w:rFonts w:ascii="Times New Roman;Times;Serif" w:hAnsi="Times New Roman;Times;Serif"/>
          <w:b w:val="false"/>
          <w:i w:val="false"/>
          <w:caps w:val="false"/>
          <w:smallCaps w:val="false"/>
          <w:sz w:val="20"/>
        </w:rPr>
        <w:t>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w:t>
      </w:r>
      <w:bookmarkStart w:id="737" w:name="xdx_909_eus-gaap--EmployeeBenefitsAndSha"/>
      <w:bookmarkEnd w:id="737"/>
      <w:r>
        <w:rPr>
          <w:rFonts w:ascii="Times New Roman;Times;Serif" w:hAnsi="Times New Roman;Times;Serif"/>
          <w:b w:val="false"/>
          <w:i w:val="false"/>
          <w:caps w:val="false"/>
          <w:smallCaps w:val="false"/>
          <w:sz w:val="20"/>
        </w:rPr>
        <w:t>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38" w:name="xdx_891_eus-gaap--ScheduleOfShareBasedCo"/>
      <w:bookmarkEnd w:id="738"/>
      <w:r>
        <w:rPr>
          <w:rFonts w:ascii="Times New Roman;Times;Serif" w:hAnsi="Times New Roman;Times;Serif"/>
          <w:b w:val="false"/>
          <w:i w:val="false"/>
          <w:caps w:val="false"/>
          <w:smallCaps w:val="false"/>
          <w:sz w:val="20"/>
        </w:rPr>
        <w:t>A summary of activity in the Company’s RSUs for the nine months ended June 30, 2026 is as follows:</w:t>
      </w:r>
    </w:p>
    <w:p>
      <w:pPr>
        <w:pStyle w:val="TextBody"/>
        <w:bidi w:val="0"/>
        <w:spacing w:before="0" w:after="0"/>
        <w:ind w:left="0" w:right="0" w:hanging="0"/>
        <w:jc w:val="left"/>
        <w:rPr>
          <w:caps w:val="false"/>
          <w:smallCaps w:val="false"/>
        </w:rPr>
      </w:pPr>
      <w:r>
        <w:rPr>
          <w:caps w:val="false"/>
          <w:smallCaps w:val="false"/>
        </w:rPr>
        <w:t> </w:t>
      </w:r>
      <w:bookmarkStart w:id="739" w:name="xdx_8BB_zhAEPgUjY1Th"/>
      <w:bookmarkEnd w:id="739"/>
      <w:r>
        <w:rPr>
          <w:rFonts w:ascii="Times New Roman;Times;Serif" w:hAnsi="Times New Roman;Times;Serif"/>
          <w:b w:val="false"/>
          <w:i w:val="false"/>
          <w:caps w:val="false"/>
          <w:smallCaps w:val="false"/>
          <w:sz w:val="20"/>
        </w:rPr>
        <w:t>Schedule of Activity in the Company’s RSUs </w:t>
      </w:r>
    </w:p>
    <w:tbl>
      <w:tblPr>
        <w:tblW w:w="6649" w:type="dxa"/>
        <w:jc w:val="left"/>
        <w:tblInd w:w="0" w:type="dxa"/>
        <w:tblLayout w:type="fixed"/>
        <w:tblCellMar>
          <w:top w:w="0" w:type="dxa"/>
          <w:left w:w="0" w:type="dxa"/>
          <w:bottom w:w="0" w:type="dxa"/>
          <w:right w:w="0" w:type="dxa"/>
        </w:tblCellMar>
      </w:tblPr>
      <w:tblGrid>
        <w:gridCol w:w="3380"/>
        <w:gridCol w:w="60"/>
        <w:gridCol w:w="87"/>
        <w:gridCol w:w="1282"/>
        <w:gridCol w:w="95"/>
        <w:gridCol w:w="60"/>
        <w:gridCol w:w="152"/>
        <w:gridCol w:w="145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740" w:name="xdx_98B_eus-gaap--ShareBasedCompensation"/>
            <w:bookmarkEnd w:id="740"/>
          </w:p>
        </w:tc>
        <w:tc>
          <w:tcPr>
            <w:tcW w:w="1282" w:type="dxa"/>
            <w:tcBorders/>
            <w:shd w:fill="CCEEFF" w:val="clear"/>
            <w:vAlign w:val="center"/>
          </w:tcPr>
          <w:p>
            <w:pPr>
              <w:pStyle w:val="TableContents"/>
              <w:bidi w:val="0"/>
              <w:spacing w:before="0" w:after="283"/>
              <w:jc w:val="right"/>
              <w:rPr/>
            </w:pPr>
            <w:r>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bookmarkStart w:id="741" w:name="xdx_984_eus-gaap--ShareBasedCompensation"/>
            <w:bookmarkEnd w:id="741"/>
          </w:p>
        </w:tc>
        <w:tc>
          <w:tcPr>
            <w:tcW w:w="1458" w:type="dxa"/>
            <w:tcBorders/>
            <w:shd w:fill="CCEEFF" w:val="clear"/>
            <w:vAlign w:val="center"/>
          </w:tcPr>
          <w:p>
            <w:pPr>
              <w:pStyle w:val="TableContents"/>
              <w:bidi w:val="0"/>
              <w:spacing w:before="0" w:after="283"/>
              <w:jc w:val="right"/>
              <w:rPr/>
            </w:pPr>
            <w:r>
              <w:rPr/>
              <w:t>             </w:t>
            </w: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bookmarkStart w:id="742" w:name="xdx_98F_eus-gaap--ShareBasedCompensation"/>
            <w:bookmarkEnd w:id="742"/>
          </w:p>
        </w:tc>
        <w:tc>
          <w:tcPr>
            <w:tcW w:w="1282" w:type="dxa"/>
            <w:tcBorders/>
            <w:shd w:fill="FFFFFF" w:val="clear"/>
            <w:vAlign w:val="center"/>
          </w:tcPr>
          <w:p>
            <w:pPr>
              <w:pStyle w:val="TableContents"/>
              <w:bidi w:val="0"/>
              <w:spacing w:before="0" w:after="283"/>
              <w:jc w:val="right"/>
              <w:rPr/>
            </w:pPr>
            <w:r>
              <w:rPr/>
              <w:t>194,286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43" w:name="xdx_98F_eus-gaap--ShareBasedCompensation"/>
            <w:bookmarkEnd w:id="743"/>
          </w:p>
        </w:tc>
        <w:tc>
          <w:tcPr>
            <w:tcW w:w="1458" w:type="dxa"/>
            <w:tcBorders/>
            <w:shd w:fill="FFFFFF" w:val="clear"/>
            <w:vAlign w:val="center"/>
          </w:tcPr>
          <w:p>
            <w:pPr>
              <w:pStyle w:val="TableContents"/>
              <w:bidi w:val="0"/>
              <w:spacing w:before="0" w:after="283"/>
              <w:jc w:val="right"/>
              <w:rPr/>
            </w:pPr>
            <w:r>
              <w:rPr/>
              <w:t>2.67</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bookmarkStart w:id="744" w:name="xdx_980_eus-gaap--ShareBasedCompensation"/>
            <w:bookmarkEnd w:id="744"/>
          </w:p>
        </w:tc>
        <w:tc>
          <w:tcPr>
            <w:tcW w:w="1282" w:type="dxa"/>
            <w:tcBorders/>
            <w:shd w:fill="CCEEFF" w:val="clear"/>
            <w:vAlign w:val="center"/>
          </w:tcPr>
          <w:p>
            <w:pPr>
              <w:pStyle w:val="TableContents"/>
              <w:bidi w:val="0"/>
              <w:spacing w:before="0" w:after="283"/>
              <w:jc w:val="right"/>
              <w:rPr/>
            </w:pPr>
            <w:r>
              <w:rPr/>
              <w:t>(18,773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745" w:name="xdx_980_eus-gaap--ShareBasedCompensation"/>
            <w:bookmarkEnd w:id="745"/>
          </w:p>
        </w:tc>
        <w:tc>
          <w:tcPr>
            <w:tcW w:w="1458" w:type="dxa"/>
            <w:tcBorders/>
            <w:shd w:fill="CCEEFF" w:val="clear"/>
            <w:vAlign w:val="center"/>
          </w:tcPr>
          <w:p>
            <w:pPr>
              <w:pStyle w:val="TableContents"/>
              <w:bidi w:val="0"/>
              <w:spacing w:before="0" w:after="283"/>
              <w:jc w:val="right"/>
              <w:rPr/>
            </w:pPr>
            <w:r>
              <w:rPr/>
              <w:t>12.96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6" w:name="xdx_989_eus-gaap--ShareBasedCompensation"/>
            <w:bookmarkEnd w:id="746"/>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(623,955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bookmarkStart w:id="747" w:name="xdx_98E_eus-gaap--ShareBasedCompensation"/>
            <w:bookmarkEnd w:id="747"/>
          </w:p>
        </w:tc>
        <w:tc>
          <w:tcPr>
            <w:tcW w:w="1458" w:type="dxa"/>
            <w:tcBorders/>
            <w:shd w:fill="FFFFFF" w:val="clear"/>
            <w:vAlign w:val="center"/>
          </w:tcPr>
          <w:p>
            <w:pPr>
              <w:pStyle w:val="TableContents"/>
              <w:bidi w:val="0"/>
              <w:spacing w:before="0" w:after="283"/>
              <w:jc w:val="right"/>
              <w:rPr/>
            </w:pPr>
            <w:r>
              <w:rPr/>
              <w:t>19.06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48" w:name="xdx_982_eus-gaap--ShareBasedCompensation"/>
            <w:bookmarkEnd w:id="748"/>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506,120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bookmarkStart w:id="749" w:name="xdx_981_eus-gaap--ShareBasedCompensation"/>
            <w:bookmarkEnd w:id="749"/>
          </w:p>
        </w:tc>
        <w:tc>
          <w:tcPr>
            <w:tcW w:w="1458" w:type="dxa"/>
            <w:tcBorders/>
            <w:shd w:fill="CCEEFF" w:val="clear"/>
            <w:vAlign w:val="center"/>
          </w:tcPr>
          <w:p>
            <w:pPr>
              <w:pStyle w:val="TableContents"/>
              <w:bidi w:val="0"/>
              <w:spacing w:before="0" w:after="283"/>
              <w:jc w:val="right"/>
              <w:rPr/>
            </w:pPr>
            <w:r>
              <w:rPr/>
              <w:t>48.81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50" w:name="xdx_8A6_zMPKjSHSMVr8"/>
      <w:bookmarkEnd w:id="75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w:t>
      </w:r>
      <w:bookmarkStart w:id="751" w:name="xdx_90B_eus-gaap--EmployeeServiceShareBa"/>
      <w:bookmarkEnd w:id="751"/>
      <w:r>
        <w:rPr>
          <w:rFonts w:ascii="Times New Roman;Times;Serif" w:hAnsi="Times New Roman;Times;Serif"/>
          <w:b w:val="false"/>
          <w:i w:val="false"/>
          <w:caps w:val="false"/>
          <w:smallCaps w:val="false"/>
          <w:sz w:val="20"/>
        </w:rPr>
        <w:t xml:space="preserve">6,479 as of June 30, 2026 and is expected to be recognized over a weighted-average period of </w:t>
      </w:r>
      <w:bookmarkStart w:id="752" w:name="xdx_90B_eus-gaap--EmployeeServiceShareBa"/>
      <w:bookmarkEnd w:id="752"/>
      <w:r>
        <w:rPr>
          <w:rFonts w:ascii="Times New Roman;Times;Serif" w:hAnsi="Times New Roman;Times;Serif"/>
          <w:b w:val="false"/>
          <w:i w:val="false"/>
          <w:caps w:val="false"/>
          <w:smallCaps w:val="false"/>
          <w:sz w:val="20"/>
        </w:rPr>
        <w:t>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53" w:name="xdx_89C_eus-gaap--NonvestedRestrictedSto"/>
      <w:bookmarkEnd w:id="753"/>
      <w:r>
        <w:rPr>
          <w:rFonts w:ascii="Times New Roman;Times;Serif" w:hAnsi="Times New Roman;Times;Serif"/>
          <w:b w:val="false"/>
          <w:i w:val="false"/>
          <w:caps w:val="false"/>
          <w:smallCaps w:val="false"/>
          <w:sz w:val="20"/>
        </w:rPr>
        <w:t>A summary of activity in the Company’s RSAs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bookmarkStart w:id="754" w:name="xdx_8B7_zK2cusOBwIQg"/>
      <w:bookmarkEnd w:id="754"/>
      <w:r>
        <w:rPr>
          <w:rFonts w:ascii="Times New Roman;Times;Serif" w:hAnsi="Times New Roman;Times;Serif"/>
          <w:b w:val="false"/>
          <w:i w:val="false"/>
          <w:caps w:val="false"/>
          <w:smallCaps w:val="false"/>
          <w:sz w:val="20"/>
        </w:rPr>
        <w:t>Schedule of Activity in the Company’s RSAs  </w:t>
      </w:r>
    </w:p>
    <w:tbl>
      <w:tblPr>
        <w:tblW w:w="6784" w:type="dxa"/>
        <w:jc w:val="left"/>
        <w:tblInd w:w="0" w:type="dxa"/>
        <w:tblLayout w:type="fixed"/>
        <w:tblCellMar>
          <w:top w:w="0" w:type="dxa"/>
          <w:left w:w="0" w:type="dxa"/>
          <w:bottom w:w="0" w:type="dxa"/>
          <w:right w:w="0" w:type="dxa"/>
        </w:tblCellMar>
      </w:tblPr>
      <w:tblGrid>
        <w:gridCol w:w="3380"/>
        <w:gridCol w:w="60"/>
        <w:gridCol w:w="96"/>
        <w:gridCol w:w="1408"/>
        <w:gridCol w:w="95"/>
        <w:gridCol w:w="60"/>
        <w:gridCol w:w="388"/>
        <w:gridCol w:w="12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bookmarkStart w:id="755" w:name="xdx_98C_eus-gaap--ShareBasedCompensation"/>
            <w:bookmarkEnd w:id="755"/>
          </w:p>
        </w:tc>
        <w:tc>
          <w:tcPr>
            <w:tcW w:w="1408"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bookmarkStart w:id="756" w:name="xdx_981_eus-gaap--ShareBasedCompensation"/>
            <w:bookmarkEnd w:id="756"/>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7" w:name="xdx_98A_eus-gaap--ShareBasedCompensation"/>
            <w:bookmarkEnd w:id="757"/>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(144,750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bookmarkStart w:id="758" w:name="xdx_983_eus-gaap--ShareBasedCompensation"/>
            <w:bookmarkEnd w:id="758"/>
          </w:p>
        </w:tc>
        <w:tc>
          <w:tcPr>
            <w:tcW w:w="1222"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59" w:name="xdx_985_eus-gaap--ShareBasedCompensation"/>
            <w:bookmarkEnd w:id="759"/>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bookmarkStart w:id="760" w:name="xdx_985_eus-gaap--ShareBasedCompensation"/>
            <w:bookmarkEnd w:id="760"/>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61" w:name="xdx_8AC_zJAMunu3GAai"/>
      <w:bookmarkEnd w:id="76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w:t>
      </w:r>
      <w:bookmarkStart w:id="762" w:name="xdx_908_eus-gaap--EmployeeServiceShareBa"/>
      <w:bookmarkEnd w:id="762"/>
      <w:r>
        <w:rPr>
          <w:rFonts w:ascii="Times New Roman;Times;Serif" w:hAnsi="Times New Roman;Times;Serif"/>
          <w:b w:val="false"/>
          <w:i w:val="false"/>
          <w:caps w:val="false"/>
          <w:smallCaps w:val="false"/>
          <w:sz w:val="20"/>
        </w:rPr>
        <w:t xml:space="preserve">1,545 as of June 30, 2026 and is expected to be recognized over a weighted-average period of </w:t>
      </w:r>
      <w:bookmarkStart w:id="763" w:name="xdx_906_eus-gaap--EmployeeServiceShareBa"/>
      <w:bookmarkEnd w:id="763"/>
      <w:r>
        <w:rPr>
          <w:rFonts w:ascii="Times New Roman;Times;Serif" w:hAnsi="Times New Roman;Times;Serif"/>
          <w:b w:val="false"/>
          <w:i w:val="false"/>
          <w:caps w:val="false"/>
          <w:smallCaps w:val="false"/>
          <w:sz w:val="20"/>
        </w:rPr>
        <w:t>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4" w:name="xdx_89F_eus-gaap--ScheduleOfShareBasedCo"/>
      <w:bookmarkEnd w:id="764"/>
      <w:r>
        <w:rPr>
          <w:rFonts w:ascii="Times New Roman;Times;Serif" w:hAnsi="Times New Roman;Times;Serif"/>
          <w:b w:val="false"/>
          <w:i w:val="false"/>
          <w:caps w:val="false"/>
          <w:smallCaps w:val="false"/>
          <w:sz w:val="20"/>
        </w:rPr>
        <w:t>Stock option activity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bookmarkStart w:id="765" w:name="xdx_8B0_zvKE6oPbz1Fb"/>
      <w:bookmarkEnd w:id="765"/>
      <w:r>
        <w:rPr>
          <w:rFonts w:ascii="Times New Roman;Times;Serif" w:hAnsi="Times New Roman;Times;Serif"/>
          <w:b w:val="false"/>
          <w:i w:val="false"/>
          <w:caps w:val="false"/>
          <w:smallCaps w:val="false"/>
          <w:sz w:val="20"/>
        </w:rPr>
        <w:t>Schedule of Stock Option Activity </w:t>
      </w:r>
    </w:p>
    <w:tbl>
      <w:tblPr>
        <w:tblW w:w="7929"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22"/>
        <w:gridCol w:w="1288"/>
        <w:gridCol w:w="60"/>
        <w:gridCol w:w="60"/>
        <w:gridCol w:w="254"/>
        <w:gridCol w:w="13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66" w:name="xdx_98C_eus-gaap--ShareBasedCompensation"/>
            <w:bookmarkEnd w:id="766"/>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bookmarkStart w:id="767" w:name="xdx_98C_eus-gaap--ShareBasedCompensation"/>
            <w:bookmarkEnd w:id="767"/>
          </w:p>
        </w:tc>
        <w:tc>
          <w:tcPr>
            <w:tcW w:w="1288"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68" w:name="xdx_98A_ecustom--ShareBasedCompensationA"/>
            <w:bookmarkEnd w:id="768"/>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69" w:name="xdx_986_ecustom--ShareBasedCompensationA"/>
            <w:bookmarkEnd w:id="769"/>
          </w:p>
        </w:tc>
        <w:tc>
          <w:tcPr>
            <w:tcW w:w="1288"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70" w:name="xdx_984_eus-gaap--ShareBasedCompensation"/>
            <w:bookmarkEnd w:id="770"/>
          </w:p>
        </w:tc>
        <w:tc>
          <w:tcPr>
            <w:tcW w:w="855"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771" w:name="xdx_987_eus-gaap--ShareBasedCompensation"/>
            <w:bookmarkEnd w:id="771"/>
          </w:p>
        </w:tc>
        <w:tc>
          <w:tcPr>
            <w:tcW w:w="1288"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2" w:name="xdx_982_ecustom--ShareBasedCompensationA"/>
            <w:bookmarkEnd w:id="772"/>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(6,329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73" w:name="xdx_98D_eus-gaap--ShareBasedCompensation"/>
            <w:bookmarkEnd w:id="773"/>
          </w:p>
        </w:tc>
        <w:tc>
          <w:tcPr>
            <w:tcW w:w="1288" w:type="dxa"/>
            <w:tcBorders/>
            <w:shd w:fill="FFFFFF" w:val="clear"/>
            <w:vAlign w:val="center"/>
          </w:tcPr>
          <w:p>
            <w:pPr>
              <w:pStyle w:val="TableContents"/>
              <w:bidi w:val="0"/>
              <w:spacing w:before="0" w:after="283"/>
              <w:jc w:val="right"/>
              <w:rPr/>
            </w:pPr>
            <w:r>
              <w:rPr/>
              <w:t>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74" w:name="xdx_98C_eus-gaap--ShareBasedCompensation"/>
            <w:bookmarkEnd w:id="774"/>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205,097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bookmarkStart w:id="775" w:name="xdx_98E_eus-gaap--ShareBasedCompensation"/>
            <w:bookmarkEnd w:id="775"/>
          </w:p>
        </w:tc>
        <w:tc>
          <w:tcPr>
            <w:tcW w:w="1288"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bookmarkStart w:id="776" w:name="xdx_90A_eus-gaap--SharebasedCompensation"/>
            <w:bookmarkEnd w:id="776"/>
            <w:r>
              <w:rPr/>
              <w:t>5.2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77" w:name="xdx_989_eus-gaap--ShareBasedCompensation"/>
            <w:bookmarkEnd w:id="777"/>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202,669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bookmarkStart w:id="778" w:name="xdx_987_eus-gaap--ShareBasedCompensation"/>
            <w:bookmarkEnd w:id="778"/>
          </w:p>
        </w:tc>
        <w:tc>
          <w:tcPr>
            <w:tcW w:w="1288" w:type="dxa"/>
            <w:tcBorders/>
            <w:shd w:fill="FFFFFF" w:val="clear"/>
            <w:vAlign w:val="center"/>
          </w:tcPr>
          <w:p>
            <w:pPr>
              <w:pStyle w:val="TableContents"/>
              <w:bidi w:val="0"/>
              <w:spacing w:before="0" w:after="283"/>
              <w:jc w:val="right"/>
              <w:rPr/>
            </w:pPr>
            <w:r>
              <w:rPr/>
              <w:t>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bookmarkStart w:id="779" w:name="xdx_902_eus-gaap--SharebasedCompensation"/>
            <w:bookmarkEnd w:id="779"/>
            <w:r>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80" w:name="xdx_8AF_z47LAIKgp7ee"/>
      <w:bookmarkEnd w:id="78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w:t>
      </w:r>
      <w:bookmarkStart w:id="781" w:name="xdx_904_eus-gaap--EmployeeServiceShareBa"/>
      <w:bookmarkEnd w:id="781"/>
      <w:r>
        <w:rPr>
          <w:rFonts w:ascii="Times New Roman;Times;Serif" w:hAnsi="Times New Roman;Times;Serif"/>
          <w:b w:val="false"/>
          <w:i w:val="false"/>
          <w:caps w:val="false"/>
          <w:smallCaps w:val="false"/>
          <w:sz w:val="20"/>
        </w:rPr>
        <w:t xml:space="preserve">159 as of June 30, 2026, is expected to be recognized over a weighted-average period of </w:t>
      </w:r>
      <w:bookmarkStart w:id="782" w:name="xdx_90C_eus-gaap--EmployeeServiceShareBa"/>
      <w:bookmarkEnd w:id="782"/>
      <w:r>
        <w:rPr>
          <w:rFonts w:ascii="Times New Roman;Times;Serif" w:hAnsi="Times New Roman;Times;Serif"/>
          <w:b w:val="false"/>
          <w:i w:val="false"/>
          <w:caps w:val="false"/>
          <w:smallCaps w:val="false"/>
          <w:sz w:val="20"/>
        </w:rPr>
        <w:t>0.4 years. The aggregate intrinsic value of stock options outstanding and stock options exercisable as of June 30, 2026 was $</w:t>
      </w:r>
      <w:bookmarkStart w:id="783" w:name="xdx_907_eus-gaap--ShareBasedCompensation"/>
      <w:bookmarkEnd w:id="783"/>
      <w:r>
        <w:rPr>
          <w:rFonts w:ascii="Times New Roman;Times;Serif" w:hAnsi="Times New Roman;Times;Serif"/>
          <w:b w:val="false"/>
          <w:i w:val="false"/>
          <w:caps w:val="false"/>
          <w:smallCaps w:val="false"/>
          <w:sz w:val="20"/>
        </w:rPr>
        <w:t>13 and $</w:t>
      </w:r>
      <w:bookmarkStart w:id="784" w:name="xdx_90D_eus-gaap--SharebasedCompensation"/>
      <w:bookmarkEnd w:id="784"/>
      <w:r>
        <w:rPr>
          <w:rFonts w:ascii="Times New Roman;Times;Serif" w:hAnsi="Times New Roman;Times;Serif"/>
          <w:b w:val="false"/>
          <w:i w:val="false"/>
          <w:caps w:val="false"/>
          <w:smallCaps w:val="false"/>
          <w:sz w:val="20"/>
        </w:rPr>
        <w:t>13, respectively. The total intrinsic value of options exercised during the nine months ended June 30, 2026 and 2025 was $</w:t>
      </w:r>
      <w:bookmarkStart w:id="785" w:name="xdx_902_eus-gaap--ShareBasedCompensation"/>
      <w:bookmarkEnd w:id="785"/>
      <w:r>
        <w:rPr>
          <w:rFonts w:ascii="Times New Roman;Times;Serif" w:hAnsi="Times New Roman;Times;Serif"/>
          <w:b w:val="false"/>
          <w:i w:val="false"/>
          <w:caps w:val="false"/>
          <w:smallCaps w:val="false"/>
          <w:sz w:val="20"/>
        </w:rPr>
        <w:t>165 and $</w:t>
      </w:r>
      <w:bookmarkStart w:id="786" w:name="xdx_909_eus-gaap--ShareBasedCompensation"/>
      <w:bookmarkEnd w:id="786"/>
      <w:r>
        <w:rPr>
          <w:rFonts w:ascii="Times New Roman;Times;Serif" w:hAnsi="Times New Roman;Times;Serif"/>
          <w:b w:val="false"/>
          <w:i w:val="false"/>
          <w:caps w:val="false"/>
          <w:smallCaps w:val="false"/>
          <w:sz w:val="20"/>
        </w:rPr>
        <w:t>0, respectively. The total fair value of options that vested during the nine months ended June 30, 2026 and 2025 was $</w:t>
      </w:r>
      <w:bookmarkStart w:id="787" w:name="xdx_901_eus-gaap--SharebasedCompensation"/>
      <w:bookmarkEnd w:id="787"/>
      <w:r>
        <w:rPr>
          <w:rFonts w:ascii="Times New Roman;Times;Serif" w:hAnsi="Times New Roman;Times;Serif"/>
          <w:b w:val="false"/>
          <w:i w:val="false"/>
          <w:caps w:val="false"/>
          <w:smallCaps w:val="false"/>
          <w:sz w:val="20"/>
        </w:rPr>
        <w:t>528 and $</w:t>
      </w:r>
      <w:bookmarkStart w:id="788" w:name="xdx_902_eus-gaap--SharebasedCompensation"/>
      <w:bookmarkEnd w:id="788"/>
      <w:r>
        <w:rPr>
          <w:rFonts w:ascii="Times New Roman;Times;Serif" w:hAnsi="Times New Roman;Times;Serif"/>
          <w:b w:val="false"/>
          <w:i w:val="false"/>
          <w:caps w:val="false"/>
          <w:smallCaps w:val="false"/>
          <w:sz w:val="20"/>
        </w:rPr>
        <w:t>471, respectively. No stock options were granted during the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89" w:name="xdx_895_eus-gaap--ScheduleOfEmployeeServ"/>
      <w:bookmarkEnd w:id="789"/>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bookmarkStart w:id="790" w:name="xdx_8BA_zwh83L9GLxP4"/>
      <w:bookmarkEnd w:id="790"/>
      <w:r>
        <w:rPr>
          <w:rFonts w:ascii="Times New Roman;Times;Serif" w:hAnsi="Times New Roman;Times;Serif"/>
          <w:b w:val="false"/>
          <w:i w:val="false"/>
          <w:caps w:val="false"/>
          <w:smallCaps w:val="false"/>
          <w:sz w:val="20"/>
        </w:rPr>
        <w:t>Schedule of Consolidated Statements of Operations and Comprehensive Loss </w:t>
      </w:r>
    </w:p>
    <w:tbl>
      <w:tblPr>
        <w:tblW w:w="8978" w:type="dxa"/>
        <w:jc w:val="left"/>
        <w:tblInd w:w="0" w:type="dxa"/>
        <w:tblLayout w:type="fixed"/>
        <w:tblCellMar>
          <w:top w:w="0" w:type="dxa"/>
          <w:left w:w="0" w:type="dxa"/>
          <w:bottom w:w="0" w:type="dxa"/>
          <w:right w:w="0" w:type="dxa"/>
        </w:tblCellMar>
      </w:tblPr>
      <w:tblGrid>
        <w:gridCol w:w="3890"/>
        <w:gridCol w:w="60"/>
        <w:gridCol w:w="228"/>
        <w:gridCol w:w="913"/>
        <w:gridCol w:w="97"/>
        <w:gridCol w:w="97"/>
        <w:gridCol w:w="228"/>
        <w:gridCol w:w="913"/>
        <w:gridCol w:w="60"/>
        <w:gridCol w:w="60"/>
        <w:gridCol w:w="201"/>
        <w:gridCol w:w="805"/>
        <w:gridCol w:w="86"/>
        <w:gridCol w:w="86"/>
        <w:gridCol w:w="201"/>
        <w:gridCol w:w="97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1" w:name="xdx_499_20260401__20260630_zYJyEztAr1fl"/>
            <w:bookmarkEnd w:id="791"/>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bookmarkStart w:id="792" w:name="xdx_49A_20250401__20250630_z3XmSBpP0OB5"/>
            <w:bookmarkEnd w:id="792"/>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3" w:name="xdx_494_20251001__20260630_zA6R1I4vuhs9"/>
            <w:bookmarkEnd w:id="793"/>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94" w:name="xdx_49D_20241001__20250630_zehJqDdpAjZ"/>
            <w:bookmarkEnd w:id="794"/>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795" w:name="xdx_403_eus-gaap--ShareBasedCompensation"/>
            <w:bookmarkEnd w:id="795"/>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116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bookmarkStart w:id="796" w:name="xdx_408_eus-gaap--ShareBasedCompensation"/>
            <w:bookmarkEnd w:id="796"/>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797" w:name="xdx_40C_eus-gaap--ShareBasedCompensation"/>
            <w:bookmarkEnd w:id="797"/>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bookmarkStart w:id="798" w:name="xdx_40A_eus-gaap--ShareBasedCompensation"/>
            <w:bookmarkEnd w:id="798"/>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2,270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19,922</w:t>
            </w:r>
          </w:p>
        </w:tc>
        <w:tc>
          <w:tcPr>
            <w:tcW w:w="75" w:type="dxa"/>
            <w:tcBorders/>
            <w:shd w:fill="FFFFFF" w:val="clear"/>
            <w:vAlign w:val="center"/>
          </w:tcPr>
          <w:p>
            <w:pPr>
              <w:pStyle w:val="TableContents"/>
              <w:bidi w:val="0"/>
              <w:spacing w:before="0" w:after="283"/>
              <w:jc w:val="left"/>
              <w:rPr/>
            </w:pPr>
            <w:r>
              <w:rPr/>
              <w:t> </w:t>
            </w:r>
            <w:bookmarkStart w:id="799" w:name="xdx_407_eus-gaap--ShareBasedCompensation"/>
            <w:bookmarkEnd w:id="799"/>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2,350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pPr>
            <w:r>
              <w:rPr/>
              <w:t>9,941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pPr>
            <w:r>
              <w:rPr/>
              <w:t>20,256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800" w:name="xdx_8A3_zA1WnVu2Pay4"/>
      <w:bookmarkEnd w:id="80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01" w:name="xdx_801_eus-gaap--FairValueDisclosuresTe"/>
      <w:bookmarkEnd w:id="801"/>
      <w:r>
        <w:rPr>
          <w:rFonts w:ascii="Times New Roman;Times;Serif" w:hAnsi="Times New Roman;Times;Serif"/>
          <w:b/>
          <w:i w:val="false"/>
          <w:caps w:val="false"/>
          <w:smallCaps w:val="false"/>
          <w:sz w:val="20"/>
        </w:rPr>
        <w:t xml:space="preserve">Note 14 — </w:t>
      </w:r>
      <w:bookmarkStart w:id="802" w:name="xdx_828_zppdZ5lP4cNc"/>
      <w:bookmarkEnd w:id="80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w:t>
      </w:r>
      <w:bookmarkStart w:id="803" w:name="xdx_901_eus-gaap--DebtInstrumentInterest"/>
      <w:bookmarkEnd w:id="803"/>
      <w:r>
        <w:rPr>
          <w:rFonts w:ascii="Times New Roman;Times;Serif" w:hAnsi="Times New Roman;Times;Serif"/>
          <w:b w:val="false"/>
          <w:i w:val="false"/>
          <w:caps w:val="false"/>
          <w:smallCaps w:val="false"/>
          <w:sz w:val="20"/>
        </w:rPr>
        <w:t>7% promissory notes - related parties and the notes payable - related parties each mature within one year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04" w:name="xdx_89C_eus-gaap--ScheduleOfFairValueAss"/>
      <w:bookmarkEnd w:id="804"/>
      <w:r>
        <w:rPr>
          <w:rFonts w:ascii="Times New Roman;Times;Serif" w:hAnsi="Times New Roman;Times;Serif"/>
          <w:b w:val="false"/>
          <w:i w:val="false"/>
          <w:caps w:val="false"/>
          <w:smallCaps w:val="false"/>
          <w:sz w:val="20"/>
        </w:rPr>
        <w:t>Liabilities measured at fair value on a recurring basis as of June 30, 2026 are as follows:</w:t>
      </w:r>
    </w:p>
    <w:p>
      <w:pPr>
        <w:pStyle w:val="TextBody"/>
        <w:bidi w:val="0"/>
        <w:spacing w:before="0" w:after="0"/>
        <w:ind w:left="0" w:right="0" w:hanging="0"/>
        <w:jc w:val="left"/>
        <w:rPr>
          <w:caps w:val="false"/>
          <w:smallCaps w:val="false"/>
        </w:rPr>
      </w:pPr>
      <w:r>
        <w:rPr>
          <w:caps w:val="false"/>
          <w:smallCaps w:val="false"/>
        </w:rPr>
        <w:t> </w:t>
      </w:r>
      <w:bookmarkStart w:id="805" w:name="xdx_8BB_zoYi1RF4RiT"/>
      <w:bookmarkEnd w:id="805"/>
      <w:r>
        <w:rPr>
          <w:rFonts w:ascii="Times New Roman;Times;Serif" w:hAnsi="Times New Roman;Times;Serif"/>
          <w:b w:val="false"/>
          <w:i w:val="false"/>
          <w:caps w:val="false"/>
          <w:smallCaps w:val="false"/>
          <w:sz w:val="20"/>
        </w:rPr>
        <w:t>Schedule of Fair Value Assets And Liabilities Measured On Recurring Basis</w:t>
      </w:r>
    </w:p>
    <w:tbl>
      <w:tblPr>
        <w:tblW w:w="7273" w:type="dxa"/>
        <w:jc w:val="left"/>
        <w:tblInd w:w="0" w:type="dxa"/>
        <w:tblLayout w:type="fixed"/>
        <w:tblCellMar>
          <w:top w:w="0" w:type="dxa"/>
          <w:left w:w="0" w:type="dxa"/>
          <w:bottom w:w="0" w:type="dxa"/>
          <w:right w:w="0" w:type="dxa"/>
        </w:tblCellMar>
      </w:tblPr>
      <w:tblGrid>
        <w:gridCol w:w="3815"/>
        <w:gridCol w:w="60"/>
        <w:gridCol w:w="263"/>
        <w:gridCol w:w="491"/>
        <w:gridCol w:w="60"/>
        <w:gridCol w:w="60"/>
        <w:gridCol w:w="263"/>
        <w:gridCol w:w="491"/>
        <w:gridCol w:w="60"/>
        <w:gridCol w:w="60"/>
        <w:gridCol w:w="151"/>
        <w:gridCol w:w="604"/>
        <w:gridCol w:w="60"/>
        <w:gridCol w:w="60"/>
        <w:gridCol w:w="140"/>
        <w:gridCol w:w="56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6" w:name="xdx_494_20251001__20260630__us-gaap--Fai"/>
            <w:bookmarkEnd w:id="806"/>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7" w:name="xdx_491_20251001__20260630__us-gaap--Fai"/>
            <w:bookmarkEnd w:id="807"/>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8" w:name="xdx_49D_20251001__20260630__us-gaap--Fai"/>
            <w:bookmarkEnd w:id="808"/>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9" w:name="xdx_493_20251001__20260630_z1z4mDJesZ9f"/>
            <w:bookmarkEnd w:id="809"/>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bookmarkStart w:id="810" w:name="xdx_408_ecustom--FairValueAssetLiability"/>
            <w:bookmarkEnd w:id="810"/>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bookmarkStart w:id="811" w:name="xdx_406_ecustom--FairValueAssetLiability"/>
            <w:bookmarkEnd w:id="811"/>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conversion feature derivative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vAlign w:val="center"/>
          </w:tcPr>
          <w:p>
            <w:pPr>
              <w:pStyle w:val="TableContents"/>
              <w:bidi w:val="0"/>
              <w:spacing w:before="0" w:after="283"/>
              <w:jc w:val="left"/>
              <w:rPr/>
            </w:pPr>
            <w:r>
              <w:rPr/>
              <w:t> </w:t>
            </w:r>
            <w:bookmarkStart w:id="812" w:name="xdx_406_ecustom--FairValueAssetLiability"/>
            <w:bookmarkEnd w:id="812"/>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measured at fair value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75" w:type="dxa"/>
            <w:tcBorders/>
            <w:shd w:fill="CCEEFF" w:val="clear"/>
            <w:vAlign w:val="center"/>
          </w:tcPr>
          <w:p>
            <w:pPr>
              <w:pStyle w:val="TableContents"/>
              <w:bidi w:val="0"/>
              <w:spacing w:before="0" w:after="283"/>
              <w:jc w:val="left"/>
              <w:rPr/>
            </w:pPr>
            <w:r>
              <w:rPr/>
              <w:t> </w:t>
            </w:r>
            <w:bookmarkStart w:id="813" w:name="xdx_40F_ecustom--FairValueAssetLiability"/>
            <w:bookmarkEnd w:id="813"/>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814" w:name="xdx_408_ecustom--FairValueAssetLiability"/>
            <w:bookmarkEnd w:id="814"/>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5" w:name="xdx_8A7_zCaclnETTDU8"/>
      <w:bookmarkEnd w:id="815"/>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bookmarkStart w:id="816" w:name="xdx_89D_eus-gaap--FairValueLiabilitiesMe"/>
      <w:bookmarkEnd w:id="816"/>
      <w:r>
        <w:rPr>
          <w:caps w:val="false"/>
          <w:smallCaps w:val="false"/>
        </w:rPr>
        <w:t> </w:t>
      </w:r>
      <w:bookmarkStart w:id="817" w:name="xdx_8BE_zYB8HbXqy1O4"/>
      <w:bookmarkEnd w:id="817"/>
      <w:r>
        <w:rPr>
          <w:rFonts w:ascii="Times New Roman;Times;Serif" w:hAnsi="Times New Roman;Times;Serif"/>
          <w:b w:val="false"/>
          <w:i w:val="false"/>
          <w:caps w:val="false"/>
          <w:smallCaps w:val="false"/>
          <w:sz w:val="20"/>
        </w:rPr>
        <w:t>Schedule of Fair Value Measured On Recurring Basis Unobservable Input Reconciliation</w:t>
      </w:r>
    </w:p>
    <w:tbl>
      <w:tblPr>
        <w:tblW w:w="9410" w:type="dxa"/>
        <w:jc w:val="left"/>
        <w:tblInd w:w="0" w:type="dxa"/>
        <w:tblLayout w:type="fixed"/>
        <w:tblCellMar>
          <w:top w:w="0" w:type="dxa"/>
          <w:left w:w="0" w:type="dxa"/>
          <w:bottom w:w="28" w:type="dxa"/>
          <w:right w:w="0" w:type="dxa"/>
        </w:tblCellMar>
      </w:tblPr>
      <w:tblGrid>
        <w:gridCol w:w="4580"/>
        <w:gridCol w:w="60"/>
        <w:gridCol w:w="154"/>
        <w:gridCol w:w="616"/>
        <w:gridCol w:w="95"/>
        <w:gridCol w:w="60"/>
        <w:gridCol w:w="152"/>
        <w:gridCol w:w="693"/>
        <w:gridCol w:w="95"/>
        <w:gridCol w:w="60"/>
        <w:gridCol w:w="292"/>
        <w:gridCol w:w="1168"/>
        <w:gridCol w:w="60"/>
        <w:gridCol w:w="60"/>
        <w:gridCol w:w="320"/>
        <w:gridCol w:w="870"/>
        <w:gridCol w:w="75"/>
      </w:tblGrid>
      <w:tr>
        <w:trPr/>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2026:</w:t>
            </w:r>
          </w:p>
        </w:tc>
        <w:tc>
          <w:tcPr>
            <w:tcW w:w="60" w:type="dxa"/>
            <w:tcBorders/>
            <w:tcMar>
              <w:bottom w:w="0" w:type="dxa"/>
            </w:tcMar>
            <w:vAlign w:val="center"/>
          </w:tcPr>
          <w:p>
            <w:pPr>
              <w:pStyle w:val="TableContents"/>
              <w:bidi w:val="0"/>
              <w:spacing w:before="0" w:after="283"/>
              <w:jc w:val="left"/>
              <w:rPr/>
            </w:pPr>
            <w:r>
              <w:rPr/>
              <w:t> </w:t>
            </w:r>
            <w:bookmarkStart w:id="818" w:name="xdx_4B3_us-gaap--SubsidiarySaleOfStockAx"/>
            <w:bookmarkEnd w:id="818"/>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19" w:name="xdx_4B2_us-gaap--SubsidiarySaleOfStockAx"/>
            <w:bookmarkEnd w:id="819"/>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20" w:name="xdx_4BA_us-gaap--SubsidiarySaleOfStockAx"/>
            <w:bookmarkEnd w:id="820"/>
          </w:p>
        </w:tc>
        <w:tc>
          <w:tcPr>
            <w:tcW w:w="146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Notes Payable</w:t>
            </w:r>
          </w:p>
          <w:p>
            <w:pPr>
              <w:pStyle w:val="TableContents"/>
              <w:bidi w:val="0"/>
              <w:jc w:val="center"/>
              <w:rPr>
                <w:rFonts w:ascii="Times New Roman;Times;Serif" w:hAnsi="Times New Roman;Times;Serif"/>
                <w:b/>
              </w:rPr>
            </w:pPr>
            <w:r>
              <w:rPr>
                <w:rFonts w:ascii="Times New Roman;Times;Serif" w:hAnsi="Times New Roman;Times;Serif"/>
                <w:b/>
              </w:rPr>
              <w:t>Measured at</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21" w:name="xdx_4BA_us-gaap--SubsidiarySaleOfStockAx"/>
            <w:bookmarkEnd w:id="821"/>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Bifurcated</w:t>
            </w:r>
          </w:p>
          <w:p>
            <w:pPr>
              <w:pStyle w:val="TableContents"/>
              <w:bidi w:val="0"/>
              <w:jc w:val="center"/>
              <w:rPr>
                <w:rFonts w:ascii="Times New Roman;Times;Serif" w:hAnsi="Times New Roman;Times;Serif"/>
                <w:b/>
              </w:rPr>
            </w:pPr>
            <w:r>
              <w:rPr>
                <w:rFonts w:ascii="Times New Roman;Times;Serif" w:hAnsi="Times New Roman;Times;Serif"/>
                <w:b/>
              </w:rPr>
              <w:t>Conversion</w:t>
            </w:r>
          </w:p>
          <w:p>
            <w:pPr>
              <w:pStyle w:val="TableContents"/>
              <w:bidi w:val="0"/>
              <w:jc w:val="center"/>
              <w:rPr>
                <w:rFonts w:ascii="Times New Roman;Times;Serif" w:hAnsi="Times New Roman;Times;Serif"/>
                <w:b/>
              </w:rPr>
            </w:pPr>
            <w:r>
              <w:rPr>
                <w:rFonts w:ascii="Times New Roman;Times;Serif" w:hAnsi="Times New Roman;Times;Serif"/>
                <w:b/>
              </w:rPr>
              <w:t>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r>
          </w:p>
        </w:tc>
        <w:tc>
          <w:tcPr>
            <w:tcW w:w="75" w:type="dxa"/>
            <w:tcBorders/>
            <w:tcMar>
              <w:bottom w:w="0" w:type="dxa"/>
            </w:tcMar>
            <w:vAlign w:val="center"/>
          </w:tcPr>
          <w:p>
            <w:pPr>
              <w:pStyle w:val="TableContents"/>
              <w:bidi w:val="0"/>
              <w:spacing w:before="0" w:after="283"/>
              <w:jc w:val="left"/>
              <w:rPr/>
            </w:pPr>
            <w:r>
              <w:rPr/>
              <w:t> </w:t>
            </w:r>
            <w:bookmarkStart w:id="822" w:name="xdx_43C_c20251001__20260630_eus-gaap--Fa"/>
            <w:bookmarkEnd w:id="822"/>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823" w:name="xdx_401_ecustom--AdjustmentsToAdditional"/>
            <w:bookmarkEnd w:id="823"/>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bookmarkStart w:id="824" w:name="xdx_40F_ecustom--FairValueMeasurementWit"/>
            <w:bookmarkEnd w:id="824"/>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notes payable measured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825" w:name="xdx_408_ecustom--FairValueMeasurementWit"/>
            <w:bookmarkEnd w:id="825"/>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bookmarkStart w:id="826" w:name="xdx_405_ecustom--FairValueMeasurementWit"/>
            <w:bookmarkEnd w:id="826"/>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827" w:name="xdx_40A_eus-gaap--IncomeLossAttributable"/>
            <w:bookmarkEnd w:id="827"/>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left"/>
              <w:rPr/>
            </w:pPr>
            <w:r>
              <w:rPr/>
              <w:t> </w:t>
            </w:r>
          </w:p>
        </w:tc>
        <w:tc>
          <w:tcPr>
            <w:tcW w:w="87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828" w:name="xdx_437_c20251001__20260630_eus-gaap--Fa"/>
            <w:bookmarkEnd w:id="828"/>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5915"/>
        <w:gridCol w:w="60"/>
        <w:gridCol w:w="154"/>
        <w:gridCol w:w="616"/>
        <w:gridCol w:w="95"/>
        <w:gridCol w:w="60"/>
        <w:gridCol w:w="152"/>
        <w:gridCol w:w="693"/>
        <w:gridCol w:w="110"/>
      </w:tblGrid>
      <w:tr>
        <w:trPr/>
        <w:tc>
          <w:tcPr>
            <w:tcW w:w="591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2025:</w:t>
            </w:r>
          </w:p>
        </w:tc>
        <w:tc>
          <w:tcPr>
            <w:tcW w:w="60" w:type="dxa"/>
            <w:tcBorders/>
            <w:tcMar>
              <w:bottom w:w="0" w:type="dxa"/>
            </w:tcMar>
            <w:vAlign w:val="center"/>
          </w:tcPr>
          <w:p>
            <w:pPr>
              <w:pStyle w:val="TableContents"/>
              <w:bidi w:val="0"/>
              <w:spacing w:before="0" w:after="283"/>
              <w:jc w:val="left"/>
              <w:rPr/>
            </w:pPr>
            <w:r>
              <w:rPr/>
              <w:t> </w:t>
            </w:r>
            <w:bookmarkStart w:id="829" w:name="xdx_4B3_us-gaap--SubsidiarySaleOfStockAx"/>
            <w:bookmarkEnd w:id="829"/>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830" w:name="xdx_4B2_us-gaap--SubsidiarySaleOfStockAx"/>
            <w:bookmarkEnd w:id="830"/>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bookmarkStart w:id="831" w:name="xdx_43F_c20241001__20250630_eus-gaap--Fa"/>
            <w:bookmarkEnd w:id="831"/>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832" w:name="xdx_436_c20241001__20250630_eus-gaap--Fa"/>
            <w:bookmarkEnd w:id="832"/>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bookmarkStart w:id="833" w:name="xdx_403_eus-gaap--FairValueMeasurementWi"/>
            <w:bookmarkEnd w:id="833"/>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warrants in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w:t>
            </w:r>
          </w:p>
        </w:tc>
        <w:tc>
          <w:tcPr>
            <w:tcW w:w="110" w:type="dxa"/>
            <w:tcBorders/>
            <w:shd w:fill="FFFFFF" w:val="clear"/>
            <w:tcMar>
              <w:bottom w:w="0" w:type="dxa"/>
            </w:tcMar>
            <w:vAlign w:val="center"/>
          </w:tcPr>
          <w:p>
            <w:pPr>
              <w:pStyle w:val="TableContents"/>
              <w:bidi w:val="0"/>
              <w:spacing w:before="0" w:after="283"/>
              <w:jc w:val="left"/>
              <w:rPr/>
            </w:pPr>
            <w:r>
              <w:rPr/>
              <w:t> </w:t>
            </w:r>
            <w:bookmarkStart w:id="834" w:name="xdx_40F_ecustom--FairValueMeasurementWit"/>
            <w:bookmarkEnd w:id="834"/>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Modification of warrants in connection with private placement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tcMar>
              <w:bottom w:w="0" w:type="dxa"/>
            </w:tcMar>
            <w:vAlign w:val="center"/>
          </w:tcPr>
          <w:p>
            <w:pPr>
              <w:pStyle w:val="TableContents"/>
              <w:bidi w:val="0"/>
              <w:spacing w:before="0" w:after="283"/>
              <w:jc w:val="left"/>
              <w:rPr/>
            </w:pPr>
            <w:r>
              <w:rPr/>
              <w:t> </w:t>
            </w:r>
            <w:bookmarkStart w:id="835" w:name="xdx_408_ecustom--FairValueMeasurementWit"/>
            <w:bookmarkEnd w:id="835"/>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836" w:name="xdx_40A_eus-gaap--IncomeLossAttributable"/>
            <w:bookmarkEnd w:id="836"/>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837" w:name="xdx_43E_c20241001__20250630_eus-gaap--Fa"/>
            <w:bookmarkEnd w:id="837"/>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bookmarkStart w:id="838" w:name="xdx_435_c20241001__20250630_eus-gaap--Fa"/>
            <w:bookmarkEnd w:id="838"/>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9" w:name="xdx_8A6_zmsQqvRIM853"/>
      <w:bookmarkEnd w:id="83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bookmarkStart w:id="840" w:name="xdx_892_eus-gaap--FairValueConcentration"/>
      <w:bookmarkEnd w:id="840"/>
      <w:r>
        <w:rPr>
          <w:caps w:val="false"/>
          <w:smallCaps w:val="false"/>
        </w:rPr>
        <w:t> </w:t>
      </w:r>
      <w:bookmarkStart w:id="841" w:name="xdx_8B6_zvIqKouE8G8f"/>
      <w:bookmarkEnd w:id="841"/>
      <w:r>
        <w:rPr>
          <w:rFonts w:ascii="Times New Roman;Times;Serif" w:hAnsi="Times New Roman;Times;Serif"/>
          <w:b w:val="false"/>
          <w:i w:val="false"/>
          <w:caps w:val="false"/>
          <w:smallCaps w:val="false"/>
          <w:sz w:val="20"/>
        </w:rPr>
        <w:t>Schedule of Fair Value of Liability-Classified Warrants</w:t>
      </w:r>
    </w:p>
    <w:tbl>
      <w:tblPr>
        <w:tblW w:w="3779" w:type="dxa"/>
        <w:jc w:val="left"/>
        <w:tblInd w:w="0" w:type="dxa"/>
        <w:tblLayout w:type="fixed"/>
        <w:tblCellMar>
          <w:top w:w="0" w:type="dxa"/>
          <w:left w:w="0" w:type="dxa"/>
          <w:bottom w:w="0" w:type="dxa"/>
          <w:right w:w="0" w:type="dxa"/>
        </w:tblCellMar>
      </w:tblPr>
      <w:tblGrid>
        <w:gridCol w:w="1805"/>
        <w:gridCol w:w="60"/>
        <w:gridCol w:w="169"/>
        <w:gridCol w:w="1515"/>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42" w:name="xdx_98C_eus-gaap--SharePrice_iI_pid_c202"/>
            <w:bookmarkEnd w:id="842"/>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rPr>
            </w:pPr>
            <w:bookmarkStart w:id="843" w:name="xdx_90C_eus-gaap--ShareBasedCompensation"/>
            <w:bookmarkEnd w:id="843"/>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bookmarkStart w:id="844" w:name="xdx_906_eus-gaap--ShareBasedCompensation"/>
            <w:bookmarkEnd w:id="844"/>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bookmarkStart w:id="845" w:name="xdx_903_eus-gaap--SharebasedCompensation"/>
            <w:bookmarkEnd w:id="845"/>
            <w:r>
              <w:rPr>
                <w:rFonts w:ascii="Times New Roman;Times;Serif" w:hAnsi="Times New Roman;Times;Serif"/>
                <w:sz w:val="20"/>
              </w:rPr>
              <w:t>4.3</w:t>
            </w:r>
            <w:r>
              <w:rPr/>
              <w:t xml:space="preserve"> – </w:t>
            </w:r>
            <w:bookmarkStart w:id="846" w:name="xdx_903_eus-gaap--SharebasedCompensation"/>
            <w:bookmarkEnd w:id="846"/>
            <w:r>
              <w:rPr>
                <w:rFonts w:ascii="Times New Roman;Times;Serif" w:hAnsi="Times New Roman;Times;Serif"/>
                <w:sz w:val="20"/>
              </w:rPr>
              <w:t>4.9</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7" w:name="xdx_8AA_zV5X85fkp9s3"/>
      <w:bookmarkEnd w:id="84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Preferred Warrants and Bifurcated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bookmarkStart w:id="848" w:name="xdx_C06_gL3FVCORTB-B_zKu9VwKnxag8"/>
      <w:bookmarkEnd w:id="848"/>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849" w:name="xdx_306_134_zbO89s9JOahj"/>
      <w:bookmarkStart w:id="850" w:name="xdx_306_134_zbO89s9JOahj"/>
      <w:bookmarkEnd w:id="850"/>
    </w:p>
    <w:tbl>
      <w:tblPr>
        <w:tblW w:w="5243" w:type="dxa"/>
        <w:jc w:val="left"/>
        <w:tblInd w:w="0" w:type="dxa"/>
        <w:tblLayout w:type="fixed"/>
        <w:tblCellMar>
          <w:top w:w="0" w:type="dxa"/>
          <w:left w:w="0" w:type="dxa"/>
          <w:bottom w:w="0" w:type="dxa"/>
          <w:right w:w="0" w:type="dxa"/>
        </w:tblCellMar>
      </w:tblPr>
      <w:tblGrid>
        <w:gridCol w:w="1805"/>
        <w:gridCol w:w="60"/>
        <w:gridCol w:w="186"/>
        <w:gridCol w:w="1003"/>
        <w:gridCol w:w="215"/>
        <w:gridCol w:w="60"/>
        <w:gridCol w:w="382"/>
        <w:gridCol w:w="130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1" w:name="xdx_987_eus-gaap--SharePrice_iI_pid_c202"/>
            <w:bookmarkEnd w:id="851"/>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52" w:name="xdx_98E_eus-gaap--SharePrice_iI_pid_c202"/>
            <w:bookmarkEnd w:id="852"/>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bookmarkStart w:id="853" w:name="xdx_90A_eus-gaap--ShareBasedCompensation"/>
            <w:bookmarkEnd w:id="853"/>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bookmarkStart w:id="854" w:name="xdx_90F_eus-gaap--ShareBasedCompensation"/>
            <w:bookmarkEnd w:id="854"/>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bookmarkStart w:id="855" w:name="xdx_907_eus-gaap--ShareBasedCompensation"/>
            <w:bookmarkEnd w:id="855"/>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bookmarkStart w:id="856" w:name="xdx_909_eus-gaap--ShareBasedCompensation"/>
            <w:bookmarkEnd w:id="856"/>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bookmarkStart w:id="857" w:name="xdx_902_eus-gaap--SharebasedCompensation"/>
            <w:bookmarkEnd w:id="857"/>
            <w:r>
              <w:rPr>
                <w:rFonts w:ascii="Times New Roman;Times;Serif" w:hAnsi="Times New Roman;Times;Serif"/>
                <w:sz w:val="20"/>
              </w:rPr>
              <w:t>5.7</w:t>
            </w:r>
            <w:r>
              <w:rPr/>
              <w:t xml:space="preserve"> </w:t>
            </w:r>
            <w:r>
              <w:rPr>
                <w:rFonts w:ascii="Times New Roman;Times;Serif" w:hAnsi="Times New Roman;Times;Serif"/>
                <w:sz w:val="20"/>
              </w:rPr>
              <w:t>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bookmarkStart w:id="858" w:name="xdx_90A_eus-gaap--SharebasedCompensation"/>
            <w:bookmarkEnd w:id="858"/>
            <w:r>
              <w:rPr>
                <w:rFonts w:ascii="Times New Roman;Times;Serif" w:hAnsi="Times New Roman;Times;Serif"/>
                <w:sz w:val="20"/>
              </w:rPr>
              <w:t>6.2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59" w:name="xdx_C0E_gL3FVCORTB-B_zFC9UovT1IG4"/>
      <w:bookmarkEnd w:id="85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pStyle w:val="TextBody"/>
        <w:bidi w:val="0"/>
        <w:spacing w:before="0" w:after="0"/>
        <w:ind w:left="0" w:right="0" w:firstLine="360"/>
        <w:jc w:val="both"/>
        <w:rPr>
          <w:caps w:val="false"/>
          <w:smallCaps w:val="false"/>
        </w:rPr>
      </w:pPr>
      <w:bookmarkStart w:id="860" w:name="xdx_C04_gL3FVCORTB-B_zAuWw7Dq6Wv7"/>
      <w:bookmarkEnd w:id="86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861" w:name="xdx_308_134_z4h1fPsK2Uhl"/>
      <w:bookmarkStart w:id="862" w:name="xdx_308_134_z4h1fPsK2Uhl"/>
      <w:bookmarkEnd w:id="862"/>
    </w:p>
    <w:tbl>
      <w:tblPr>
        <w:tblW w:w="3695" w:type="dxa"/>
        <w:jc w:val="left"/>
        <w:tblInd w:w="0" w:type="dxa"/>
        <w:tblLayout w:type="fixed"/>
        <w:tblCellMar>
          <w:top w:w="0" w:type="dxa"/>
          <w:left w:w="0" w:type="dxa"/>
          <w:bottom w:w="0" w:type="dxa"/>
          <w:right w:w="0" w:type="dxa"/>
        </w:tblCellMar>
      </w:tblPr>
      <w:tblGrid>
        <w:gridCol w:w="1805"/>
        <w:gridCol w:w="60"/>
        <w:gridCol w:w="140"/>
        <w:gridCol w:w="146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3" w:name="xdx_986_eus-gaap--SharePrice_iI_pid_c202"/>
            <w:bookmarkEnd w:id="863"/>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bookmarkStart w:id="864" w:name="xdx_902_eus-gaap--ShareBasedCompensation"/>
            <w:bookmarkEnd w:id="864"/>
            <w:r>
              <w:rPr>
                <w:rFonts w:ascii="Times New Roman;Times;Serif" w:hAnsi="Times New Roman;Times;Serif"/>
                <w:sz w:val="20"/>
              </w:rPr>
              <w:t>125.4</w:t>
            </w:r>
            <w:r>
              <w:rPr/>
              <w:t xml:space="preserve"> – </w:t>
            </w:r>
            <w:bookmarkStart w:id="865" w:name="xdx_905_eus-gaap--ShareBasedCompensation"/>
            <w:bookmarkEnd w:id="865"/>
            <w:r>
              <w:rPr>
                <w:rFonts w:ascii="Times New Roman;Times;Serif" w:hAnsi="Times New Roman;Times;Serif"/>
                <w:sz w:val="20"/>
              </w:rPr>
              <w:t>136.3</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bookmarkStart w:id="866" w:name="xdx_909_eus-gaap--ShareBasedCompensation"/>
            <w:bookmarkEnd w:id="866"/>
            <w:r>
              <w:rPr>
                <w:rFonts w:ascii="Times New Roman;Times;Serif" w:hAnsi="Times New Roman;Times;Serif"/>
              </w:rPr>
              <w:t xml:space="preserve">3.8 – </w:t>
            </w:r>
            <w:bookmarkStart w:id="867" w:name="xdx_90E_eus-gaap--ShareBasedCompensation"/>
            <w:bookmarkEnd w:id="867"/>
            <w:r>
              <w:rPr>
                <w:rFonts w:ascii="Times New Roman;Times;Serif" w:hAnsi="Times New Roman;Times;Serif"/>
              </w:rPr>
              <w:t>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bookmarkStart w:id="868" w:name="xdx_904_eus-gaap--SharebasedCompensation"/>
            <w:bookmarkEnd w:id="868"/>
            <w:r>
              <w:rPr>
                <w:rFonts w:ascii="Times New Roman;Times;Serif" w:hAnsi="Times New Roman;Times;Serif"/>
                <w:sz w:val="20"/>
              </w:rPr>
              <w:t>0.22</w:t>
            </w:r>
            <w:r>
              <w:rPr/>
              <w:t xml:space="preserve"> – </w:t>
            </w:r>
            <w:bookmarkStart w:id="869" w:name="xdx_906_eus-gaap--SharebasedCompensation"/>
            <w:bookmarkEnd w:id="869"/>
            <w:r>
              <w:rPr>
                <w:rFonts w:ascii="Times New Roman;Times;Serif" w:hAnsi="Times New Roman;Times;Serif"/>
                <w:sz w:val="20"/>
              </w:rPr>
              <w:t>0.32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870" w:name="xdx_C0B_gL3FVCORTB-B_zSIVEuV6qoki"/>
      <w:bookmarkEnd w:id="87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1" w:name="xdx_805_eus-gaap--EarningsPerShareTextBl"/>
      <w:bookmarkEnd w:id="871"/>
      <w:r>
        <w:rPr>
          <w:rFonts w:ascii="Times New Roman;Times;Serif" w:hAnsi="Times New Roman;Times;Serif"/>
          <w:b/>
          <w:i w:val="false"/>
          <w:caps w:val="false"/>
          <w:smallCaps w:val="false"/>
          <w:sz w:val="20"/>
        </w:rPr>
        <w:t xml:space="preserve">Note 15 — </w:t>
      </w:r>
      <w:bookmarkStart w:id="872" w:name="xdx_823_zSZk9rB6jNpi"/>
      <w:bookmarkEnd w:id="872"/>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bookmarkStart w:id="873" w:name="xdx_898_eus-gaap--ScheduleOfEarningsPerS"/>
      <w:bookmarkEnd w:id="873"/>
      <w:r>
        <w:rPr>
          <w:caps w:val="false"/>
          <w:smallCaps w:val="false"/>
        </w:rPr>
        <w:t> </w:t>
      </w:r>
      <w:bookmarkStart w:id="874" w:name="xdx_8B9_zJiEoR7A5FUk"/>
      <w:bookmarkEnd w:id="874"/>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800"/>
        <w:gridCol w:w="95"/>
        <w:gridCol w:w="60"/>
        <w:gridCol w:w="140"/>
        <w:gridCol w:w="980"/>
        <w:gridCol w:w="95"/>
        <w:gridCol w:w="60"/>
        <w:gridCol w:w="140"/>
        <w:gridCol w:w="800"/>
        <w:gridCol w:w="110"/>
      </w:tblGrid>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75" w:name="xdx_495_20260401__20260630__us-gaap--Sta"/>
            <w:bookmarkEnd w:id="875"/>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76" w:name="xdx_495_20260401__20260630__us-gaap--Sta"/>
            <w:bookmarkEnd w:id="876"/>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77" w:name="xdx_490_20250401__20250630__us-gaap--Sta"/>
            <w:bookmarkEnd w:id="877"/>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78" w:name="xdx_492_20250401__20250630__us-gaap--Sta"/>
            <w:bookmarkEnd w:id="878"/>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79" w:name="xdx_402_eus-gaap--NetIncomeLoss_pn3n3_z4"/>
            <w:bookmarkEnd w:id="879"/>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0" w:name="xdx_408_ecustom--PreferredStockDividends"/>
            <w:bookmarkEnd w:id="880"/>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81" w:name="xdx_407_eus-gaap--NetIncomeLossAvailable"/>
            <w:bookmarkEnd w:id="881"/>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82" w:name="xdx_40C_eus-gaap--WeightedAverageNumberO"/>
            <w:bookmarkEnd w:id="882"/>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83" w:name="xdx_401_eus-gaap--EarningsPerShareBasic_"/>
            <w:bookmarkEnd w:id="883"/>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84" w:name="xdx_407_eus-gaap--NetIncomeLossAvailable"/>
            <w:bookmarkEnd w:id="884"/>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5" w:name="xdx_403_ecustom--ReallocationOfNetIncome"/>
            <w:bookmarkEnd w:id="885"/>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86" w:name="xdx_406_eus-gaap--NetIncomeLossAttributa"/>
            <w:bookmarkEnd w:id="886"/>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87" w:name="xdx_406_ecustom--NumberOfSharesUsedInBas"/>
            <w:bookmarkEnd w:id="887"/>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88" w:name="xdx_405_ecustom--ConversionOfClassBToCla"/>
            <w:bookmarkEnd w:id="888"/>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89" w:name="xdx_406_eus-gaap--WeightedAverageNumberO"/>
            <w:bookmarkEnd w:id="889"/>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bookmarkStart w:id="890" w:name="xdx_406_eus-gaap--EarningsPerShareDilute"/>
            <w:bookmarkEnd w:id="890"/>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91" w:name="xdx_491_20251001__20260630__us-gaap--Sta"/>
            <w:bookmarkEnd w:id="891"/>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92" w:name="xdx_492_20251001__20260630__us-gaap--Sta"/>
            <w:bookmarkEnd w:id="892"/>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93" w:name="xdx_498_20241001__20250630__us-gaap--Sta"/>
            <w:bookmarkEnd w:id="893"/>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894" w:name="xdx_49F_20241001__20250630__us-gaap--Sta"/>
            <w:bookmarkEnd w:id="894"/>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June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5" w:name="xdx_40F_eus-gaap--NetIncomeLoss_pn3n3_zF"/>
            <w:bookmarkEnd w:id="895"/>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6" w:name="xdx_406_ecustom--PreferredStockDividends"/>
            <w:bookmarkEnd w:id="896"/>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97" w:name="xdx_409_eus-gaap--NetIncomeLossAvailable"/>
            <w:bookmarkEnd w:id="897"/>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98" w:name="xdx_40C_eus-gaap--WeightedAverageNumberO"/>
            <w:bookmarkEnd w:id="898"/>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899" w:name="xdx_401_eus-gaap--EarningsPerShareBasic_"/>
            <w:bookmarkEnd w:id="899"/>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0" w:name="xdx_407_eus-gaap--NetIncomeLossAttributa"/>
            <w:bookmarkEnd w:id="900"/>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1" w:name="xdx_403_ecustom--ReallocationOfNetIncome"/>
            <w:bookmarkEnd w:id="901"/>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02" w:name="xdx_403_ecustom--NetIncomeLossToDiluted_"/>
            <w:bookmarkEnd w:id="902"/>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3" w:name="xdx_406_ecustom--NumberOfSharesUsedInBas"/>
            <w:bookmarkEnd w:id="903"/>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904" w:name="xdx_405_ecustom--ConversionOfClassBToCla"/>
            <w:bookmarkEnd w:id="904"/>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05" w:name="xdx_406_eus-gaap--WeightedAverageNumberO"/>
            <w:bookmarkEnd w:id="905"/>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bookmarkStart w:id="906" w:name="xdx_406_eus-gaap--EarningsPerShareDilute"/>
            <w:bookmarkEnd w:id="906"/>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907" w:name="xdx_8AF_zeohsKbcTCPh"/>
      <w:bookmarkEnd w:id="90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08" w:name="xdx_89E_eus-gaap--ScheduleOfAntidilutive"/>
      <w:bookmarkEnd w:id="908"/>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bookmarkStart w:id="909" w:name="xdx_8BC_zTFKGcP00Sz6"/>
      <w:bookmarkEnd w:id="909"/>
      <w:r>
        <w:rPr>
          <w:rFonts w:ascii="Times New Roman;Times;Serif" w:hAnsi="Times New Roman;Times;Serif"/>
          <w:b w:val="false"/>
          <w:i w:val="false"/>
          <w:caps w:val="false"/>
          <w:smallCaps w:val="false"/>
          <w:sz w:val="20"/>
        </w:rPr>
        <w:t>Schedule of Antidilutive Shares </w:t>
      </w:r>
    </w:p>
    <w:tbl>
      <w:tblPr>
        <w:tblW w:w="10205" w:type="dxa"/>
        <w:jc w:val="left"/>
        <w:tblInd w:w="0" w:type="dxa"/>
        <w:tblLayout w:type="fixed"/>
        <w:tblCellMar>
          <w:top w:w="0" w:type="dxa"/>
          <w:left w:w="0" w:type="dxa"/>
          <w:bottom w:w="0" w:type="dxa"/>
          <w:right w:w="0" w:type="dxa"/>
        </w:tblCellMar>
      </w:tblPr>
      <w:tblGrid>
        <w:gridCol w:w="7739"/>
        <w:gridCol w:w="60"/>
        <w:gridCol w:w="63"/>
        <w:gridCol w:w="1038"/>
        <w:gridCol w:w="63"/>
        <w:gridCol w:w="63"/>
        <w:gridCol w:w="63"/>
        <w:gridCol w:w="1038"/>
        <w:gridCol w:w="78"/>
      </w:tblGrid>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0" w:name="xdx_49C_20251001__20260630_z5LHfXXLxHhk"/>
            <w:bookmarkEnd w:id="910"/>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11" w:name="xdx_496_20241001__20250630_zehZD1GpxBO2"/>
            <w:bookmarkEnd w:id="911"/>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bookmarkStart w:id="912" w:name="xdx_404_eus-gaap--AntidilutiveSecurities"/>
            <w:bookmarkEnd w:id="912"/>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2,107,840</w:t>
            </w:r>
          </w:p>
        </w:tc>
        <w:tc>
          <w:tcPr>
            <w:tcW w:w="78" w:type="dxa"/>
            <w:tcBorders/>
            <w:shd w:fill="CCEEFF" w:val="clear"/>
            <w:vAlign w:val="center"/>
          </w:tcPr>
          <w:p>
            <w:pPr>
              <w:pStyle w:val="TableContents"/>
              <w:bidi w:val="0"/>
              <w:spacing w:before="0" w:after="283"/>
              <w:jc w:val="left"/>
              <w:rPr/>
            </w:pPr>
            <w:r>
              <w:rPr/>
              <w:t> </w:t>
            </w:r>
            <w:bookmarkStart w:id="913" w:name="xdx_405_eus-gaap--AntidilutiveSecurities"/>
            <w:bookmarkEnd w:id="913"/>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potentially issuable upon conversion of preferred stock or exercise of warrants on preferred stock</w:t>
            </w:r>
            <w:bookmarkStart w:id="914" w:name="xdx_F43_zDR3xsb5xep5"/>
            <w:bookmarkEnd w:id="914"/>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915" w:name="xdx_407_eus-gaap--AntidilutiveSecurities"/>
            <w:bookmarkEnd w:id="915"/>
          </w:p>
        </w:tc>
      </w:tr>
      <w:tr>
        <w:trPr/>
        <w:tc>
          <w:tcPr>
            <w:tcW w:w="7739" w:type="dxa"/>
            <w:tcBorders/>
            <w:shd w:fill="CCEEFF" w:val="clear"/>
            <w:vAlign w:val="center"/>
          </w:tcPr>
          <w:p>
            <w:pPr>
              <w:pStyle w:val="TableContents"/>
              <w:bidi w:val="0"/>
              <w:spacing w:before="0" w:after="283"/>
              <w:jc w:val="left"/>
              <w:rPr/>
            </w:pPr>
            <w:r>
              <w:rPr/>
              <w:t>Shares potentially issuable upon conversion of convertible notes payable measured at fair value</w:t>
            </w:r>
            <w:bookmarkStart w:id="916" w:name="xdx_F4E_zwQTKBbdZgh1"/>
            <w:bookmarkEnd w:id="916"/>
            <w:r>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917" w:name="xdx_40C_eus-gaap--AntidilutiveSecurities"/>
            <w:bookmarkEnd w:id="917"/>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8" w:type="dxa"/>
            <w:tcBorders/>
            <w:shd w:fill="FFFFFF" w:val="clear"/>
            <w:vAlign w:val="center"/>
          </w:tcPr>
          <w:p>
            <w:pPr>
              <w:pStyle w:val="TableContents"/>
              <w:bidi w:val="0"/>
              <w:spacing w:before="0" w:after="283"/>
              <w:jc w:val="left"/>
              <w:rPr/>
            </w:pPr>
            <w:r>
              <w:rPr/>
              <w:t> </w:t>
            </w:r>
            <w:bookmarkStart w:id="918" w:name="xdx_401_eus-gaap--AntidilutiveSecurities"/>
            <w:bookmarkEnd w:id="918"/>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342,500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510,000</w:t>
            </w:r>
          </w:p>
        </w:tc>
        <w:tc>
          <w:tcPr>
            <w:tcW w:w="78" w:type="dxa"/>
            <w:tcBorders/>
            <w:shd w:fill="CCEEFF" w:val="clear"/>
            <w:vAlign w:val="center"/>
          </w:tcPr>
          <w:p>
            <w:pPr>
              <w:pStyle w:val="TableContents"/>
              <w:bidi w:val="0"/>
              <w:spacing w:before="0" w:after="283"/>
              <w:jc w:val="left"/>
              <w:rPr/>
            </w:pPr>
            <w:r>
              <w:rPr/>
              <w:t> </w:t>
            </w:r>
            <w:bookmarkStart w:id="919" w:name="xdx_403_eus-gaap--AntidilutiveSecurities"/>
            <w:bookmarkEnd w:id="919"/>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506,120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620,414</w:t>
            </w:r>
          </w:p>
        </w:tc>
        <w:tc>
          <w:tcPr>
            <w:tcW w:w="78" w:type="dxa"/>
            <w:tcBorders/>
            <w:shd w:fill="FFFFFF" w:val="clear"/>
            <w:vAlign w:val="center"/>
          </w:tcPr>
          <w:p>
            <w:pPr>
              <w:pStyle w:val="TableContents"/>
              <w:bidi w:val="0"/>
              <w:spacing w:before="0" w:after="283"/>
              <w:jc w:val="left"/>
              <w:rPr/>
            </w:pPr>
            <w:r>
              <w:rPr/>
              <w:t> </w:t>
            </w:r>
            <w:bookmarkStart w:id="920" w:name="xdx_408_eus-gaap--AntidilutiveSecurities"/>
            <w:bookmarkEnd w:id="920"/>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245,262</w:t>
            </w:r>
          </w:p>
        </w:tc>
        <w:tc>
          <w:tcPr>
            <w:tcW w:w="78" w:type="dxa"/>
            <w:tcBorders/>
            <w:shd w:fill="CCEEFF" w:val="clear"/>
            <w:vAlign w:val="center"/>
          </w:tcPr>
          <w:p>
            <w:pPr>
              <w:pStyle w:val="TableContents"/>
              <w:bidi w:val="0"/>
              <w:spacing w:before="0" w:after="283"/>
              <w:jc w:val="left"/>
              <w:rPr/>
            </w:pPr>
            <w:r>
              <w:rPr/>
              <w:t> </w:t>
            </w:r>
            <w:bookmarkStart w:id="921" w:name="xdx_40F_eus-gaap--AntidilutiveSecurities"/>
            <w:bookmarkEnd w:id="921"/>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3,897,797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osition w:val="8"/>
                <w:sz w:val="19"/>
              </w:rPr>
            </w:pPr>
            <w:bookmarkStart w:id="922" w:name="xdx_F0B_zdW1hDRY2Z6"/>
            <w:bookmarkEnd w:id="922"/>
            <w:r>
              <w:rPr>
                <w:position w:val="8"/>
                <w:sz w:val="19"/>
              </w:rPr>
              <w:t>3</w:t>
            </w:r>
          </w:p>
        </w:tc>
        <w:tc>
          <w:tcPr>
            <w:tcW w:w="10050" w:type="dxa"/>
            <w:tcBorders/>
            <w:vAlign w:val="center"/>
          </w:tcPr>
          <w:p>
            <w:pPr>
              <w:pStyle w:val="TableContents"/>
              <w:bidi w:val="0"/>
              <w:spacing w:before="0" w:after="283"/>
              <w:jc w:val="both"/>
              <w:rPr>
                <w:rFonts w:ascii="Times New Roman;Times;Serif" w:hAnsi="Times New Roman;Times;Serif"/>
                <w:sz w:val="20"/>
              </w:rPr>
            </w:pPr>
            <w:bookmarkStart w:id="923" w:name="xdx_F1A_zJvqnyZ0Isyi"/>
            <w:bookmarkEnd w:id="923"/>
            <w:r>
              <w:rPr>
                <w:rFonts w:ascii="Times New Roman;Times;Serif" w:hAnsi="Times New Roman;Times;Serif"/>
                <w:sz w:val="20"/>
              </w:rPr>
              <w:t xml:space="preserve">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w:t>
            </w:r>
            <w:bookmarkStart w:id="924" w:name="xdx_909_eus-gaap--StockIssuedDuringPerio"/>
            <w:bookmarkEnd w:id="924"/>
            <w:r>
              <w:rPr>
                <w:rFonts w:ascii="Times New Roman;Times;Serif" w:hAnsi="Times New Roman;Times;Serif"/>
                <w:sz w:val="20"/>
              </w:rPr>
              <w:t>6,367,975 shares would be issuable upon conversion of the preferred shares and exercise of the warrants as of June 30, 2026.</w:t>
            </w:r>
          </w:p>
        </w:tc>
      </w:tr>
      <w:tr>
        <w:trPr/>
        <w:tc>
          <w:tcPr>
            <w:tcW w:w="155" w:type="dxa"/>
            <w:tcBorders/>
            <w:vAlign w:val="center"/>
          </w:tcPr>
          <w:p>
            <w:pPr>
              <w:pStyle w:val="TableContents"/>
              <w:bidi w:val="0"/>
              <w:spacing w:before="0" w:after="283"/>
              <w:jc w:val="both"/>
              <w:rPr/>
            </w:pPr>
            <w:bookmarkStart w:id="925" w:name="xdx_F02_zS1dKzrlU7ri"/>
            <w:bookmarkEnd w:id="925"/>
            <w:r>
              <w:rPr/>
              <w:t>4</w:t>
            </w:r>
            <w:bookmarkStart w:id="926" w:name="xdx_F10_z9OtB0GgZuFd"/>
            <w:bookmarkEnd w:id="926"/>
          </w:p>
        </w:tc>
        <w:tc>
          <w:tcPr>
            <w:tcW w:w="10050" w:type="dxa"/>
            <w:tcBorders/>
            <w:vAlign w:val="center"/>
          </w:tcPr>
          <w:p>
            <w:pPr>
              <w:pStyle w:val="TableContents"/>
              <w:bidi w:val="0"/>
              <w:spacing w:before="0" w:after="283"/>
              <w:jc w:val="both"/>
              <w:rPr/>
            </w:pPr>
            <w:r>
              <w:rPr/>
              <w:t xml:space="preserve">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w:t>
            </w:r>
            <w:bookmarkStart w:id="927" w:name="xdx_905_eus-gaap--StockIssuedDuringPerio"/>
            <w:bookmarkEnd w:id="927"/>
            <w:r>
              <w:rPr/>
              <w:t>2,570,688 shares would be issuable upon conversion as of June 30, 2026.</w:t>
            </w:r>
          </w:p>
        </w:tc>
      </w:tr>
    </w:tbl>
    <w:p>
      <w:pPr>
        <w:pStyle w:val="TextBody"/>
        <w:bidi w:val="0"/>
        <w:spacing w:before="0" w:after="0"/>
        <w:ind w:left="0" w:right="0" w:hanging="0"/>
        <w:jc w:val="both"/>
        <w:rPr>
          <w:caps w:val="false"/>
          <w:smallCaps w:val="false"/>
        </w:rPr>
      </w:pPr>
      <w:bookmarkStart w:id="928" w:name="xdx_8A1_zlqlMi7kCrz"/>
      <w:bookmarkEnd w:id="92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9" w:name="xdx_80C_eus-gaap--ConcentrationRiskDiscl"/>
      <w:bookmarkEnd w:id="929"/>
      <w:r>
        <w:rPr>
          <w:rFonts w:ascii="Times New Roman;Times;Serif" w:hAnsi="Times New Roman;Times;Serif"/>
          <w:b/>
          <w:i w:val="false"/>
          <w:caps w:val="false"/>
          <w:smallCaps w:val="false"/>
          <w:sz w:val="20"/>
        </w:rPr>
        <w:t xml:space="preserve">Note 16 — </w:t>
      </w:r>
      <w:bookmarkStart w:id="930" w:name="xdx_827_z9DEkz56DI4d"/>
      <w:bookmarkEnd w:id="930"/>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months ended June 30, 2026, two customers accounted for </w:t>
      </w:r>
      <w:bookmarkStart w:id="931" w:name="xdx_903_eus-gaap--ConcentrationRiskPerce"/>
      <w:bookmarkEnd w:id="931"/>
      <w:r>
        <w:rPr>
          <w:rFonts w:ascii="Times New Roman;Times;Serif" w:hAnsi="Times New Roman;Times;Serif"/>
          <w:b w:val="false"/>
          <w:i w:val="false"/>
          <w:caps w:val="false"/>
          <w:smallCaps w:val="false"/>
          <w:sz w:val="20"/>
        </w:rPr>
        <w:t xml:space="preserve">62% of the Company’s net revenue. For the three months ended June 30, 2025, one customer accounted for </w:t>
      </w:r>
      <w:bookmarkStart w:id="932" w:name="xdx_903_eus-gaap--ConcentrationRiskPerce"/>
      <w:bookmarkEnd w:id="932"/>
      <w:r>
        <w:rPr>
          <w:rFonts w:ascii="Times New Roman;Times;Serif" w:hAnsi="Times New Roman;Times;Serif"/>
          <w:b w:val="false"/>
          <w:i w:val="false"/>
          <w:caps w:val="false"/>
          <w:smallCaps w:val="false"/>
          <w:sz w:val="20"/>
        </w:rPr>
        <w:t xml:space="preserve">33% of the Company’s net revenue. For the nine months ended June 30, 2026, two customers accounted for </w:t>
      </w:r>
      <w:bookmarkStart w:id="933" w:name="xdx_90C_eus-gaap--ConcentrationRiskPerce"/>
      <w:bookmarkEnd w:id="933"/>
      <w:r>
        <w:rPr>
          <w:rFonts w:ascii="Times New Roman;Times;Serif" w:hAnsi="Times New Roman;Times;Serif"/>
          <w:b w:val="false"/>
          <w:i w:val="false"/>
          <w:caps w:val="false"/>
          <w:smallCaps w:val="false"/>
          <w:sz w:val="20"/>
        </w:rPr>
        <w:t xml:space="preserve">35% of the Company’s net revenue. For the nine months ended June 30, 2025, one customer accounted for </w:t>
      </w:r>
      <w:bookmarkStart w:id="934" w:name="xdx_904_eus-gaap--ConcentrationRiskPerce"/>
      <w:bookmarkEnd w:id="934"/>
      <w:r>
        <w:rPr>
          <w:rFonts w:ascii="Times New Roman;Times;Serif" w:hAnsi="Times New Roman;Times;Serif"/>
          <w:b w:val="false"/>
          <w:i w:val="false"/>
          <w:caps w:val="false"/>
          <w:smallCaps w:val="false"/>
          <w:sz w:val="20"/>
        </w:rPr>
        <w:t xml:space="preserve">55% of the Company’s net revenue. No other customer accounted for more than </w:t>
      </w:r>
      <w:bookmarkStart w:id="935" w:name="xdx_90A_eus-gaap--ConcentrationRiskPerce"/>
      <w:bookmarkEnd w:id="935"/>
      <w:r>
        <w:rPr>
          <w:rFonts w:ascii="Times New Roman;Times;Serif" w:hAnsi="Times New Roman;Times;Serif"/>
          <w:b w:val="false"/>
          <w:i w:val="false"/>
          <w:caps w:val="false"/>
          <w:smallCaps w:val="false"/>
          <w:sz w:val="20"/>
        </w:rPr>
        <w:t>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two customers had balances due that represented </w:t>
      </w:r>
      <w:bookmarkStart w:id="936" w:name="xdx_90D_eus-gaap--ConcentrationRiskPerce"/>
      <w:bookmarkEnd w:id="936"/>
      <w:r>
        <w:rPr>
          <w:rFonts w:ascii="Times New Roman;Times;Serif" w:hAnsi="Times New Roman;Times;Serif"/>
          <w:b w:val="false"/>
          <w:i w:val="false"/>
          <w:caps w:val="false"/>
          <w:smallCaps w:val="false"/>
          <w:sz w:val="20"/>
        </w:rPr>
        <w:t xml:space="preserve">47% of the Company’s total accounts receivable. As of September 30, 2025, two customers had balances due that represented </w:t>
      </w:r>
      <w:bookmarkStart w:id="937" w:name="xdx_901_eus-gaap--ConcentrationRiskPerce"/>
      <w:bookmarkEnd w:id="937"/>
      <w:r>
        <w:rPr>
          <w:rFonts w:ascii="Times New Roman;Times;Serif" w:hAnsi="Times New Roman;Times;Serif"/>
          <w:b w:val="false"/>
          <w:i w:val="false"/>
          <w:caps w:val="false"/>
          <w:smallCaps w:val="false"/>
          <w:sz w:val="20"/>
        </w:rPr>
        <w:t>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8" w:name="xdx_801_eus-gaap--SegmentReportingDisclo"/>
      <w:bookmarkEnd w:id="938"/>
      <w:r>
        <w:rPr>
          <w:rFonts w:ascii="Times New Roman;Times;Serif" w:hAnsi="Times New Roman;Times;Serif"/>
          <w:b/>
          <w:i w:val="false"/>
          <w:caps w:val="false"/>
          <w:smallCaps w:val="false"/>
          <w:sz w:val="20"/>
        </w:rPr>
        <w:t xml:space="preserve">Note 17 — </w:t>
      </w:r>
      <w:bookmarkStart w:id="939" w:name="xdx_824_zwOr2VD0IKl"/>
      <w:bookmarkEnd w:id="939"/>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40" w:name="xdx_89F_eus-gaap--RevenueFromExternalCus"/>
      <w:bookmarkEnd w:id="940"/>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bookmarkStart w:id="941" w:name="xdx_8B8_zoNKQeYnMUI9"/>
      <w:bookmarkEnd w:id="941"/>
      <w:r>
        <w:rPr>
          <w:rFonts w:ascii="Times New Roman;Times;Serif" w:hAnsi="Times New Roman;Times;Serif"/>
          <w:b w:val="false"/>
          <w:i w:val="false"/>
          <w:caps w:val="false"/>
          <w:smallCaps w:val="false"/>
          <w:sz w:val="20"/>
        </w:rPr>
        <w:t>Schedule of Company’s Net Revenue by Geographic Region </w:t>
      </w:r>
    </w:p>
    <w:tbl>
      <w:tblPr>
        <w:tblW w:w="6777" w:type="dxa"/>
        <w:jc w:val="left"/>
        <w:tblInd w:w="0" w:type="dxa"/>
        <w:tblLayout w:type="fixed"/>
        <w:tblCellMar>
          <w:top w:w="0" w:type="dxa"/>
          <w:left w:w="0" w:type="dxa"/>
          <w:bottom w:w="0" w:type="dxa"/>
          <w:right w:w="0" w:type="dxa"/>
        </w:tblCellMar>
      </w:tblPr>
      <w:tblGrid>
        <w:gridCol w:w="1685"/>
        <w:gridCol w:w="60"/>
        <w:gridCol w:w="259"/>
        <w:gridCol w:w="703"/>
        <w:gridCol w:w="111"/>
        <w:gridCol w:w="111"/>
        <w:gridCol w:w="259"/>
        <w:gridCol w:w="1036"/>
        <w:gridCol w:w="60"/>
        <w:gridCol w:w="60"/>
        <w:gridCol w:w="217"/>
        <w:gridCol w:w="869"/>
        <w:gridCol w:w="93"/>
        <w:gridCol w:w="93"/>
        <w:gridCol w:w="217"/>
        <w:gridCol w:w="86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2" w:name="xdx_499_20260401__20260630_z49OoPTKRCV2"/>
            <w:bookmarkEnd w:id="942"/>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bookmarkStart w:id="943" w:name="xdx_492_20250401__20250630_zHzmF1yr4GYh"/>
            <w:bookmarkEnd w:id="943"/>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4" w:name="xdx_492_20251001__20260630_zyhCaPFIiBd7"/>
            <w:bookmarkEnd w:id="944"/>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bookmarkStart w:id="945" w:name="xdx_49C_20241001__20250630_zRWLTM2DVWfe"/>
            <w:bookmarkEnd w:id="945"/>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946" w:name="xdx_404_eus-gaap--RevenueFromContractWit"/>
            <w:bookmarkEnd w:id="946"/>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7,421</w:t>
            </w:r>
          </w:p>
        </w:tc>
        <w:tc>
          <w:tcPr>
            <w:tcW w:w="75" w:type="dxa"/>
            <w:tcBorders/>
            <w:shd w:fill="CCEEFF" w:val="clear"/>
            <w:vAlign w:val="center"/>
          </w:tcPr>
          <w:p>
            <w:pPr>
              <w:pStyle w:val="TableContents"/>
              <w:bidi w:val="0"/>
              <w:spacing w:before="0" w:after="283"/>
              <w:jc w:val="left"/>
              <w:rPr/>
            </w:pPr>
            <w:r>
              <w:rPr/>
              <w:t> </w:t>
            </w:r>
            <w:bookmarkStart w:id="947" w:name="xdx_40A_eus-gaap--RevenueFromContractWit"/>
            <w:bookmarkEnd w:id="947"/>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75" w:type="dxa"/>
            <w:tcBorders/>
            <w:shd w:fill="FFFFFF" w:val="clear"/>
            <w:vAlign w:val="center"/>
          </w:tcPr>
          <w:p>
            <w:pPr>
              <w:pStyle w:val="TableContents"/>
              <w:bidi w:val="0"/>
              <w:spacing w:before="0" w:after="283"/>
              <w:jc w:val="left"/>
              <w:rPr/>
            </w:pPr>
            <w:r>
              <w:rPr/>
              <w:t> </w:t>
            </w:r>
            <w:bookmarkStart w:id="948" w:name="xdx_40A_eus-gaap--RevenueFromContractWit"/>
            <w:bookmarkEnd w:id="948"/>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49" w:name="xdx_8A0_zcOh7Q10tVng"/>
      <w:bookmarkEnd w:id="949"/>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0" w:name="xdx_803_eus-gaap--SubsequentEventsTextBl"/>
      <w:bookmarkEnd w:id="950"/>
      <w:r>
        <w:rPr>
          <w:rFonts w:ascii="Times New Roman;Times;Serif" w:hAnsi="Times New Roman;Times;Serif"/>
          <w:b/>
          <w:i w:val="false"/>
          <w:caps w:val="false"/>
          <w:smallCaps w:val="false"/>
          <w:sz w:val="20"/>
        </w:rPr>
        <w:t xml:space="preserve">Note 18 — </w:t>
      </w:r>
      <w:bookmarkStart w:id="951" w:name="xdx_823_zICXFFkCdSD"/>
      <w:bookmarkEnd w:id="95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 — Vision Aerial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w:t>
      </w:r>
      <w:bookmarkStart w:id="952" w:name="xdx_907_eus-gaap--StockIssuedDuringPerio"/>
      <w:bookmarkEnd w:id="952"/>
      <w:r>
        <w:rPr>
          <w:rFonts w:ascii="Times New Roman;Times;Serif" w:hAnsi="Times New Roman;Times;Serif"/>
          <w:b w:val="false"/>
          <w:i w:val="false"/>
          <w:caps w:val="false"/>
          <w:smallCaps w:val="false"/>
          <w:sz w:val="20"/>
        </w:rPr>
        <w:t>12,000 divided by the volume-weighted average price per share of the Class A Common Stock for the 20 trading days ending on (and including) the third trading day preceding the closing, which price shall not be less than $</w:t>
      </w:r>
      <w:bookmarkStart w:id="953" w:name="xdx_906_eus-gaap--SharePrice_iI_pid_c202"/>
      <w:bookmarkEnd w:id="953"/>
      <w:r>
        <w:rPr>
          <w:rFonts w:ascii="Times New Roman;Times;Serif" w:hAnsi="Times New Roman;Times;Serif"/>
          <w:b w:val="false"/>
          <w:i w:val="false"/>
          <w:caps w:val="false"/>
          <w:smallCaps w:val="false"/>
          <w:sz w:val="20"/>
        </w:rPr>
        <w:t>2.00 nor greater than $</w:t>
      </w:r>
      <w:bookmarkStart w:id="954" w:name="xdx_90B_eus-gaap--SharePrice_iI_pid_c202"/>
      <w:bookmarkEnd w:id="954"/>
      <w:r>
        <w:rPr>
          <w:rFonts w:ascii="Times New Roman;Times;Serif" w:hAnsi="Times New Roman;Times;Serif"/>
          <w:b w:val="false"/>
          <w:i w:val="false"/>
          <w:caps w:val="false"/>
          <w:smallCaps w:val="false"/>
          <w:sz w:val="20"/>
        </w:rPr>
        <w:t>3.00 per share (subject to equitable adjustment), and (ii) $</w:t>
      </w:r>
      <w:bookmarkStart w:id="955" w:name="xdx_90C_eus-gaap--Cash_iI_pn3n3_c2026072"/>
      <w:bookmarkEnd w:id="955"/>
      <w:r>
        <w:rPr>
          <w:rFonts w:ascii="Times New Roman;Times;Serif" w:hAnsi="Times New Roman;Times;Serif"/>
          <w:b w:val="false"/>
          <w:i w:val="false"/>
          <w:caps w:val="false"/>
          <w:smallCaps w:val="false"/>
          <w:sz w:val="20"/>
        </w:rPr>
        <w:t>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Agreement and Plan of Merger — Special Project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w:t>
      </w:r>
      <w:bookmarkStart w:id="956" w:name="xdx_901_eus-gaap--StockIssuedDuringPerio"/>
      <w:bookmarkEnd w:id="956"/>
      <w:r>
        <w:rPr>
          <w:rFonts w:ascii="Times New Roman;Times;Serif" w:hAnsi="Times New Roman;Times;Serif"/>
          <w:b w:val="false"/>
          <w:i w:val="false"/>
          <w:caps w:val="false"/>
          <w:smallCaps w:val="false"/>
          <w:sz w:val="20"/>
        </w:rPr>
        <w:t>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Warrant Exercise and Preferred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5, 2026, Kips exercised the Preferred Warrant in part, purchasing </w:t>
      </w:r>
      <w:bookmarkStart w:id="957" w:name="xdx_905_eus-gaap--ClassOfWarrantOrRightO"/>
      <w:bookmarkEnd w:id="957"/>
      <w:r>
        <w:rPr>
          <w:rFonts w:ascii="Times New Roman;Times;Serif" w:hAnsi="Times New Roman;Times;Serif"/>
          <w:b w:val="false"/>
          <w:i w:val="false"/>
          <w:caps w:val="false"/>
          <w:smallCaps w:val="false"/>
          <w:sz w:val="20"/>
        </w:rPr>
        <w:t>1,000 shares of Series A 10% Convertible Preferred Stock for aggregate gross proceeds to the Company of $</w:t>
      </w:r>
      <w:bookmarkStart w:id="958" w:name="xdx_90E_eus-gaap--WarrantsAndRightsOutst"/>
      <w:bookmarkEnd w:id="958"/>
      <w:r>
        <w:rPr>
          <w:rFonts w:ascii="Times New Roman;Times;Serif" w:hAnsi="Times New Roman;Times;Serif"/>
          <w:b w:val="false"/>
          <w:i w:val="false"/>
          <w:caps w:val="false"/>
          <w:smallCaps w:val="false"/>
          <w:sz w:val="20"/>
        </w:rPr>
        <w:t xml:space="preserve">1,000, and converted those Preferred Shares into </w:t>
      </w:r>
      <w:bookmarkStart w:id="959" w:name="xdx_904_eus-gaap--ConversionOfStockShare"/>
      <w:bookmarkEnd w:id="959"/>
      <w:r>
        <w:rPr>
          <w:rFonts w:ascii="Times New Roman;Times;Serif" w:hAnsi="Times New Roman;Times;Serif"/>
          <w:b w:val="false"/>
          <w:i w:val="false"/>
          <w:caps w:val="false"/>
          <w:smallCaps w:val="false"/>
          <w:sz w:val="20"/>
        </w:rPr>
        <w:t>585,365 shares of Class A Common Stock at a conversion price of $</w:t>
      </w:r>
      <w:bookmarkStart w:id="960" w:name="xdx_905_eus-gaap--SharesIssuedPricePerSh"/>
      <w:bookmarkEnd w:id="960"/>
      <w:r>
        <w:rPr>
          <w:rFonts w:ascii="Times New Roman;Times;Serif" w:hAnsi="Times New Roman;Times;Serif"/>
          <w:b w:val="false"/>
          <w:i w:val="false"/>
          <w:caps w:val="false"/>
          <w:smallCaps w:val="false"/>
          <w:sz w:val="20"/>
        </w:rPr>
        <w:t xml:space="preserve">2.05 per share in accordance with the terms of the Certificate of Designation. The conversion price is equal to the Nasdaq Minimum Price of the Class A Common Stock on May 19, 2026, the date of the Kips Purchase Agreement. Following the partial exercise, </w:t>
      </w:r>
      <w:bookmarkStart w:id="961" w:name="xdx_905_eus-gaap--StockIssuedDuringPerio"/>
      <w:bookmarkEnd w:id="961"/>
      <w:r>
        <w:rPr>
          <w:rFonts w:ascii="Times New Roman;Times;Serif" w:hAnsi="Times New Roman;Times;Serif"/>
          <w:b w:val="false"/>
          <w:i w:val="false"/>
          <w:caps w:val="false"/>
          <w:smallCaps w:val="false"/>
          <w:sz w:val="20"/>
        </w:rPr>
        <w:t>5,000 Preferred Shares remain issuable under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13, 2026, Kips converted </w:t>
      </w:r>
      <w:bookmarkStart w:id="962" w:name="xdx_905_eus-gaap--ConvertiblePreferredSt"/>
      <w:bookmarkEnd w:id="962"/>
      <w:r>
        <w:rPr>
          <w:rFonts w:ascii="Times New Roman;Times;Serif" w:hAnsi="Times New Roman;Times;Serif"/>
          <w:b w:val="false"/>
          <w:i w:val="false"/>
          <w:caps w:val="false"/>
          <w:smallCaps w:val="false"/>
          <w:sz w:val="20"/>
        </w:rPr>
        <w:t xml:space="preserve">1,000 shares of Series A 10% Convertible Preferred Stock into </w:t>
      </w:r>
      <w:bookmarkStart w:id="963" w:name="xdx_901_eus-gaap--ConversionOfStockShare"/>
      <w:bookmarkEnd w:id="963"/>
      <w:r>
        <w:rPr>
          <w:rFonts w:ascii="Times New Roman;Times;Serif" w:hAnsi="Times New Roman;Times;Serif"/>
          <w:b w:val="false"/>
          <w:i w:val="false"/>
          <w:caps w:val="false"/>
          <w:smallCaps w:val="false"/>
          <w:sz w:val="20"/>
        </w:rPr>
        <w:t>585,365 shares of Class A Common Stock at a conversion price of $</w:t>
      </w:r>
      <w:bookmarkStart w:id="964" w:name="xdx_90F_eus-gaap--PreferredStockConverti"/>
      <w:bookmarkEnd w:id="964"/>
      <w:r>
        <w:rPr>
          <w:rFonts w:ascii="Times New Roman;Times;Serif" w:hAnsi="Times New Roman;Times;Serif"/>
          <w:b w:val="false"/>
          <w:i w:val="false"/>
          <w:caps w:val="false"/>
          <w:smallCaps w:val="false"/>
          <w:sz w:val="20"/>
        </w:rPr>
        <w:t>2.05 per share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w:t>
      </w:r>
      <w:bookmarkStart w:id="965" w:name="xdx_900_eus-gaap--DebtConversionConverte"/>
      <w:bookmarkEnd w:id="965"/>
      <w:r>
        <w:rPr>
          <w:rFonts w:ascii="Times New Roman;Times;Serif" w:hAnsi="Times New Roman;Times;Serif"/>
          <w:b w:val="false"/>
          <w:i w:val="false"/>
          <w:caps w:val="false"/>
          <w:smallCaps w:val="false"/>
          <w:sz w:val="20"/>
        </w:rPr>
        <w:t xml:space="preserve">150 of outstanding principal and accrued interest into </w:t>
      </w:r>
      <w:bookmarkStart w:id="966" w:name="xdx_90A_eus-gaap--DebtConversionConverte"/>
      <w:bookmarkEnd w:id="966"/>
      <w:r>
        <w:rPr>
          <w:rFonts w:ascii="Times New Roman;Times;Serif" w:hAnsi="Times New Roman;Times;Serif"/>
          <w:b w:val="false"/>
          <w:i w:val="false"/>
          <w:caps w:val="false"/>
          <w:smallCaps w:val="false"/>
          <w:sz w:val="20"/>
        </w:rPr>
        <w:t>126,957 shares of Class A Common Stock at a conversion price of $</w:t>
      </w:r>
      <w:bookmarkStart w:id="967" w:name="xdx_90C_eus-gaap--DebtInstrumentConverti"/>
      <w:bookmarkEnd w:id="967"/>
      <w:r>
        <w:rPr>
          <w:rFonts w:ascii="Times New Roman;Times;Serif" w:hAnsi="Times New Roman;Times;Serif"/>
          <w:b w:val="false"/>
          <w:i w:val="false"/>
          <w:caps w:val="false"/>
          <w:smallCaps w:val="false"/>
          <w:sz w:val="20"/>
        </w:rPr>
        <w:t>1.18 per share.</w:t>
      </w:r>
    </w:p>
    <w:p>
      <w:pPr>
        <w:pStyle w:val="TextBody"/>
        <w:bidi w:val="0"/>
        <w:spacing w:before="0" w:after="0"/>
        <w:ind w:left="0" w:right="0" w:firstLine="360"/>
        <w:jc w:val="both"/>
        <w:rPr>
          <w:caps w:val="false"/>
          <w:smallCaps w:val="false"/>
        </w:rPr>
      </w:pPr>
      <w:bookmarkStart w:id="968" w:name="xdx_812_zEbKLDN5mvuf"/>
      <w:bookmarkEnd w:id="96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9" w:name="sd_001"/>
      <w:bookmarkEnd w:id="96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Mobix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2026, except for the effects of the reverse stock split discussed in Note 21 to the consolidated financial statements, as to which the date is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bookmarkStart w:id="970" w:name="xdx_046_c20241001__20250930_zWLytcIiwCal"/>
      <w:bookmarkEnd w:id="970"/>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1" w:name="sd_002"/>
      <w:bookmarkEnd w:id="971"/>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72" w:name="xdx_306_111_pn3n3_zOU7LuQSWU25"/>
      <w:bookmarkStart w:id="973" w:name="xdx_306_111_pn3n3_zOU7LuQSWU25"/>
      <w:bookmarkEnd w:id="973"/>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4" w:name="xdx_49C_20250930_zSphY1cs4F4"/>
            <w:bookmarkEnd w:id="974"/>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5" w:name="xdx_493_20240930_z3ZUDyM4tma2"/>
            <w:bookmarkEnd w:id="975"/>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76" w:name="xdx_40C_eus-gaap--AssetsAbstract_iB_zuMv"/>
            <w:bookmarkEnd w:id="976"/>
          </w:p>
        </w:tc>
      </w:tr>
      <w:tr>
        <w:trPr/>
        <w:tc>
          <w:tcPr>
            <w:tcW w:w="785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77" w:name="xdx_40A_eus-gaap--AssetsCurrentAbstract_"/>
            <w:bookmarkEnd w:id="977"/>
          </w:p>
        </w:tc>
      </w:tr>
      <w:tr>
        <w:trPr/>
        <w:tc>
          <w:tcPr>
            <w:tcW w:w="7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78" w:name="xdx_409_eus-gaap--Cash_i02I_zjnwMRv9puD3"/>
            <w:bookmarkEnd w:id="978"/>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bookmarkStart w:id="979" w:name="xdx_40E_eus-gaap--AccountsReceivableNetC"/>
            <w:bookmarkEnd w:id="979"/>
          </w:p>
        </w:tc>
      </w:tr>
      <w:tr>
        <w:trPr/>
        <w:tc>
          <w:tcPr>
            <w:tcW w:w="785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2,813</w:t>
            </w:r>
          </w:p>
        </w:tc>
        <w:tc>
          <w:tcPr>
            <w:tcW w:w="110" w:type="dxa"/>
            <w:tcBorders/>
            <w:shd w:fill="FFFFFF" w:val="clear"/>
            <w:vAlign w:val="center"/>
          </w:tcPr>
          <w:p>
            <w:pPr>
              <w:pStyle w:val="TableContents"/>
              <w:bidi w:val="0"/>
              <w:spacing w:before="0" w:after="283"/>
              <w:jc w:val="left"/>
              <w:rPr/>
            </w:pPr>
            <w:r>
              <w:rPr/>
              <w:t> </w:t>
            </w:r>
            <w:bookmarkStart w:id="980" w:name="xdx_405_eus-gaap--InventoryNet_i02I_zUDV"/>
            <w:bookmarkEnd w:id="980"/>
          </w:p>
        </w:tc>
      </w:tr>
      <w:tr>
        <w:trPr/>
        <w:tc>
          <w:tcPr>
            <w:tcW w:w="7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 </w:t>
            </w:r>
            <w:bookmarkStart w:id="981" w:name="xdx_409_eus-gaap--PrepaidExpenseAndOther"/>
            <w:bookmarkEnd w:id="981"/>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bookmarkStart w:id="982" w:name="xdx_40C_eus-gaap--AssetsCurrent_i02TI_zt"/>
            <w:bookmarkEnd w:id="982"/>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83" w:name="xdx_40D_eus-gaap--PropertyPlantAndEquipm"/>
            <w:bookmarkEnd w:id="983"/>
          </w:p>
        </w:tc>
      </w:tr>
      <w:tr>
        <w:trPr/>
        <w:tc>
          <w:tcPr>
            <w:tcW w:w="78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1,177</w:t>
            </w:r>
          </w:p>
        </w:tc>
        <w:tc>
          <w:tcPr>
            <w:tcW w:w="110" w:type="dxa"/>
            <w:tcBorders/>
            <w:shd w:fill="CCEEFF" w:val="clear"/>
            <w:vAlign w:val="center"/>
          </w:tcPr>
          <w:p>
            <w:pPr>
              <w:pStyle w:val="TableContents"/>
              <w:bidi w:val="0"/>
              <w:spacing w:before="0" w:after="283"/>
              <w:jc w:val="left"/>
              <w:rPr/>
            </w:pPr>
            <w:r>
              <w:rPr/>
              <w:t> </w:t>
            </w:r>
            <w:bookmarkStart w:id="984" w:name="xdx_40D_eus-gaap--IntangibleAssetsNetExc"/>
            <w:bookmarkEnd w:id="984"/>
          </w:p>
        </w:tc>
      </w:tr>
      <w:tr>
        <w:trPr/>
        <w:tc>
          <w:tcPr>
            <w:tcW w:w="785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15,211</w:t>
            </w:r>
          </w:p>
        </w:tc>
        <w:tc>
          <w:tcPr>
            <w:tcW w:w="110" w:type="dxa"/>
            <w:tcBorders/>
            <w:shd w:fill="FFFFFF" w:val="clear"/>
            <w:vAlign w:val="center"/>
          </w:tcPr>
          <w:p>
            <w:pPr>
              <w:pStyle w:val="TableContents"/>
              <w:bidi w:val="0"/>
              <w:spacing w:before="0" w:after="283"/>
              <w:jc w:val="left"/>
              <w:rPr/>
            </w:pPr>
            <w:r>
              <w:rPr/>
              <w:t> </w:t>
            </w:r>
            <w:bookmarkStart w:id="985" w:name="xdx_402_eus-gaap--Goodwill_i01I_zXYbVWJs"/>
            <w:bookmarkEnd w:id="985"/>
          </w:p>
        </w:tc>
      </w:tr>
      <w:tr>
        <w:trPr/>
        <w:tc>
          <w:tcPr>
            <w:tcW w:w="78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bookmarkStart w:id="986" w:name="xdx_40C_eus-gaap--OperatingLeaseRightOfU"/>
            <w:bookmarkEnd w:id="986"/>
          </w:p>
        </w:tc>
      </w:tr>
      <w:tr>
        <w:trPr/>
        <w:tc>
          <w:tcPr>
            <w:tcW w:w="785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bookmarkStart w:id="987" w:name="xdx_40E_eus-gaap--OtherAssetsNoncurrent_"/>
            <w:bookmarkEnd w:id="987"/>
          </w:p>
        </w:tc>
      </w:tr>
      <w:tr>
        <w:trPr/>
        <w:tc>
          <w:tcPr>
            <w:tcW w:w="785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 </w:t>
            </w:r>
            <w:bookmarkStart w:id="988" w:name="xdx_40E_eus-gaap--Assets_i01TI_zDv1LmyUZ"/>
            <w:bookmarkEnd w:id="988"/>
          </w:p>
        </w:tc>
      </w:tr>
      <w:tr>
        <w:trPr/>
        <w:tc>
          <w:tcPr>
            <w:tcW w:w="78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39,088</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9" w:name="xdx_402_eus-gaap--LiabilitiesAndStockhol"/>
            <w:bookmarkEnd w:id="989"/>
          </w:p>
        </w:tc>
      </w:tr>
      <w:tr>
        <w:trPr/>
        <w:tc>
          <w:tcPr>
            <w:tcW w:w="7850"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0" w:name="xdx_404_eus-gaap--LiabilitiesAndStockhol"/>
            <w:bookmarkEnd w:id="990"/>
          </w:p>
        </w:tc>
      </w:tr>
      <w:tr>
        <w:trPr/>
        <w:tc>
          <w:tcPr>
            <w:tcW w:w="7850"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91" w:name="xdx_400_eus-gaap--LiabilitiesCurrentAbst"/>
            <w:bookmarkEnd w:id="991"/>
          </w:p>
        </w:tc>
      </w:tr>
      <w:tr>
        <w:trPr/>
        <w:tc>
          <w:tcPr>
            <w:tcW w:w="785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2" w:name="xdx_406_eus-gaap--AccountsPayableCurrent"/>
            <w:bookmarkEnd w:id="992"/>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10,833</w:t>
            </w:r>
          </w:p>
        </w:tc>
        <w:tc>
          <w:tcPr>
            <w:tcW w:w="110" w:type="dxa"/>
            <w:tcBorders/>
            <w:shd w:fill="FFFFFF" w:val="clear"/>
            <w:vAlign w:val="center"/>
          </w:tcPr>
          <w:p>
            <w:pPr>
              <w:pStyle w:val="TableContents"/>
              <w:bidi w:val="0"/>
              <w:spacing w:before="0" w:after="283"/>
              <w:jc w:val="left"/>
              <w:rPr/>
            </w:pPr>
            <w:r>
              <w:rPr/>
              <w:t> </w:t>
            </w:r>
            <w:bookmarkStart w:id="993" w:name="xdx_40F_eus-gaap--AccruedLiabilitiesCurr"/>
            <w:bookmarkEnd w:id="993"/>
          </w:p>
        </w:tc>
      </w:tr>
      <w:tr>
        <w:trPr/>
        <w:tc>
          <w:tcPr>
            <w:tcW w:w="78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110" w:type="dxa"/>
            <w:tcBorders/>
            <w:shd w:fill="CCEEFF" w:val="clear"/>
            <w:vAlign w:val="center"/>
          </w:tcPr>
          <w:p>
            <w:pPr>
              <w:pStyle w:val="TableContents"/>
              <w:bidi w:val="0"/>
              <w:spacing w:before="0" w:after="283"/>
              <w:jc w:val="left"/>
              <w:rPr/>
            </w:pPr>
            <w:r>
              <w:rPr/>
              <w:t> </w:t>
            </w:r>
            <w:bookmarkStart w:id="994" w:name="xdx_409_ecustom--DeferredPurchaseConside"/>
            <w:bookmarkEnd w:id="994"/>
          </w:p>
        </w:tc>
      </w:tr>
      <w:tr>
        <w:trPr/>
        <w:tc>
          <w:tcPr>
            <w:tcW w:w="7850"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 </w:t>
            </w:r>
            <w:bookmarkStart w:id="995" w:name="xdx_403_eus-gaap--NotesPayableCurrent_i0"/>
            <w:bookmarkEnd w:id="995"/>
          </w:p>
        </w:tc>
      </w:tr>
      <w:tr>
        <w:trPr/>
        <w:tc>
          <w:tcPr>
            <w:tcW w:w="7850"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w:t>
            </w:r>
          </w:p>
        </w:tc>
        <w:tc>
          <w:tcPr>
            <w:tcW w:w="110" w:type="dxa"/>
            <w:tcBorders/>
            <w:shd w:fill="CCEEFF" w:val="clear"/>
            <w:vAlign w:val="center"/>
          </w:tcPr>
          <w:p>
            <w:pPr>
              <w:pStyle w:val="TableContents"/>
              <w:bidi w:val="0"/>
              <w:spacing w:before="0" w:after="283"/>
              <w:jc w:val="left"/>
              <w:rPr/>
            </w:pPr>
            <w:r>
              <w:rPr/>
              <w:t> </w:t>
            </w:r>
            <w:bookmarkStart w:id="996" w:name="xdx_405_eus-gaap--NotesPayableCurrent_i0"/>
            <w:bookmarkEnd w:id="996"/>
          </w:p>
        </w:tc>
      </w:tr>
      <w:tr>
        <w:trPr/>
        <w:tc>
          <w:tcPr>
            <w:tcW w:w="7850"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bookmarkStart w:id="997" w:name="xdx_40F_eus-gaap--NotesPayableCurrent_i0"/>
            <w:bookmarkEnd w:id="997"/>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bookmarkStart w:id="998" w:name="xdx_40D_eus-gaap--OperatingLeaseLiabilit"/>
            <w:bookmarkEnd w:id="998"/>
          </w:p>
        </w:tc>
      </w:tr>
      <w:tr>
        <w:trPr/>
        <w:tc>
          <w:tcPr>
            <w:tcW w:w="785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 </w:t>
            </w:r>
            <w:bookmarkStart w:id="999" w:name="xdx_40A_eus-gaap--LiabilitiesCurrent_i02"/>
            <w:bookmarkEnd w:id="999"/>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26,107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00" w:name="xdx_409_eus-gaap--LongTermNotesPayable_i"/>
            <w:bookmarkEnd w:id="1000"/>
          </w:p>
        </w:tc>
      </w:tr>
      <w:tr>
        <w:trPr/>
        <w:tc>
          <w:tcPr>
            <w:tcW w:w="7850"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jc w:val="left"/>
              <w:rPr/>
            </w:pPr>
            <w:r>
              <w:rPr/>
              <w:t> </w:t>
            </w:r>
            <w:bookmarkStart w:id="1001" w:name="xdx_40D_eus-gaap--LongTermNotesPayable_i"/>
            <w:bookmarkEnd w:id="1001"/>
          </w:p>
        </w:tc>
      </w:tr>
      <w:tr>
        <w:trPr/>
        <w:tc>
          <w:tcPr>
            <w:tcW w:w="7850"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bookmarkStart w:id="1002" w:name="xdx_40D_eus-gaap--LongTermNotesPayable_i"/>
            <w:bookmarkEnd w:id="1002"/>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bookmarkStart w:id="1003" w:name="xdx_409_ecustom--EarnoutLiability_i01I_z"/>
            <w:bookmarkEnd w:id="1003"/>
          </w:p>
        </w:tc>
      </w:tr>
      <w:tr>
        <w:trPr/>
        <w:tc>
          <w:tcPr>
            <w:tcW w:w="7850"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bookmarkStart w:id="1004" w:name="xdx_406_eus-gaap--DeferredIncomeTaxLiabi"/>
            <w:bookmarkEnd w:id="1004"/>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bookmarkStart w:id="1005" w:name="xdx_40F_eus-gaap--OperatingLeaseLiabilit"/>
            <w:bookmarkEnd w:id="1005"/>
          </w:p>
        </w:tc>
      </w:tr>
      <w:tr>
        <w:trPr/>
        <w:tc>
          <w:tcPr>
            <w:tcW w:w="785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w:t>
            </w:r>
          </w:p>
        </w:tc>
        <w:tc>
          <w:tcPr>
            <w:tcW w:w="110" w:type="dxa"/>
            <w:tcBorders/>
            <w:shd w:fill="FFFFFF" w:val="clear"/>
            <w:vAlign w:val="center"/>
          </w:tcPr>
          <w:p>
            <w:pPr>
              <w:pStyle w:val="TableContents"/>
              <w:bidi w:val="0"/>
              <w:spacing w:before="0" w:after="283"/>
              <w:jc w:val="left"/>
              <w:rPr/>
            </w:pPr>
            <w:r>
              <w:rPr/>
              <w:t> </w:t>
            </w:r>
            <w:bookmarkStart w:id="1006" w:name="xdx_404_ecustom--WarrantLiabilityNoncurr"/>
            <w:bookmarkEnd w:id="1006"/>
          </w:p>
        </w:tc>
      </w:tr>
      <w:tr>
        <w:trPr/>
        <w:tc>
          <w:tcPr>
            <w:tcW w:w="7850"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w:t>
            </w:r>
          </w:p>
        </w:tc>
        <w:tc>
          <w:tcPr>
            <w:tcW w:w="110" w:type="dxa"/>
            <w:tcBorders/>
            <w:shd w:fill="CCEEFF" w:val="clear"/>
            <w:vAlign w:val="center"/>
          </w:tcPr>
          <w:p>
            <w:pPr>
              <w:pStyle w:val="TableContents"/>
              <w:bidi w:val="0"/>
              <w:spacing w:before="0" w:after="283"/>
              <w:jc w:val="left"/>
              <w:rPr/>
            </w:pPr>
            <w:r>
              <w:rPr/>
              <w:t> </w:t>
            </w:r>
            <w:bookmarkStart w:id="1007" w:name="xdx_40C_eus-gaap--OtherLiabilitiesNoncur"/>
            <w:bookmarkEnd w:id="1007"/>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bookmarkStart w:id="1008" w:name="xdx_403_eus-gaap--Liabilities_i01TI_zxN2"/>
            <w:bookmarkEnd w:id="1008"/>
          </w:p>
        </w:tc>
      </w:tr>
      <w:tr>
        <w:trPr/>
        <w:tc>
          <w:tcPr>
            <w:tcW w:w="78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33,558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9" w:name="xdx_400_eus-gaap--CommitmentsAndContinge"/>
            <w:bookmarkEnd w:id="1009"/>
          </w:p>
        </w:tc>
      </w:tr>
      <w:tr>
        <w:trPr/>
        <w:tc>
          <w:tcPr>
            <w:tcW w:w="7850" w:type="dxa"/>
            <w:tcBorders/>
            <w:shd w:fill="CCEEFF" w:val="clear"/>
            <w:vAlign w:val="center"/>
          </w:tcPr>
          <w:p>
            <w:pPr>
              <w:pStyle w:val="TableContents"/>
              <w:bidi w:val="0"/>
              <w:spacing w:before="0" w:after="283"/>
              <w:jc w:val="left"/>
              <w:rPr/>
            </w:pPr>
            <w:r>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1010" w:name="xdx_402_eus-gaap--CommitmentsAndContinge"/>
            <w:bookmarkEnd w:id="1010"/>
          </w:p>
        </w:tc>
      </w:tr>
      <w:tr>
        <w:trPr/>
        <w:tc>
          <w:tcPr>
            <w:tcW w:w="785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1" w:name="xdx_407_eus-gaap--TemporaryEquityAbstrac"/>
            <w:bookmarkEnd w:id="1011"/>
          </w:p>
        </w:tc>
      </w:tr>
      <w:tr>
        <w:trPr/>
        <w:tc>
          <w:tcPr>
            <w:tcW w:w="785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2" w:name="xdx_405_eus-gaap--CommonStockValue_i02I_"/>
            <w:bookmarkEnd w:id="1012"/>
          </w:p>
        </w:tc>
      </w:tr>
      <w:tr>
        <w:trPr/>
        <w:tc>
          <w:tcPr>
            <w:tcW w:w="7850" w:type="dxa"/>
            <w:tcBorders/>
            <w:shd w:fill="FFFFFF" w:val="clear"/>
            <w:vAlign w:val="center"/>
          </w:tcPr>
          <w:p>
            <w:pPr>
              <w:pStyle w:val="TableContents"/>
              <w:bidi w:val="0"/>
              <w:spacing w:before="0" w:after="283"/>
              <w:jc w:val="left"/>
              <w:rPr/>
            </w:pPr>
            <w:r>
              <w:rPr/>
              <w:t>Class A Common Stock, $</w:t>
            </w:r>
            <w:bookmarkStart w:id="1013" w:name="xdx_901_eus-gaap--CommonStockParOrStated"/>
            <w:bookmarkStart w:id="1014" w:name="xdx_90B_eus-gaap--CommonStockParOrStated"/>
            <w:bookmarkEnd w:id="1013"/>
            <w:bookmarkEnd w:id="1014"/>
            <w:r>
              <w:rPr/>
              <w:t xml:space="preserve">0.00001 par value, </w:t>
            </w:r>
            <w:bookmarkStart w:id="1015" w:name="xdx_903_eus-gaap--CommonStockSharesAutho"/>
            <w:bookmarkStart w:id="1016" w:name="xdx_909_eus-gaap--CommonStockSharesAutho"/>
            <w:bookmarkEnd w:id="1015"/>
            <w:bookmarkEnd w:id="1016"/>
            <w:r>
              <w:rPr/>
              <w:t xml:space="preserve">285,000,000 shares authorized; </w:t>
            </w:r>
            <w:bookmarkStart w:id="1017" w:name="xdx_903_eus-gaap--CommonStockSharesOutst"/>
            <w:bookmarkStart w:id="1018" w:name="xdx_90E_eus-gaap--CommonStockSharesIssue"/>
            <w:bookmarkEnd w:id="1017"/>
            <w:bookmarkEnd w:id="1018"/>
            <w:r>
              <w:rPr/>
              <w:t xml:space="preserve">5,883,842 and </w:t>
            </w:r>
            <w:bookmarkStart w:id="1019" w:name="xdx_904_eus-gaap--CommonStockSharesOutst"/>
            <w:bookmarkStart w:id="1020" w:name="xdx_90C_eus-gaap--CommonStockSharesIssue"/>
            <w:bookmarkEnd w:id="1019"/>
            <w:bookmarkEnd w:id="1020"/>
            <w:r>
              <w:rPr/>
              <w:t>3,282,423 shares issued and outstanding at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21" w:name="xdx_40C_eus-gaap--CommonStockValue_i02I_"/>
            <w:bookmarkEnd w:id="1021"/>
          </w:p>
        </w:tc>
      </w:tr>
      <w:tr>
        <w:trPr/>
        <w:tc>
          <w:tcPr>
            <w:tcW w:w="7850" w:type="dxa"/>
            <w:tcBorders/>
            <w:shd w:fill="CCEEFF" w:val="clear"/>
            <w:vAlign w:val="center"/>
          </w:tcPr>
          <w:p>
            <w:pPr>
              <w:pStyle w:val="TableContents"/>
              <w:bidi w:val="0"/>
              <w:spacing w:before="0" w:after="283"/>
              <w:jc w:val="left"/>
              <w:rPr/>
            </w:pPr>
            <w:r>
              <w:rPr/>
              <w:t>Class B Common Stock, $</w:t>
            </w:r>
            <w:bookmarkStart w:id="1022" w:name="xdx_900_eus-gaap--CommonStockParOrStated"/>
            <w:bookmarkStart w:id="1023" w:name="xdx_90A_eus-gaap--CommonStockParOrStated"/>
            <w:bookmarkEnd w:id="1022"/>
            <w:bookmarkEnd w:id="1023"/>
            <w:r>
              <w:rPr/>
              <w:t xml:space="preserve">0.00001 par value, </w:t>
            </w:r>
            <w:bookmarkStart w:id="1024" w:name="xdx_903_eus-gaap--CommonStockSharesAutho"/>
            <w:bookmarkStart w:id="1025" w:name="xdx_903_eus-gaap--CommonStockSharesAutho"/>
            <w:bookmarkEnd w:id="1024"/>
            <w:bookmarkEnd w:id="1025"/>
            <w:r>
              <w:rPr/>
              <w:t xml:space="preserve">5,000,000 shares authorized; </w:t>
            </w:r>
            <w:bookmarkStart w:id="1026" w:name="xdx_90F_eus-gaap--CommonStockSharesOutst"/>
            <w:bookmarkStart w:id="1027" w:name="xdx_90D_eus-gaap--CommonStockSharesIssue"/>
            <w:bookmarkEnd w:id="1026"/>
            <w:bookmarkEnd w:id="1027"/>
            <w:r>
              <w:rPr/>
              <w:t xml:space="preserve">200,491 and </w:t>
            </w:r>
            <w:bookmarkStart w:id="1028" w:name="xdx_909_eus-gaap--CommonStockSharesOutst"/>
            <w:bookmarkStart w:id="1029" w:name="xdx_904_eus-gaap--CommonStockSharesIssue"/>
            <w:bookmarkEnd w:id="1028"/>
            <w:bookmarkEnd w:id="1029"/>
            <w:r>
              <w:rPr/>
              <w:t>212,991 shares issued and outstanding at September 30,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30" w:name="xdx_40F_eus-gaap--CommonStockValue_i02I_"/>
            <w:bookmarkEnd w:id="1030"/>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31" w:name="xdx_40B_eus-gaap--AdditionalPaidInCapita"/>
            <w:bookmarkEnd w:id="1031"/>
          </w:p>
        </w:tc>
      </w:tr>
      <w:tr>
        <w:trPr/>
        <w:tc>
          <w:tcPr>
            <w:tcW w:w="785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109,987</w:t>
            </w:r>
          </w:p>
        </w:tc>
        <w:tc>
          <w:tcPr>
            <w:tcW w:w="110" w:type="dxa"/>
            <w:tcBorders/>
            <w:shd w:fill="FFFFFF" w:val="clear"/>
            <w:vAlign w:val="center"/>
          </w:tcPr>
          <w:p>
            <w:pPr>
              <w:pStyle w:val="TableContents"/>
              <w:bidi w:val="0"/>
              <w:spacing w:before="0" w:after="283"/>
              <w:jc w:val="left"/>
              <w:rPr/>
            </w:pPr>
            <w:r>
              <w:rPr/>
              <w:t> </w:t>
            </w:r>
            <w:bookmarkStart w:id="1032" w:name="xdx_400_eus-gaap--RetainedEarningsAccumu"/>
            <w:bookmarkEnd w:id="1032"/>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(104,457</w:t>
            </w:r>
          </w:p>
        </w:tc>
        <w:tc>
          <w:tcPr>
            <w:tcW w:w="110" w:type="dxa"/>
            <w:tcBorders/>
            <w:shd w:fill="CCEEFF" w:val="clear"/>
            <w:vAlign w:val="center"/>
          </w:tcPr>
          <w:p>
            <w:pPr>
              <w:pStyle w:val="TableContents"/>
              <w:bidi w:val="0"/>
              <w:spacing w:before="0" w:after="283"/>
              <w:jc w:val="left"/>
              <w:rPr/>
            </w:pPr>
            <w:r>
              <w:rPr/>
              <w:t>)</w:t>
            </w:r>
            <w:bookmarkStart w:id="1033" w:name="xdx_40A_eus-gaap--StockholdersEquity_i02"/>
            <w:bookmarkEnd w:id="1033"/>
          </w:p>
        </w:tc>
      </w:tr>
      <w:tr>
        <w:trPr/>
        <w:tc>
          <w:tcPr>
            <w:tcW w:w="7850"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5,530</w:t>
            </w:r>
          </w:p>
        </w:tc>
        <w:tc>
          <w:tcPr>
            <w:tcW w:w="110" w:type="dxa"/>
            <w:tcBorders/>
            <w:shd w:fill="FFFFFF" w:val="clear"/>
            <w:vAlign w:val="center"/>
          </w:tcPr>
          <w:p>
            <w:pPr>
              <w:pStyle w:val="TableContents"/>
              <w:bidi w:val="0"/>
              <w:spacing w:before="0" w:after="283"/>
              <w:jc w:val="left"/>
              <w:rPr/>
            </w:pPr>
            <w:r>
              <w:rPr/>
              <w:t> </w:t>
            </w:r>
            <w:bookmarkStart w:id="1034" w:name="xdx_402_eus-gaap--LiabilitiesAndStockhol"/>
            <w:bookmarkEnd w:id="1034"/>
          </w:p>
        </w:tc>
      </w:tr>
      <w:tr>
        <w:trPr/>
        <w:tc>
          <w:tcPr>
            <w:tcW w:w="7850"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39,088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35" w:name="sd_003"/>
      <w:bookmarkEnd w:id="1035"/>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36" w:name="xdx_302_113_pn3n3_zHQyOJiXki0j"/>
      <w:bookmarkStart w:id="1037" w:name="xdx_302_113_pn3n3_zHQyOJiXki0j"/>
      <w:bookmarkEnd w:id="1037"/>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8" w:name="xdx_495_20241001__20250930_zbb939pzD6Bh"/>
            <w:bookmarkEnd w:id="1038"/>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9" w:name="xdx_496_20231001__20240930_zrC4uStH6B7k"/>
            <w:bookmarkEnd w:id="103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40" w:name="xdx_40C_eus-gaap--RevenuesAbstract_iB_ze"/>
            <w:bookmarkEnd w:id="1040"/>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1" w:name="xdx_40B_eus-gaap--RevenueFromContractWit"/>
            <w:bookmarkEnd w:id="1041"/>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5,890</w:t>
            </w:r>
          </w:p>
        </w:tc>
        <w:tc>
          <w:tcPr>
            <w:tcW w:w="110" w:type="dxa"/>
            <w:tcBorders/>
            <w:shd w:fill="FFFFFF" w:val="clear"/>
            <w:vAlign w:val="center"/>
          </w:tcPr>
          <w:p>
            <w:pPr>
              <w:pStyle w:val="TableContents"/>
              <w:bidi w:val="0"/>
              <w:spacing w:before="0" w:after="283"/>
              <w:jc w:val="left"/>
              <w:rPr/>
            </w:pPr>
            <w:r>
              <w:rPr/>
              <w:t> </w:t>
            </w:r>
            <w:bookmarkStart w:id="1042" w:name="xdx_40A_eus-gaap--RevenueFromContractWit"/>
            <w:bookmarkEnd w:id="1042"/>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bookmarkStart w:id="1043" w:name="xdx_40F_eus-gaap--RevenueFromContractWit"/>
            <w:bookmarkEnd w:id="1043"/>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4" w:name="xdx_400_eus-gaap--CostOfRevenueAbstract_"/>
            <w:bookmarkEnd w:id="1044"/>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5" w:name="xdx_403_eus-gaap--CostOfRevenue_i01_hsrt"/>
            <w:bookmarkEnd w:id="1045"/>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3,752</w:t>
            </w:r>
          </w:p>
        </w:tc>
        <w:tc>
          <w:tcPr>
            <w:tcW w:w="110" w:type="dxa"/>
            <w:tcBorders/>
            <w:shd w:fill="CCEEFF" w:val="clear"/>
            <w:vAlign w:val="center"/>
          </w:tcPr>
          <w:p>
            <w:pPr>
              <w:pStyle w:val="TableContents"/>
              <w:bidi w:val="0"/>
              <w:spacing w:before="0" w:after="283"/>
              <w:jc w:val="left"/>
              <w:rPr/>
            </w:pPr>
            <w:r>
              <w:rPr/>
              <w:t> </w:t>
            </w:r>
            <w:bookmarkStart w:id="1046" w:name="xdx_40C_eus-gaap--CostOfRevenue_i01_hsrt"/>
            <w:bookmarkEnd w:id="1046"/>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bookmarkStart w:id="1047" w:name="xdx_401_eus-gaap--CostOfRevenue_i01_z7Zs"/>
            <w:bookmarkEnd w:id="1047"/>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bookmarkStart w:id="1048" w:name="xdx_402_eus-gaap--GrossProfit_i01T_zwyLy"/>
            <w:bookmarkEnd w:id="1048"/>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9" w:name="xdx_404_eus-gaap--OperatingExpensesAbstr"/>
            <w:bookmarkEnd w:id="1049"/>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0" w:name="xdx_40C_eus-gaap--ResearchAndDevelopment"/>
            <w:bookmarkEnd w:id="1050"/>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5,779</w:t>
            </w:r>
          </w:p>
        </w:tc>
        <w:tc>
          <w:tcPr>
            <w:tcW w:w="110" w:type="dxa"/>
            <w:tcBorders/>
            <w:shd w:fill="CCEEFF" w:val="clear"/>
            <w:vAlign w:val="center"/>
          </w:tcPr>
          <w:p>
            <w:pPr>
              <w:pStyle w:val="TableContents"/>
              <w:bidi w:val="0"/>
              <w:spacing w:before="0" w:after="283"/>
              <w:jc w:val="left"/>
              <w:rPr/>
            </w:pPr>
            <w:r>
              <w:rPr/>
              <w:t> </w:t>
            </w:r>
            <w:bookmarkStart w:id="1051" w:name="xdx_402_eus-gaap--SellingGeneralAndAdmin"/>
            <w:bookmarkEnd w:id="1051"/>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41,835</w:t>
            </w:r>
          </w:p>
        </w:tc>
        <w:tc>
          <w:tcPr>
            <w:tcW w:w="110" w:type="dxa"/>
            <w:tcBorders/>
            <w:shd w:fill="FFFFFF" w:val="clear"/>
            <w:vAlign w:val="center"/>
          </w:tcPr>
          <w:p>
            <w:pPr>
              <w:pStyle w:val="TableContents"/>
              <w:bidi w:val="0"/>
              <w:spacing w:before="0" w:after="283"/>
              <w:jc w:val="left"/>
              <w:rPr/>
            </w:pPr>
            <w:r>
              <w:rPr/>
              <w:t> </w:t>
            </w:r>
            <w:bookmarkStart w:id="1052" w:name="xdx_401_eus-gaap--ImpairmentOfLongLivedA"/>
            <w:bookmarkEnd w:id="1052"/>
          </w:p>
        </w:tc>
      </w:tr>
      <w:tr>
        <w:trPr/>
        <w:tc>
          <w:tcPr>
            <w:tcW w:w="558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1,333</w:t>
            </w:r>
          </w:p>
        </w:tc>
        <w:tc>
          <w:tcPr>
            <w:tcW w:w="110" w:type="dxa"/>
            <w:tcBorders/>
            <w:shd w:fill="CCEEFF" w:val="clear"/>
            <w:vAlign w:val="center"/>
          </w:tcPr>
          <w:p>
            <w:pPr>
              <w:pStyle w:val="TableContents"/>
              <w:bidi w:val="0"/>
              <w:spacing w:before="0" w:after="283"/>
              <w:jc w:val="left"/>
              <w:rPr/>
            </w:pPr>
            <w:r>
              <w:rPr/>
              <w:t> </w:t>
            </w:r>
            <w:bookmarkStart w:id="1053" w:name="xdx_40B_eus-gaap--OperatingIncomeLoss_i0"/>
            <w:bookmarkEnd w:id="1053"/>
          </w:p>
        </w:tc>
      </w:tr>
      <w:tr>
        <w:trPr/>
        <w:tc>
          <w:tcPr>
            <w:tcW w:w="55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(46,395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54" w:name="xdx_407_eus-gaap--InterestExpenseNonoper"/>
            <w:bookmarkEnd w:id="1054"/>
          </w:p>
        </w:tc>
      </w:tr>
      <w:tr>
        <w:trPr/>
        <w:tc>
          <w:tcPr>
            <w:tcW w:w="55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 </w:t>
            </w:r>
            <w:bookmarkStart w:id="1055" w:name="xdx_402_ecustom--ChangeInFairValueOfEarn"/>
            <w:bookmarkEnd w:id="1055"/>
          </w:p>
        </w:tc>
      </w:tr>
      <w:tr>
        <w:trPr/>
        <w:tc>
          <w:tcPr>
            <w:tcW w:w="558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(31,879</w:t>
            </w:r>
          </w:p>
        </w:tc>
        <w:tc>
          <w:tcPr>
            <w:tcW w:w="110" w:type="dxa"/>
            <w:tcBorders/>
            <w:shd w:fill="CCEEFF" w:val="clear"/>
            <w:vAlign w:val="center"/>
          </w:tcPr>
          <w:p>
            <w:pPr>
              <w:pStyle w:val="TableContents"/>
              <w:bidi w:val="0"/>
              <w:spacing w:before="0" w:after="283"/>
              <w:jc w:val="left"/>
              <w:rPr/>
            </w:pPr>
            <w:r>
              <w:rPr/>
              <w:t>)</w:t>
            </w:r>
            <w:bookmarkStart w:id="1056" w:name="xdx_40F_eus-gaap--FairValueAdjustmentOfW"/>
            <w:bookmarkEnd w:id="1056"/>
          </w:p>
        </w:tc>
      </w:tr>
      <w:tr>
        <w:trPr/>
        <w:tc>
          <w:tcPr>
            <w:tcW w:w="558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w:t>
            </w:r>
          </w:p>
        </w:tc>
        <w:tc>
          <w:tcPr>
            <w:tcW w:w="110" w:type="dxa"/>
            <w:tcBorders/>
            <w:shd w:fill="FFFFFF" w:val="clear"/>
            <w:vAlign w:val="center"/>
          </w:tcPr>
          <w:p>
            <w:pPr>
              <w:pStyle w:val="TableContents"/>
              <w:bidi w:val="0"/>
              <w:spacing w:before="0" w:after="283"/>
              <w:jc w:val="left"/>
              <w:rPr/>
            </w:pPr>
            <w:r>
              <w:rPr/>
              <w:t>)</w:t>
            </w:r>
            <w:bookmarkStart w:id="1057" w:name="xdx_406_ecustom--ChangeInFairValueOfPIPE"/>
            <w:bookmarkEnd w:id="1057"/>
          </w:p>
        </w:tc>
      </w:tr>
      <w:tr>
        <w:trPr/>
        <w:tc>
          <w:tcPr>
            <w:tcW w:w="558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jc w:val="left"/>
              <w:rPr/>
            </w:pPr>
            <w:r>
              <w:rPr/>
              <w:t>)</w:t>
            </w:r>
            <w:bookmarkStart w:id="1058" w:name="xdx_40D_eus-gaap--NoncashMergerRelatedCo"/>
            <w:bookmarkEnd w:id="1058"/>
          </w:p>
        </w:tc>
      </w:tr>
      <w:tr>
        <w:trPr/>
        <w:tc>
          <w:tcPr>
            <w:tcW w:w="558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bookmarkStart w:id="1059" w:name="xdx_401_ecustom--FinancingCostsExpensed_"/>
            <w:bookmarkEnd w:id="1059"/>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110" w:type="dxa"/>
            <w:tcBorders/>
            <w:shd w:fill="CCEEFF" w:val="clear"/>
            <w:vAlign w:val="center"/>
          </w:tcPr>
          <w:p>
            <w:pPr>
              <w:pStyle w:val="TableContents"/>
              <w:bidi w:val="0"/>
              <w:spacing w:before="0" w:after="283"/>
              <w:jc w:val="left"/>
              <w:rPr/>
            </w:pPr>
            <w:r>
              <w:rPr/>
              <w:t> </w:t>
            </w:r>
            <w:bookmarkStart w:id="1060" w:name="xdx_40E_eus-gaap--OtherNonoperatingGains"/>
            <w:bookmarkEnd w:id="1060"/>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bookmarkStart w:id="1061" w:name="xdx_40A_eus-gaap--OtherNonoperatingGains"/>
            <w:bookmarkEnd w:id="1061"/>
          </w:p>
        </w:tc>
      </w:tr>
      <w:tr>
        <w:trPr/>
        <w:tc>
          <w:tcPr>
            <w:tcW w:w="5585"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bookmarkStart w:id="1062" w:name="xdx_40B_eus-gaap--IncomeLossFromContinui"/>
            <w:bookmarkEnd w:id="1062"/>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(22,463</w:t>
            </w:r>
          </w:p>
        </w:tc>
        <w:tc>
          <w:tcPr>
            <w:tcW w:w="110" w:type="dxa"/>
            <w:tcBorders/>
            <w:shd w:fill="CCEEFF" w:val="clear"/>
            <w:vAlign w:val="center"/>
          </w:tcPr>
          <w:p>
            <w:pPr>
              <w:pStyle w:val="TableContents"/>
              <w:bidi w:val="0"/>
              <w:spacing w:before="0" w:after="283"/>
              <w:jc w:val="left"/>
              <w:rPr/>
            </w:pPr>
            <w:r>
              <w:rPr/>
              <w:t>)</w:t>
            </w:r>
            <w:bookmarkStart w:id="1063" w:name="xdx_407_eus-gaap--IncomeTaxExpenseBenefi"/>
            <w:bookmarkEnd w:id="1063"/>
          </w:p>
        </w:tc>
      </w:tr>
      <w:tr>
        <w:trPr/>
        <w:tc>
          <w:tcPr>
            <w:tcW w:w="558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bookmarkStart w:id="1064" w:name="xdx_404_eus-gaap--IncomeTaxExpenseBenefi"/>
            <w:bookmarkEnd w:id="1064"/>
          </w:p>
        </w:tc>
      </w:tr>
      <w:tr>
        <w:trPr/>
        <w:tc>
          <w:tcPr>
            <w:tcW w:w="5585"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bookmarkStart w:id="1065" w:name="xdx_400_eus-gaap--NetIncomeLoss_iT_zd7Ds"/>
            <w:bookmarkEnd w:id="1065"/>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(20,034</w:t>
            </w:r>
          </w:p>
        </w:tc>
        <w:tc>
          <w:tcPr>
            <w:tcW w:w="110" w:type="dxa"/>
            <w:tcBorders/>
            <w:shd w:fill="CCEEFF" w:val="clear"/>
            <w:vAlign w:val="center"/>
          </w:tcPr>
          <w:p>
            <w:pPr>
              <w:pStyle w:val="TableContents"/>
              <w:bidi w:val="0"/>
              <w:spacing w:before="0" w:after="283"/>
              <w:jc w:val="left"/>
              <w:rPr/>
            </w:pPr>
            <w:r>
              <w:rPr/>
              <w:t>)</w:t>
            </w:r>
            <w:bookmarkStart w:id="1066" w:name="xdx_402_ecustom--DeemedDividendFromWarra"/>
            <w:bookmarkEnd w:id="1066"/>
          </w:p>
        </w:tc>
      </w:tr>
      <w:tr>
        <w:trPr/>
        <w:tc>
          <w:tcPr>
            <w:tcW w:w="5585"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bookmarkStart w:id="1067" w:name="xdx_40B_eus-gaap--NetIncomeLossAvailable"/>
            <w:bookmarkEnd w:id="1067"/>
          </w:p>
        </w:tc>
      </w:tr>
      <w:tr>
        <w:trPr/>
        <w:tc>
          <w:tcPr>
            <w:tcW w:w="5585" w:type="dxa"/>
            <w:tcBorders/>
            <w:shd w:fill="CCEEFF" w:val="clear"/>
            <w:vAlign w:val="center"/>
          </w:tcPr>
          <w:p>
            <w:pPr>
              <w:pStyle w:val="TableContents"/>
              <w:bidi w:val="0"/>
              <w:spacing w:before="0" w:after="283"/>
              <w:jc w:val="left"/>
              <w:rPr/>
            </w:pPr>
            <w:r>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8" w:name="xdx_406_eus-gaap--EarningsPerShareBasicA"/>
            <w:bookmarkEnd w:id="1068"/>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9" w:name="xdx_40A_eus-gaap--EarningsPerShareBasic_"/>
            <w:bookmarkEnd w:id="1069"/>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bookmarkStart w:id="1070" w:name="xdx_40E_eus-gaap--EarningsPerShareDilute"/>
            <w:bookmarkEnd w:id="1070"/>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(7.53</w:t>
            </w:r>
          </w:p>
        </w:tc>
        <w:tc>
          <w:tcPr>
            <w:tcW w:w="110" w:type="dxa"/>
            <w:tcBorders/>
            <w:shd w:fill="CCEEFF" w:val="clear"/>
            <w:vAlign w:val="center"/>
          </w:tcPr>
          <w:p>
            <w:pPr>
              <w:pStyle w:val="TableContents"/>
              <w:bidi w:val="0"/>
              <w:spacing w:before="0" w:after="283"/>
              <w:jc w:val="left"/>
              <w:rPr/>
            </w:pPr>
            <w:r>
              <w:rPr/>
              <w:t>)</w:t>
            </w:r>
            <w:bookmarkStart w:id="1071" w:name="xdx_402_eus-gaap--WeightedAverageNumberO"/>
            <w:bookmarkEnd w:id="1071"/>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2" w:name="xdx_409_eus-gaap--WeightedAverageNumberO"/>
            <w:bookmarkEnd w:id="1072"/>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2,841,958</w:t>
            </w:r>
          </w:p>
        </w:tc>
        <w:tc>
          <w:tcPr>
            <w:tcW w:w="110" w:type="dxa"/>
            <w:tcBorders/>
            <w:shd w:fill="CCEEFF" w:val="clear"/>
            <w:vAlign w:val="center"/>
          </w:tcPr>
          <w:p>
            <w:pPr>
              <w:pStyle w:val="TableContents"/>
              <w:bidi w:val="0"/>
              <w:spacing w:before="0" w:after="283"/>
              <w:jc w:val="left"/>
              <w:rPr/>
            </w:pPr>
            <w:r>
              <w:rPr/>
              <w:t> </w:t>
            </w:r>
            <w:bookmarkStart w:id="1073" w:name="xdx_407_eus-gaap--WeightedAverageNumberO"/>
            <w:bookmarkEnd w:id="1073"/>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4,546,509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2,948,302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74" w:name="sd_004"/>
      <w:bookmarkEnd w:id="1074"/>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REDEEMABLE CONVERTIBLE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075" w:name="xdx_308_114_pn3n3_zyKfrvoJH3kf"/>
      <w:bookmarkStart w:id="1076" w:name="xdx_308_114_pn3n3_zyKfrvoJH3kf"/>
      <w:bookmarkEnd w:id="1076"/>
    </w:p>
    <w:tbl>
      <w:tblPr>
        <w:tblW w:w="15310" w:type="dxa"/>
        <w:jc w:val="left"/>
        <w:tblInd w:w="0" w:type="dxa"/>
        <w:tblLayout w:type="fixed"/>
        <w:tblCellMar>
          <w:top w:w="0" w:type="dxa"/>
          <w:left w:w="0" w:type="dxa"/>
          <w:bottom w:w="0" w:type="dxa"/>
          <w:right w:w="0" w:type="dxa"/>
        </w:tblCellMar>
      </w:tblPr>
      <w:tblGrid>
        <w:gridCol w:w="1085"/>
        <w:gridCol w:w="60"/>
        <w:gridCol w:w="60"/>
        <w:gridCol w:w="575"/>
        <w:gridCol w:w="80"/>
        <w:gridCol w:w="60"/>
        <w:gridCol w:w="110"/>
        <w:gridCol w:w="665"/>
        <w:gridCol w:w="60"/>
        <w:gridCol w:w="60"/>
        <w:gridCol w:w="60"/>
        <w:gridCol w:w="665"/>
        <w:gridCol w:w="80"/>
        <w:gridCol w:w="60"/>
        <w:gridCol w:w="110"/>
        <w:gridCol w:w="665"/>
        <w:gridCol w:w="80"/>
        <w:gridCol w:w="60"/>
        <w:gridCol w:w="60"/>
        <w:gridCol w:w="575"/>
        <w:gridCol w:w="80"/>
        <w:gridCol w:w="60"/>
        <w:gridCol w:w="110"/>
        <w:gridCol w:w="665"/>
        <w:gridCol w:w="80"/>
        <w:gridCol w:w="60"/>
        <w:gridCol w:w="60"/>
        <w:gridCol w:w="800"/>
        <w:gridCol w:w="80"/>
        <w:gridCol w:w="60"/>
        <w:gridCol w:w="110"/>
        <w:gridCol w:w="665"/>
        <w:gridCol w:w="60"/>
        <w:gridCol w:w="60"/>
        <w:gridCol w:w="60"/>
        <w:gridCol w:w="740"/>
        <w:gridCol w:w="60"/>
        <w:gridCol w:w="60"/>
        <w:gridCol w:w="110"/>
        <w:gridCol w:w="665"/>
        <w:gridCol w:w="60"/>
        <w:gridCol w:w="60"/>
        <w:gridCol w:w="60"/>
        <w:gridCol w:w="605"/>
        <w:gridCol w:w="80"/>
        <w:gridCol w:w="60"/>
        <w:gridCol w:w="110"/>
        <w:gridCol w:w="665"/>
        <w:gridCol w:w="60"/>
        <w:gridCol w:w="60"/>
        <w:gridCol w:w="110"/>
        <w:gridCol w:w="845"/>
        <w:gridCol w:w="80"/>
        <w:gridCol w:w="60"/>
        <w:gridCol w:w="110"/>
        <w:gridCol w:w="1040"/>
        <w:gridCol w:w="80"/>
        <w:gridCol w:w="60"/>
        <w:gridCol w:w="110"/>
        <w:gridCol w:w="1025"/>
        <w:gridCol w:w="95"/>
      </w:tblGrid>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77" w:name="xdx_4B3_us-gaap--StatementClassOfStockAx"/>
            <w:bookmarkEnd w:id="1077"/>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78" w:name="xdx_4BC_us-gaap--StatementClassOfStockAx"/>
            <w:bookmarkEnd w:id="1078"/>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79" w:name="xdx_4BF_us-gaap--StatementClassOfStockAx"/>
            <w:bookmarkEnd w:id="1079"/>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0" w:name="xdx_4B7_us-gaap--StatementClassOfStockAx"/>
            <w:bookmarkEnd w:id="1080"/>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1" w:name="xdx_4BA_us-gaap--StatementClassOfStockAx"/>
            <w:bookmarkEnd w:id="1081"/>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2" w:name="xdx_4BC_us-gaap--StatementClassOfStockAx"/>
            <w:bookmarkEnd w:id="1082"/>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3" w:name="xdx_4BE_us-gaap--StatementEquityComponen"/>
            <w:bookmarkEnd w:id="1083"/>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4" w:name="xdx_4BF_us-gaap--StatementEquityComponen"/>
            <w:bookmarkEnd w:id="1084"/>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bookmarkStart w:id="1085" w:name="xdx_4BB_zUneEDhwjGRd"/>
            <w:bookmarkEnd w:id="1085"/>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Founders</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A</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Contingently</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1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Legacy</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A</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B</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86" w:name="xdx_43F_c20231001__20240930_eus-gaap--St"/>
            <w:bookmarkEnd w:id="108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7" w:name="xdx_98C_eus-gaap--SharesOutstanding_iS_p"/>
            <w:bookmarkEnd w:id="1087"/>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8" w:name="xdx_984_eus-gaap--SharesOutstanding_iS_p"/>
            <w:bookmarkEnd w:id="1088"/>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89" w:name="xdx_98F_eus-gaap--SharesOutstanding_iS_p"/>
            <w:bookmarkEnd w:id="1089"/>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0" w:name="xdx_980_eus-gaap--SharesOutstanding_iS_p"/>
            <w:bookmarkEnd w:id="1090"/>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1,669,217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1" w:name="xdx_98D_eus-gaap--SharesOutstanding_iS_p"/>
            <w:bookmarkEnd w:id="1091"/>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2" w:name="xdx_987_eus-gaap--SharesOutstanding_iS_p"/>
            <w:bookmarkEnd w:id="1092"/>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78,421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(83,762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bookmarkStart w:id="1093" w:name="xdx_406_eus-gaap--StockIssuedDuringPerio"/>
            <w:bookmarkEnd w:id="109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4" w:name="xdx_981_eus-gaap--StockIssuedDuringPerio"/>
            <w:bookmarkEnd w:id="1094"/>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5" w:name="xdx_987_eus-gaap--StockIssuedDuringPerio"/>
            <w:bookmarkEnd w:id="1095"/>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6" w:name="xdx_40B_eus-gaap--StockIssuedDuringPerio"/>
            <w:bookmarkEnd w:id="109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contingently redeemable common stock for acquisition of EMI Solutions,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7" w:name="xdx_981_eus-gaap--StockIssuedDuringPerio"/>
            <w:bookmarkEnd w:id="1097"/>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098" w:name="xdx_409_ecustom--LapseOfRedemptionFeatur"/>
            <w:bookmarkEnd w:id="1098"/>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Lapse of redemption feature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099" w:name="xdx_98E_ecustom--LapseOfRedemptionFeatur"/>
            <w:bookmarkEnd w:id="1099"/>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0" w:name="xdx_984_ecustom--LapseOfRedemptionFeatur"/>
            <w:bookmarkEnd w:id="1100"/>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1" w:name="xdx_405_ecustom--StockIssuedDuringPeriod"/>
            <w:bookmarkEnd w:id="110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Reverse recapitalization transactions, net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2" w:name="xdx_980_ecustom--StockIssuedDuringPeriod"/>
            <w:bookmarkEnd w:id="1102"/>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3" w:name="xdx_985_ecustom--StockIssuedDuringPeriod"/>
            <w:bookmarkEnd w:id="1103"/>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4" w:name="xdx_98F_ecustom--StockIssuedDuringPeriod"/>
            <w:bookmarkEnd w:id="1104"/>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(1,813,925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5" w:name="xdx_982_ecustom--StockIssuedDuringPeriod"/>
            <w:bookmarkEnd w:id="1105"/>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2,290,180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06" w:name="xdx_989_ecustom--StockIssuedDuringPeriod"/>
            <w:bookmarkEnd w:id="1106"/>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107" w:name="xdx_400_ecustom--IssuanceOfCommonStockFo"/>
            <w:bookmarkEnd w:id="110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for acquisition of RaGE Systems,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8" w:name="xdx_981_ecustom--IssuanceOfCommonStockSh"/>
            <w:bookmarkEnd w:id="1108"/>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09" w:name="xdx_405_eus-gaap--AdjustmentsToAdditiona"/>
            <w:bookmarkEnd w:id="110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warrants in connection with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0" w:name="xdx_406_ecustom--AdjustmentsToAdditional"/>
            <w:bookmarkEnd w:id="1110"/>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1" w:name="xdx_400_eus-gaap--StockIssuedDuringPerio"/>
            <w:bookmarkEnd w:id="111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2" w:name="xdx_988_eus-gaap--StockIssuedDuringPerio"/>
            <w:bookmarkEnd w:id="1112"/>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3" w:name="xdx_40B_ecustom--IssuanceOfCommonStockUp"/>
            <w:bookmarkEnd w:id="111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4" w:name="xdx_987_ecustom--IssuanceOfCommonStockUp"/>
            <w:bookmarkEnd w:id="1114"/>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5" w:name="xdx_40C_eus-gaap--StockIssuedDuringPerio"/>
            <w:bookmarkEnd w:id="111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6" w:name="xdx_98C_eus-gaap--StockIssuedDuringPerio"/>
            <w:bookmarkEnd w:id="1116"/>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17" w:name="xdx_406_ecustom--StockIssuedDuringPeriod"/>
            <w:bookmarkEnd w:id="111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PIPE make-whole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8" w:name="xdx_98A_ecustom--StockIssuedDuringPeriod"/>
            <w:bookmarkEnd w:id="1118"/>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19" w:name="xdx_406_eus-gaap--StockIssuedDuringPerio"/>
            <w:bookmarkEnd w:id="111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0" w:name="xdx_98E_eus-gaap--StockIssuedDuringPerio"/>
            <w:bookmarkEnd w:id="1120"/>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1" w:name="xdx_98C_eus-gaap--StockIssuedDuringPerio"/>
            <w:bookmarkEnd w:id="1121"/>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2" w:name="xdx_40B_eus-gaap--AdjustmentsToAdditiona"/>
            <w:bookmarkEnd w:id="1122"/>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Deemed dividend from warrant price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23" w:name="xdx_407_eus-gaap--AdjustmentsToAdditiona"/>
            <w:bookmarkEnd w:id="1123"/>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4" w:name="xdx_40F_eus-gaap--NetIncomeLoss_zzCu3xPD"/>
            <w:bookmarkEnd w:id="1124"/>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125" w:name="xdx_439_c20241001__20250930_eus-gaap--St"/>
            <w:bookmarkEnd w:id="112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6" w:name="xdx_987_eus-gaap--SharesOutstanding_iS_p"/>
            <w:bookmarkEnd w:id="1126"/>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7" w:name="xdx_981_eus-gaap--SharesOutstanding_iS_p"/>
            <w:bookmarkEnd w:id="1127"/>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8" w:name="xdx_981_eus-gaap--SharesOutstanding_iS_p"/>
            <w:bookmarkEnd w:id="1128"/>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29" w:name="xdx_98A_eus-gaap--SharesOutstanding_iS_p"/>
            <w:bookmarkEnd w:id="1129"/>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0" w:name="xdx_989_eus-gaap--SharesOutstanding_iS_p"/>
            <w:bookmarkEnd w:id="1130"/>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1" w:name="xdx_98F_eus-gaap--SharesOutstanding_iS_p"/>
            <w:bookmarkEnd w:id="1131"/>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2" w:name="xdx_43D_c20241001__20250930_eus-gaap--St"/>
            <w:bookmarkEnd w:id="1132"/>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3" w:name="xdx_987_eus-gaap--SharesOutstanding_iS_p"/>
            <w:bookmarkEnd w:id="1133"/>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4" w:name="xdx_989_eus-gaap--SharesOutstanding_iS_p"/>
            <w:bookmarkEnd w:id="1134"/>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5" w:name="xdx_984_eus-gaap--SharesOutstanding_iS_p"/>
            <w:bookmarkEnd w:id="1135"/>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6" w:name="xdx_982_eus-gaap--SharesOutstanding_iS_p"/>
            <w:bookmarkEnd w:id="1136"/>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7" w:name="xdx_98E_eus-gaap--SharesOutstanding_iS_p"/>
            <w:bookmarkEnd w:id="1137"/>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8" w:name="xdx_98A_eus-gaap--SharesOutstanding_iS_p"/>
            <w:bookmarkEnd w:id="1138"/>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39" w:name="xdx_406_ecustom--StockIssuedDuringPeriod"/>
            <w:bookmarkEnd w:id="1139"/>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and warrants in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0" w:name="xdx_980_ecustom--StockIssuedDuringPeriod"/>
            <w:bookmarkEnd w:id="1140"/>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1" w:name="xdx_403_eus-gaap--StockIssuedDuringPerio"/>
            <w:bookmarkEnd w:id="1141"/>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42" w:name="xdx_98E_eus-gaap--StockIssuedDuringPerio"/>
            <w:bookmarkEnd w:id="1142"/>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43" w:name="xdx_406_ecustom--StockIssuedDuringPeriod"/>
            <w:bookmarkEnd w:id="1143"/>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for RaGE earnout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4" w:name="xdx_98C_ecustom--StockIssuedDuringPeriod"/>
            <w:bookmarkEnd w:id="1144"/>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5" w:name="xdx_40F_ecustom--StockIssuedDuringPeriod"/>
            <w:bookmarkEnd w:id="1145"/>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46" w:name="xdx_981_ecustom--StockIssuedDuringPeriod"/>
            <w:bookmarkEnd w:id="1146"/>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47" w:name="xdx_40B_ecustom--IssuanceOfCommonStockUp"/>
            <w:bookmarkEnd w:id="1147"/>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8" w:name="xdx_986_ecustom--IssuanceOfCommonStockUp"/>
            <w:bookmarkEnd w:id="1148"/>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903,852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49" w:name="xdx_407_eus-gaap--StockIssuedDuringPerio"/>
            <w:bookmarkEnd w:id="1149"/>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0" w:name="xdx_98B_eus-gaap--StockIssuedDuringPerio"/>
            <w:bookmarkEnd w:id="1150"/>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1" w:name="xdx_40C_eus-gaap--StockIssuedDuringPerio"/>
            <w:bookmarkEnd w:id="1151"/>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2" w:name="xdx_983_eus-gaap--StockIssuedDuringPerio"/>
            <w:bookmarkEnd w:id="1152"/>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3" w:name="xdx_404_ecustom--StockIssuedDuringPeriod"/>
            <w:bookmarkEnd w:id="1153"/>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pledged as collateral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4" w:name="xdx_98C_ecustom--CommonStockPledgedAsCol"/>
            <w:bookmarkEnd w:id="1154"/>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5" w:name="xdx_406_eus-gaap--StockIssuedDuringPerio"/>
            <w:bookmarkEnd w:id="1155"/>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6" w:name="xdx_988_eus-gaap--StockIssuedDuringPerio"/>
            <w:bookmarkEnd w:id="1156"/>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7" w:name="xdx_985_eus-gaap--StockIssuedDuringPerio"/>
            <w:bookmarkEnd w:id="1157"/>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158" w:name="xdx_407_eus-gaap--AdjustmentsToAdditiona"/>
            <w:bookmarkEnd w:id="1158"/>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159" w:name="xdx_40F_eus-gaap--NetIncomeLoss_zhT4JnwJ"/>
            <w:bookmarkEnd w:id="1159"/>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bookmarkStart w:id="1160" w:name="xdx_435_c20241001__20250930_eus-gaap--St"/>
            <w:bookmarkEnd w:id="1160"/>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1" w:name="xdx_981_eus-gaap--SharesOutstanding_iE_p"/>
            <w:bookmarkEnd w:id="1161"/>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2" w:name="xdx_98C_eus-gaap--SharesOutstanding_iE_p"/>
            <w:bookmarkEnd w:id="1162"/>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3" w:name="xdx_989_eus-gaap--SharesOutstanding_iE_p"/>
            <w:bookmarkEnd w:id="1163"/>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4" w:name="xdx_980_eus-gaap--SharesOutstanding_iE_p"/>
            <w:bookmarkEnd w:id="1164"/>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5" w:name="xdx_98C_eus-gaap--SharesOutstanding_iE_p"/>
            <w:bookmarkEnd w:id="1165"/>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bookmarkStart w:id="1166" w:name="xdx_434_c20241001__20250930_eus-gaap--St"/>
            <w:bookmarkEnd w:id="1166"/>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7" w:name="xdx_98B_eus-gaap--SharesOutstanding_iE_p"/>
            <w:bookmarkEnd w:id="1167"/>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8" w:name="xdx_987_eus-gaap--SharesOutstanding_iE_p"/>
            <w:bookmarkEnd w:id="1168"/>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69" w:name="xdx_98D_eus-gaap--SharesOutstanding_iE_p"/>
            <w:bookmarkEnd w:id="1169"/>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70" w:name="xdx_98F_eus-gaap--SharesOutstanding_iE_p"/>
            <w:bookmarkEnd w:id="117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71" w:name="xdx_985_eus-gaap--SharesOutstanding_iE_p"/>
            <w:bookmarkEnd w:id="1171"/>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1172" w:name="xdx_98B_eus-gaap--SharesOutstanding_iE_p"/>
            <w:bookmarkEnd w:id="1172"/>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73" w:name="sd_005"/>
      <w:bookmarkEnd w:id="1173"/>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174" w:name="xdx_306_112_pn3n3_zpMh9wi353Db"/>
      <w:bookmarkStart w:id="1175" w:name="xdx_306_112_pn3n3_zpMh9wi353Db"/>
      <w:bookmarkEnd w:id="1175"/>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6" w:name="xdx_498_20241001__20250930_zYJzBJzirEb3"/>
            <w:bookmarkEnd w:id="1176"/>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7" w:name="xdx_490_20231001__20240930_zQtPjFk4a0mi"/>
            <w:bookmarkEnd w:id="117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110" w:type="dxa"/>
            <w:tcBorders/>
            <w:vAlign w:val="center"/>
          </w:tcPr>
          <w:p>
            <w:pPr>
              <w:pStyle w:val="TableContents"/>
              <w:bidi w:val="0"/>
              <w:spacing w:before="0" w:after="283"/>
              <w:jc w:val="center"/>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178" w:name="xdx_40F_eus-gaap--NetCashProvidedByUsedI"/>
            <w:bookmarkEnd w:id="1178"/>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79" w:name="xdx_401_eus-gaap--NetIncomeLoss_i01_za3t"/>
            <w:bookmarkEnd w:id="1179"/>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(46,131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w:t>
            </w:r>
            <w:bookmarkStart w:id="1180" w:name="xdx_40E_eus-gaap--AdjustmentsNoncashItem"/>
            <w:bookmarkEnd w:id="1180"/>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1" w:name="xdx_408_eus-gaap--Depreciation_i02_zGRBW"/>
            <w:bookmarkEnd w:id="1181"/>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bookmarkStart w:id="1182" w:name="xdx_408_eus-gaap--AmortizationOfIntangib"/>
            <w:bookmarkEnd w:id="1182"/>
          </w:p>
        </w:tc>
      </w:tr>
      <w:tr>
        <w:trPr/>
        <w:tc>
          <w:tcPr>
            <w:tcW w:w="80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1,543</w:t>
            </w:r>
          </w:p>
        </w:tc>
        <w:tc>
          <w:tcPr>
            <w:tcW w:w="110" w:type="dxa"/>
            <w:tcBorders/>
            <w:shd w:fill="CCEEFF" w:val="clear"/>
            <w:vAlign w:val="center"/>
          </w:tcPr>
          <w:p>
            <w:pPr>
              <w:pStyle w:val="TableContents"/>
              <w:bidi w:val="0"/>
              <w:spacing w:before="0" w:after="283"/>
              <w:jc w:val="left"/>
              <w:rPr/>
            </w:pPr>
            <w:r>
              <w:rPr/>
              <w:t> </w:t>
            </w:r>
            <w:bookmarkStart w:id="1183" w:name="xdx_40F_eus-gaap--ImpairmentOfLongLivedA"/>
            <w:bookmarkEnd w:id="1183"/>
          </w:p>
        </w:tc>
      </w:tr>
      <w:tr>
        <w:trPr/>
        <w:tc>
          <w:tcPr>
            <w:tcW w:w="809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bookmarkStart w:id="1184" w:name="xdx_40C_eus-gaap--IssuanceOfStockAndWarr"/>
            <w:bookmarkEnd w:id="1184"/>
          </w:p>
        </w:tc>
      </w:tr>
      <w:tr>
        <w:trPr/>
        <w:tc>
          <w:tcPr>
            <w:tcW w:w="8090" w:type="dxa"/>
            <w:tcBorders/>
            <w:shd w:fill="CCEE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110" w:type="dxa"/>
            <w:tcBorders/>
            <w:shd w:fill="CCEEFF" w:val="clear"/>
            <w:vAlign w:val="center"/>
          </w:tcPr>
          <w:p>
            <w:pPr>
              <w:pStyle w:val="TableContents"/>
              <w:bidi w:val="0"/>
              <w:spacing w:before="0" w:after="283"/>
              <w:jc w:val="left"/>
              <w:rPr/>
            </w:pPr>
            <w:r>
              <w:rPr/>
              <w:t> </w:t>
            </w:r>
            <w:bookmarkStart w:id="1185" w:name="xdx_40D_ecustom--ChangeInFairValueOfEarn"/>
            <w:bookmarkEnd w:id="1185"/>
          </w:p>
        </w:tc>
      </w:tr>
      <w:tr>
        <w:trPr/>
        <w:tc>
          <w:tcPr>
            <w:tcW w:w="809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(31,879</w:t>
            </w:r>
          </w:p>
        </w:tc>
        <w:tc>
          <w:tcPr>
            <w:tcW w:w="110" w:type="dxa"/>
            <w:tcBorders/>
            <w:shd w:fill="FFFFFF" w:val="clear"/>
            <w:vAlign w:val="center"/>
          </w:tcPr>
          <w:p>
            <w:pPr>
              <w:pStyle w:val="TableContents"/>
              <w:bidi w:val="0"/>
              <w:spacing w:before="0" w:after="283"/>
              <w:jc w:val="left"/>
              <w:rPr/>
            </w:pPr>
            <w:r>
              <w:rPr/>
              <w:t>)</w:t>
            </w:r>
            <w:bookmarkStart w:id="1186" w:name="xdx_406_eus-gaap--FairValueAdjustmentOfW"/>
            <w:bookmarkEnd w:id="1186"/>
          </w:p>
        </w:tc>
      </w:tr>
      <w:tr>
        <w:trPr/>
        <w:tc>
          <w:tcPr>
            <w:tcW w:w="809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(1,415</w:t>
            </w:r>
          </w:p>
        </w:tc>
        <w:tc>
          <w:tcPr>
            <w:tcW w:w="110" w:type="dxa"/>
            <w:tcBorders/>
            <w:shd w:fill="CCEEFF" w:val="clear"/>
            <w:vAlign w:val="center"/>
          </w:tcPr>
          <w:p>
            <w:pPr>
              <w:pStyle w:val="TableContents"/>
              <w:bidi w:val="0"/>
              <w:spacing w:before="0" w:after="283"/>
              <w:jc w:val="left"/>
              <w:rPr/>
            </w:pPr>
            <w:r>
              <w:rPr/>
              <w:t>)</w:t>
            </w:r>
            <w:bookmarkStart w:id="1187" w:name="xdx_401_ecustom--ChangeInFairValueOfPIPE"/>
            <w:bookmarkEnd w:id="1187"/>
          </w:p>
        </w:tc>
      </w:tr>
      <w:tr>
        <w:trPr/>
        <w:tc>
          <w:tcPr>
            <w:tcW w:w="809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110" w:type="dxa"/>
            <w:tcBorders/>
            <w:shd w:fill="FFFFFF" w:val="clear"/>
            <w:vAlign w:val="center"/>
          </w:tcPr>
          <w:p>
            <w:pPr>
              <w:pStyle w:val="TableContents"/>
              <w:bidi w:val="0"/>
              <w:spacing w:before="0" w:after="283"/>
              <w:jc w:val="left"/>
              <w:rPr/>
            </w:pPr>
            <w:r>
              <w:rPr/>
              <w:t>)</w:t>
            </w:r>
            <w:bookmarkStart w:id="1188" w:name="xdx_407_eus-gaap--NoncashMergerRelatedCo"/>
            <w:bookmarkEnd w:id="1188"/>
          </w:p>
        </w:tc>
      </w:tr>
      <w:tr>
        <w:trPr/>
        <w:tc>
          <w:tcPr>
            <w:tcW w:w="809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4,009</w:t>
            </w:r>
          </w:p>
        </w:tc>
        <w:tc>
          <w:tcPr>
            <w:tcW w:w="110" w:type="dxa"/>
            <w:tcBorders/>
            <w:shd w:fill="CCEEFF" w:val="clear"/>
            <w:vAlign w:val="center"/>
          </w:tcPr>
          <w:p>
            <w:pPr>
              <w:pStyle w:val="TableContents"/>
              <w:bidi w:val="0"/>
              <w:spacing w:before="0" w:after="283"/>
              <w:jc w:val="left"/>
              <w:rPr/>
            </w:pPr>
            <w:r>
              <w:rPr/>
              <w:t> </w:t>
            </w:r>
            <w:bookmarkStart w:id="1189" w:name="xdx_409_ecustom--PrivatePlacementCosts_i"/>
            <w:bookmarkEnd w:id="1189"/>
          </w:p>
        </w:tc>
      </w:tr>
      <w:tr>
        <w:trPr/>
        <w:tc>
          <w:tcPr>
            <w:tcW w:w="809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 </w:t>
            </w:r>
            <w:bookmarkStart w:id="1190" w:name="xdx_409_eus-gaap--ShareBasedCompensation"/>
            <w:bookmarkEnd w:id="1190"/>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21,383</w:t>
            </w:r>
          </w:p>
        </w:tc>
        <w:tc>
          <w:tcPr>
            <w:tcW w:w="110" w:type="dxa"/>
            <w:tcBorders/>
            <w:shd w:fill="CCEEFF" w:val="clear"/>
            <w:vAlign w:val="center"/>
          </w:tcPr>
          <w:p>
            <w:pPr>
              <w:pStyle w:val="TableContents"/>
              <w:bidi w:val="0"/>
              <w:spacing w:before="0" w:after="283"/>
              <w:jc w:val="left"/>
              <w:rPr/>
            </w:pPr>
            <w:r>
              <w:rPr/>
              <w:t> </w:t>
            </w:r>
            <w:bookmarkStart w:id="1191" w:name="xdx_401_eus-gaap--DeferredIncomeTaxExpen"/>
            <w:bookmarkEnd w:id="1191"/>
          </w:p>
        </w:tc>
      </w:tr>
      <w:tr>
        <w:trPr/>
        <w:tc>
          <w:tcPr>
            <w:tcW w:w="809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w:t>
            </w:r>
          </w:p>
        </w:tc>
        <w:tc>
          <w:tcPr>
            <w:tcW w:w="110" w:type="dxa"/>
            <w:tcBorders/>
            <w:shd w:fill="FFFFFF" w:val="clear"/>
            <w:vAlign w:val="center"/>
          </w:tcPr>
          <w:p>
            <w:pPr>
              <w:pStyle w:val="TableContents"/>
              <w:bidi w:val="0"/>
              <w:spacing w:before="0" w:after="283"/>
              <w:jc w:val="left"/>
              <w:rPr/>
            </w:pPr>
            <w:r>
              <w:rPr/>
              <w:t>)</w:t>
            </w:r>
            <w:bookmarkStart w:id="1192" w:name="xdx_402_eus-gaap--OtherNoncashIncomeExpe"/>
            <w:bookmarkEnd w:id="1192"/>
          </w:p>
        </w:tc>
      </w:tr>
      <w:tr>
        <w:trPr/>
        <w:tc>
          <w:tcPr>
            <w:tcW w:w="809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10" w:type="dxa"/>
            <w:tcBorders/>
            <w:shd w:fill="CCEEFF" w:val="clear"/>
            <w:vAlign w:val="center"/>
          </w:tcPr>
          <w:p>
            <w:pPr>
              <w:pStyle w:val="TableContents"/>
              <w:bidi w:val="0"/>
              <w:spacing w:before="0" w:after="283"/>
              <w:jc w:val="left"/>
              <w:rPr/>
            </w:pPr>
            <w:r>
              <w:rPr/>
              <w:t> </w:t>
            </w:r>
            <w:bookmarkStart w:id="1193" w:name="xdx_40D_eus-gaap--IncreaseDecreaseInOper"/>
            <w:bookmarkEnd w:id="1193"/>
          </w:p>
        </w:tc>
      </w:tr>
      <w:tr>
        <w:trPr/>
        <w:tc>
          <w:tcPr>
            <w:tcW w:w="8090" w:type="dxa"/>
            <w:tcBorders/>
            <w:shd w:fill="FFFFFF" w:val="clear"/>
            <w:vAlign w:val="center"/>
          </w:tcPr>
          <w:p>
            <w:pPr>
              <w:pStyle w:val="TableContents"/>
              <w:bidi w:val="0"/>
              <w:spacing w:before="0" w:after="283"/>
              <w:jc w:val="left"/>
              <w:rPr/>
            </w:pPr>
            <w:r>
              <w:rPr/>
              <w:t>Changes in operating assets and liabilities, net of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4" w:name="xdx_40B_eus-gaap--IncreaseDecreaseInOper"/>
            <w:bookmarkEnd w:id="1194"/>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95" w:name="xdx_407_eus-gaap--IncreaseDecreaseInAcco"/>
            <w:bookmarkEnd w:id="1195"/>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(1,817</w:t>
            </w:r>
          </w:p>
        </w:tc>
        <w:tc>
          <w:tcPr>
            <w:tcW w:w="110" w:type="dxa"/>
            <w:tcBorders/>
            <w:shd w:fill="CCEEFF" w:val="clear"/>
            <w:vAlign w:val="center"/>
          </w:tcPr>
          <w:p>
            <w:pPr>
              <w:pStyle w:val="TableContents"/>
              <w:bidi w:val="0"/>
              <w:spacing w:before="0" w:after="283"/>
              <w:jc w:val="left"/>
              <w:rPr/>
            </w:pPr>
            <w:r>
              <w:rPr/>
              <w:t>)</w:t>
            </w:r>
            <w:bookmarkStart w:id="1196" w:name="xdx_406_eus-gaap--IncreaseDecreaseInInve"/>
            <w:bookmarkEnd w:id="1196"/>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bookmarkStart w:id="1197" w:name="xdx_400_eus-gaap--IncreaseDecreaseInPrep"/>
            <w:bookmarkEnd w:id="1197"/>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1198" w:name="xdx_405_eus-gaap--IncreaseDecreaseInAcco"/>
            <w:bookmarkEnd w:id="1198"/>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w:t>
            </w:r>
          </w:p>
        </w:tc>
        <w:tc>
          <w:tcPr>
            <w:tcW w:w="110" w:type="dxa"/>
            <w:tcBorders/>
            <w:shd w:fill="FFFFFF" w:val="clear"/>
            <w:vAlign w:val="center"/>
          </w:tcPr>
          <w:p>
            <w:pPr>
              <w:pStyle w:val="TableContents"/>
              <w:bidi w:val="0"/>
              <w:spacing w:before="0" w:after="283"/>
              <w:jc w:val="left"/>
              <w:rPr/>
            </w:pPr>
            <w:r>
              <w:rPr/>
              <w:t> </w:t>
            </w:r>
            <w:bookmarkStart w:id="1199" w:name="xdx_40D_eus-gaap--IncreaseDecreaseInAccr"/>
            <w:bookmarkEnd w:id="1199"/>
          </w:p>
        </w:tc>
      </w:tr>
      <w:tr>
        <w:trPr/>
        <w:tc>
          <w:tcPr>
            <w:tcW w:w="80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2,852</w:t>
            </w:r>
          </w:p>
        </w:tc>
        <w:tc>
          <w:tcPr>
            <w:tcW w:w="110" w:type="dxa"/>
            <w:tcBorders/>
            <w:shd w:fill="CCEEFF" w:val="clear"/>
            <w:vAlign w:val="center"/>
          </w:tcPr>
          <w:p>
            <w:pPr>
              <w:pStyle w:val="TableContents"/>
              <w:bidi w:val="0"/>
              <w:spacing w:before="0" w:after="283"/>
              <w:jc w:val="left"/>
              <w:rPr/>
            </w:pPr>
            <w:r>
              <w:rPr/>
              <w:t> </w:t>
            </w:r>
            <w:bookmarkStart w:id="1200" w:name="xdx_408_eus-gaap--NetCashProvidedByUsedI"/>
            <w:bookmarkEnd w:id="1200"/>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1" w:name="xdx_40C_eus-gaap--NetCashProvidedByUsedI"/>
            <w:bookmarkEnd w:id="1201"/>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2" w:name="xdx_40A_eus-gaap--ProceedsFromSaleOfProd"/>
            <w:bookmarkEnd w:id="1202"/>
          </w:p>
        </w:tc>
      </w:tr>
      <w:tr>
        <w:trPr/>
        <w:tc>
          <w:tcPr>
            <w:tcW w:w="809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03" w:name="xdx_404_eus-gaap--PaymentsToAcquirePrope"/>
            <w:bookmarkEnd w:id="1203"/>
          </w:p>
        </w:tc>
      </w:tr>
      <w:tr>
        <w:trPr/>
        <w:tc>
          <w:tcPr>
            <w:tcW w:w="809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bookmarkStart w:id="1204" w:name="xdx_40F_eus-gaap--PaymentsToAcquireBusin"/>
            <w:bookmarkEnd w:id="1204"/>
          </w:p>
        </w:tc>
      </w:tr>
      <w:tr>
        <w:trPr/>
        <w:tc>
          <w:tcPr>
            <w:tcW w:w="8090"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(1,064</w:t>
            </w:r>
          </w:p>
        </w:tc>
        <w:tc>
          <w:tcPr>
            <w:tcW w:w="110" w:type="dxa"/>
            <w:tcBorders/>
            <w:shd w:fill="CCEEFF" w:val="clear"/>
            <w:vAlign w:val="center"/>
          </w:tcPr>
          <w:p>
            <w:pPr>
              <w:pStyle w:val="TableContents"/>
              <w:bidi w:val="0"/>
              <w:spacing w:before="0" w:after="283"/>
              <w:jc w:val="left"/>
              <w:rPr/>
            </w:pPr>
            <w:r>
              <w:rPr/>
              <w:t>)</w:t>
            </w:r>
            <w:bookmarkStart w:id="1205" w:name="xdx_40E_eus-gaap--NetCashProvidedByUsedI"/>
            <w:bookmarkEnd w:id="1205"/>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06" w:name="xdx_408_eus-gaap--NetCashProvidedByUsedI"/>
            <w:bookmarkEnd w:id="1206"/>
          </w:p>
        </w:tc>
      </w:tr>
      <w:tr>
        <w:trPr/>
        <w:tc>
          <w:tcPr>
            <w:tcW w:w="80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7" w:name="xdx_404_eus-gaap--ProceedsFromIssuanceOf"/>
            <w:bookmarkEnd w:id="1207"/>
          </w:p>
        </w:tc>
      </w:tr>
      <w:tr>
        <w:trPr/>
        <w:tc>
          <w:tcPr>
            <w:tcW w:w="8090" w:type="dxa"/>
            <w:tcBorders/>
            <w:shd w:fill="CCEEFF" w:val="clear"/>
            <w:vAlign w:val="center"/>
          </w:tcPr>
          <w:p>
            <w:pPr>
              <w:pStyle w:val="TableContents"/>
              <w:bidi w:val="0"/>
              <w:spacing w:before="0" w:after="283"/>
              <w:jc w:val="left"/>
              <w:rPr/>
            </w:pPr>
            <w:r>
              <w:rPr/>
              <w:t>Proceeds from sale of common stock and warrants in private placements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3,585</w:t>
            </w:r>
          </w:p>
        </w:tc>
        <w:tc>
          <w:tcPr>
            <w:tcW w:w="110" w:type="dxa"/>
            <w:tcBorders/>
            <w:shd w:fill="CCEEFF" w:val="clear"/>
            <w:vAlign w:val="center"/>
          </w:tcPr>
          <w:p>
            <w:pPr>
              <w:pStyle w:val="TableContents"/>
              <w:bidi w:val="0"/>
              <w:spacing w:before="0" w:after="283"/>
              <w:jc w:val="left"/>
              <w:rPr/>
            </w:pPr>
            <w:r>
              <w:rPr/>
              <w:t> </w:t>
            </w:r>
            <w:bookmarkStart w:id="1208" w:name="xdx_40E_eus-gaap--ProceedsFromIssuanceOf"/>
            <w:bookmarkEnd w:id="1208"/>
          </w:p>
        </w:tc>
      </w:tr>
      <w:tr>
        <w:trPr/>
        <w:tc>
          <w:tcPr>
            <w:tcW w:w="809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bookmarkStart w:id="1209" w:name="xdx_40E_eus-gaap--ProceedsFromWarrantExe"/>
            <w:bookmarkEnd w:id="1209"/>
          </w:p>
        </w:tc>
      </w:tr>
      <w:tr>
        <w:trPr/>
        <w:tc>
          <w:tcPr>
            <w:tcW w:w="8090" w:type="dxa"/>
            <w:tcBorders/>
            <w:shd w:fill="CCEEFF" w:val="clear"/>
            <w:vAlign w:val="center"/>
          </w:tcPr>
          <w:p>
            <w:pPr>
              <w:pStyle w:val="TableContents"/>
              <w:bidi w:val="0"/>
              <w:spacing w:before="0" w:after="283"/>
              <w:jc w:val="left"/>
              <w:rPr/>
            </w:pPr>
            <w:r>
              <w:rPr/>
              <w:t>Proceeds from exercise of common stock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210" w:name="xdx_407_eus-gaap--ProceedsFromWarrantExe"/>
            <w:bookmarkEnd w:id="1210"/>
          </w:p>
        </w:tc>
      </w:tr>
      <w:tr>
        <w:trPr/>
        <w:tc>
          <w:tcPr>
            <w:tcW w:w="809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bookmarkStart w:id="1211" w:name="xdx_40D_eus-gaap--ProceedsFromStockOptio"/>
            <w:bookmarkEnd w:id="1211"/>
          </w:p>
        </w:tc>
      </w:tr>
      <w:tr>
        <w:trPr/>
        <w:tc>
          <w:tcPr>
            <w:tcW w:w="809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110" w:type="dxa"/>
            <w:tcBorders/>
            <w:shd w:fill="FFFFFF" w:val="clear"/>
            <w:vAlign w:val="center"/>
          </w:tcPr>
          <w:p>
            <w:pPr>
              <w:pStyle w:val="TableContents"/>
              <w:bidi w:val="0"/>
              <w:spacing w:before="0" w:after="283"/>
              <w:jc w:val="left"/>
              <w:rPr/>
            </w:pPr>
            <w:r>
              <w:rPr/>
              <w:t> </w:t>
            </w:r>
            <w:bookmarkStart w:id="1212" w:name="xdx_40B_eus-gaap--ProceedsFromNotesPayab"/>
            <w:bookmarkEnd w:id="1212"/>
          </w:p>
        </w:tc>
      </w:tr>
      <w:tr>
        <w:trPr/>
        <w:tc>
          <w:tcPr>
            <w:tcW w:w="809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 </w:t>
            </w:r>
            <w:bookmarkStart w:id="1213" w:name="xdx_403_eus-gaap--ProceedsFromNotesPayab"/>
            <w:bookmarkEnd w:id="1213"/>
          </w:p>
        </w:tc>
      </w:tr>
      <w:tr>
        <w:trPr/>
        <w:tc>
          <w:tcPr>
            <w:tcW w:w="8090"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bookmarkStart w:id="1214" w:name="xdx_403_eus-gaap--ProceedsFromNotesPayab"/>
            <w:bookmarkEnd w:id="1214"/>
          </w:p>
        </w:tc>
      </w:tr>
      <w:tr>
        <w:trPr/>
        <w:tc>
          <w:tcPr>
            <w:tcW w:w="8090" w:type="dxa"/>
            <w:tcBorders/>
            <w:shd w:fill="FFFFFF" w:val="clear"/>
            <w:vAlign w:val="center"/>
          </w:tcPr>
          <w:p>
            <w:pPr>
              <w:pStyle w:val="TableContents"/>
              <w:bidi w:val="0"/>
              <w:spacing w:before="0" w:after="283"/>
              <w:jc w:val="left"/>
              <w:rPr/>
            </w:pPr>
            <w:r>
              <w:rPr/>
              <w:t xml:space="preserve">Proceeds from issuance of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bookmarkStart w:id="1215" w:name="xdx_409_eus-gaap--RepaymentsOfNotesPayab"/>
            <w:bookmarkEnd w:id="1215"/>
          </w:p>
        </w:tc>
      </w:tr>
      <w:tr>
        <w:trPr/>
        <w:tc>
          <w:tcPr>
            <w:tcW w:w="809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(1,749</w:t>
            </w:r>
          </w:p>
        </w:tc>
        <w:tc>
          <w:tcPr>
            <w:tcW w:w="110" w:type="dxa"/>
            <w:tcBorders/>
            <w:shd w:fill="CCEEFF" w:val="clear"/>
            <w:vAlign w:val="center"/>
          </w:tcPr>
          <w:p>
            <w:pPr>
              <w:pStyle w:val="TableContents"/>
              <w:bidi w:val="0"/>
              <w:spacing w:before="0" w:after="283"/>
              <w:jc w:val="left"/>
              <w:rPr/>
            </w:pPr>
            <w:r>
              <w:rPr/>
              <w:t>)</w:t>
            </w:r>
            <w:bookmarkStart w:id="1216" w:name="xdx_40F_eus-gaap--RepaymentsOfRelatedPar"/>
            <w:bookmarkEnd w:id="1216"/>
          </w:p>
        </w:tc>
      </w:tr>
      <w:tr>
        <w:trPr/>
        <w:tc>
          <w:tcPr>
            <w:tcW w:w="809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w:t>
            </w:r>
            <w:bookmarkStart w:id="1217" w:name="xdx_405_ecustom--DeferredConsiderationPa"/>
            <w:bookmarkEnd w:id="1217"/>
          </w:p>
        </w:tc>
      </w:tr>
      <w:tr>
        <w:trPr/>
        <w:tc>
          <w:tcPr>
            <w:tcW w:w="8090" w:type="dxa"/>
            <w:tcBorders/>
            <w:shd w:fill="CCEEFF" w:val="clear"/>
            <w:vAlign w:val="center"/>
          </w:tcPr>
          <w:p>
            <w:pPr>
              <w:pStyle w:val="TableContents"/>
              <w:bidi w:val="0"/>
              <w:spacing w:before="0" w:after="283"/>
              <w:jc w:val="left"/>
              <w:rPr/>
            </w:pPr>
            <w:r>
              <w:rPr/>
              <w:t>Deferred consideration paid for acquisitions of businesses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1218" w:name="xdx_403_ecustom--DeferredConsiderationPa"/>
            <w:bookmarkEnd w:id="1218"/>
          </w:p>
        </w:tc>
      </w:tr>
      <w:tr>
        <w:trPr/>
        <w:tc>
          <w:tcPr>
            <w:tcW w:w="8090"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bookmarkStart w:id="1219" w:name="xdx_403_ecustom--ProceedsFromTheMergerAn"/>
            <w:bookmarkEnd w:id="1219"/>
          </w:p>
        </w:tc>
      </w:tr>
      <w:tr>
        <w:trPr/>
        <w:tc>
          <w:tcPr>
            <w:tcW w:w="8090"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21,014</w:t>
            </w:r>
          </w:p>
        </w:tc>
        <w:tc>
          <w:tcPr>
            <w:tcW w:w="110" w:type="dxa"/>
            <w:tcBorders/>
            <w:shd w:fill="FFFFFF" w:val="clear"/>
            <w:vAlign w:val="center"/>
          </w:tcPr>
          <w:p>
            <w:pPr>
              <w:pStyle w:val="TableContents"/>
              <w:bidi w:val="0"/>
              <w:spacing w:before="0" w:after="283"/>
              <w:jc w:val="left"/>
              <w:rPr/>
            </w:pPr>
            <w:r>
              <w:rPr/>
              <w:t> </w:t>
            </w:r>
            <w:bookmarkStart w:id="1220" w:name="xdx_406_eus-gaap--PaymentsOfStockIssuanc"/>
            <w:bookmarkEnd w:id="1220"/>
          </w:p>
        </w:tc>
      </w:tr>
      <w:tr>
        <w:trPr/>
        <w:tc>
          <w:tcPr>
            <w:tcW w:w="809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(6,946</w:t>
            </w:r>
          </w:p>
        </w:tc>
        <w:tc>
          <w:tcPr>
            <w:tcW w:w="110" w:type="dxa"/>
            <w:tcBorders/>
            <w:shd w:fill="CCEEFF" w:val="clear"/>
            <w:vAlign w:val="center"/>
          </w:tcPr>
          <w:p>
            <w:pPr>
              <w:pStyle w:val="TableContents"/>
              <w:bidi w:val="0"/>
              <w:spacing w:before="0" w:after="283"/>
              <w:jc w:val="left"/>
              <w:rPr/>
            </w:pPr>
            <w:r>
              <w:rPr/>
              <w:t>)</w:t>
            </w:r>
            <w:bookmarkStart w:id="1221" w:name="xdx_406_eus-gaap--NetCashProvidedByUsedI"/>
            <w:bookmarkEnd w:id="1221"/>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19,673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2" w:name="xdx_409_eus-gaap--CashCashEquivalentsRes"/>
            <w:bookmarkEnd w:id="1222"/>
          </w:p>
        </w:tc>
      </w:tr>
      <w:tr>
        <w:trPr/>
        <w:tc>
          <w:tcPr>
            <w:tcW w:w="80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bookmarkStart w:id="1223" w:name="xdx_407_eus-gaap--CashCashEquivalentsRes"/>
            <w:bookmarkEnd w:id="1223"/>
          </w:p>
        </w:tc>
      </w:tr>
      <w:tr>
        <w:trPr/>
        <w:tc>
          <w:tcPr>
            <w:tcW w:w="809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bookmarkStart w:id="1224" w:name="xdx_40F_eus-gaap--CashCashEquivalentsRes"/>
            <w:bookmarkEnd w:id="1224"/>
          </w:p>
        </w:tc>
      </w:tr>
      <w:tr>
        <w:trPr/>
        <w:tc>
          <w:tcPr>
            <w:tcW w:w="80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bookmarkStart w:id="1225" w:name="xdx_40D_eus-gaap--CashCashEquivalentsRes"/>
            <w:bookmarkEnd w:id="1225"/>
          </w:p>
        </w:tc>
      </w:tr>
      <w:tr>
        <w:trPr/>
        <w:tc>
          <w:tcPr>
            <w:tcW w:w="80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6" w:name="xdx_403_eus-gaap--SupplementalCashFlowIn"/>
            <w:bookmarkEnd w:id="1226"/>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7" w:name="xdx_402_eus-gaap--InterestPaidNet_i01_zZ"/>
            <w:bookmarkEnd w:id="1227"/>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521</w:t>
            </w:r>
          </w:p>
        </w:tc>
        <w:tc>
          <w:tcPr>
            <w:tcW w:w="110" w:type="dxa"/>
            <w:tcBorders/>
            <w:shd w:fill="CCEEFF" w:val="clear"/>
            <w:vAlign w:val="center"/>
          </w:tcPr>
          <w:p>
            <w:pPr>
              <w:pStyle w:val="TableContents"/>
              <w:bidi w:val="0"/>
              <w:spacing w:before="0" w:after="283"/>
              <w:jc w:val="left"/>
              <w:rPr/>
            </w:pPr>
            <w:r>
              <w:rPr/>
              <w:t> </w:t>
            </w:r>
            <w:bookmarkStart w:id="1228" w:name="xdx_404_eus-gaap--IncomeTaxesPaid_i01_zr"/>
            <w:bookmarkEnd w:id="1228"/>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9" w:name="xdx_405_eus-gaap--CashFlowNoncashInvesti"/>
            <w:bookmarkEnd w:id="1229"/>
          </w:p>
        </w:tc>
      </w:tr>
      <w:tr>
        <w:trPr/>
        <w:tc>
          <w:tcPr>
            <w:tcW w:w="809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0" w:name="xdx_402_ecustom--SettlementOfNotesPayabl"/>
            <w:bookmarkEnd w:id="1230"/>
          </w:p>
        </w:tc>
      </w:tr>
      <w:tr>
        <w:trPr/>
        <w:tc>
          <w:tcPr>
            <w:tcW w:w="8090" w:type="dxa"/>
            <w:tcBorders/>
            <w:shd w:fill="CCEEFF" w:val="clear"/>
            <w:vAlign w:val="center"/>
          </w:tcPr>
          <w:p>
            <w:pPr>
              <w:pStyle w:val="TableContents"/>
              <w:bidi w:val="0"/>
              <w:spacing w:before="0" w:after="283"/>
              <w:jc w:val="left"/>
              <w:rPr/>
            </w:pPr>
            <w:r>
              <w:rPr/>
              <w:t>Settlement of notes payable and other liabilities in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1" w:name="xdx_409_ecustom--SettlementOfNotesPayabl"/>
            <w:bookmarkEnd w:id="1231"/>
          </w:p>
        </w:tc>
      </w:tr>
      <w:tr>
        <w:trPr/>
        <w:tc>
          <w:tcPr>
            <w:tcW w:w="8090"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232" w:name="xdx_40B_ecustom--ClassCommonStockIssuedF"/>
            <w:bookmarkEnd w:id="1232"/>
          </w:p>
        </w:tc>
      </w:tr>
      <w:tr>
        <w:trPr/>
        <w:tc>
          <w:tcPr>
            <w:tcW w:w="8090" w:type="dxa"/>
            <w:tcBorders/>
            <w:shd w:fill="FFFFFF" w:val="clear"/>
            <w:vAlign w:val="center"/>
          </w:tcPr>
          <w:p>
            <w:pPr>
              <w:pStyle w:val="TableContents"/>
              <w:bidi w:val="0"/>
              <w:spacing w:before="0" w:after="283"/>
              <w:jc w:val="left"/>
              <w:rPr/>
            </w:pPr>
            <w:r>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33" w:name="xdx_403_ecustom--UnpaidMergerrelatedTran"/>
            <w:bookmarkEnd w:id="1233"/>
          </w:p>
        </w:tc>
      </w:tr>
      <w:tr>
        <w:trPr/>
        <w:tc>
          <w:tcPr>
            <w:tcW w:w="8090" w:type="dxa"/>
            <w:tcBorders/>
            <w:shd w:fill="CCEEFF" w:val="clear"/>
            <w:vAlign w:val="center"/>
          </w:tcPr>
          <w:p>
            <w:pPr>
              <w:pStyle w:val="TableContents"/>
              <w:bidi w:val="0"/>
              <w:spacing w:before="0" w:after="283"/>
              <w:jc w:val="left"/>
              <w:rPr/>
            </w:pPr>
            <w:r>
              <w:rPr/>
              <w:t>Unpaid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bookmarkStart w:id="1234" w:name="xdx_40C_ecustom--ContingentlyRedeemableC"/>
            <w:bookmarkEnd w:id="1234"/>
          </w:p>
        </w:tc>
      </w:tr>
      <w:tr>
        <w:trPr/>
        <w:tc>
          <w:tcPr>
            <w:tcW w:w="8090" w:type="dxa"/>
            <w:tcBorders/>
            <w:shd w:fill="FFFFFF" w:val="clear"/>
            <w:vAlign w:val="center"/>
          </w:tcPr>
          <w:p>
            <w:pPr>
              <w:pStyle w:val="TableContents"/>
              <w:bidi w:val="0"/>
              <w:spacing w:before="0" w:after="283"/>
              <w:jc w:val="left"/>
              <w:rPr/>
            </w:pPr>
            <w:r>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jc w:val="left"/>
              <w:rPr/>
            </w:pPr>
            <w:r>
              <w:rPr/>
              <w:t> </w:t>
            </w:r>
            <w:bookmarkStart w:id="1235" w:name="xdx_40A_eus-gaap--StockIssued1_i01_zl5Z6"/>
            <w:bookmarkEnd w:id="1235"/>
          </w:p>
        </w:tc>
      </w:tr>
      <w:tr>
        <w:trPr/>
        <w:tc>
          <w:tcPr>
            <w:tcW w:w="8090" w:type="dxa"/>
            <w:tcBorders/>
            <w:shd w:fill="CCEEFF" w:val="clear"/>
            <w:vAlign w:val="center"/>
          </w:tcPr>
          <w:p>
            <w:pPr>
              <w:pStyle w:val="TableContents"/>
              <w:bidi w:val="0"/>
              <w:spacing w:before="0" w:after="283"/>
              <w:jc w:val="left"/>
              <w:rPr/>
            </w:pPr>
            <w:r>
              <w:rPr/>
              <w:t>Class A Common Stock issued for acquisition of RaGE Systems,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bookmarkStart w:id="1236" w:name="xdx_409_eus-gaap--NoncashOrPartNoncashAc"/>
            <w:bookmarkEnd w:id="1236"/>
          </w:p>
        </w:tc>
      </w:tr>
      <w:tr>
        <w:trPr/>
        <w:tc>
          <w:tcPr>
            <w:tcW w:w="8090" w:type="dxa"/>
            <w:tcBorders/>
            <w:shd w:fill="FFFFFF" w:val="clear"/>
            <w:vAlign w:val="center"/>
          </w:tcPr>
          <w:p>
            <w:pPr>
              <w:pStyle w:val="TableContents"/>
              <w:bidi w:val="0"/>
              <w:spacing w:before="0" w:after="283"/>
              <w:jc w:val="left"/>
              <w:rPr/>
            </w:pPr>
            <w:r>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3,522</w:t>
            </w:r>
          </w:p>
        </w:tc>
        <w:tc>
          <w:tcPr>
            <w:tcW w:w="110" w:type="dxa"/>
            <w:tcBorders/>
            <w:shd w:fill="FFFFFF" w:val="clear"/>
            <w:vAlign w:val="center"/>
          </w:tcPr>
          <w:p>
            <w:pPr>
              <w:pStyle w:val="TableContents"/>
              <w:bidi w:val="0"/>
              <w:spacing w:before="0" w:after="283"/>
              <w:jc w:val="left"/>
              <w:rPr/>
            </w:pPr>
            <w:r>
              <w:rPr/>
              <w:t> </w:t>
            </w:r>
            <w:bookmarkStart w:id="1237" w:name="xdx_402_ecustom--ConversionOfSafesToComm"/>
            <w:bookmarkEnd w:id="1237"/>
          </w:p>
        </w:tc>
      </w:tr>
      <w:tr>
        <w:trPr/>
        <w:tc>
          <w:tcPr>
            <w:tcW w:w="8090" w:type="dxa"/>
            <w:tcBorders/>
            <w:shd w:fill="CCEEFF" w:val="clear"/>
            <w:vAlign w:val="center"/>
          </w:tcPr>
          <w:p>
            <w:pPr>
              <w:pStyle w:val="TableContents"/>
              <w:bidi w:val="0"/>
              <w:spacing w:before="0" w:after="283"/>
              <w:jc w:val="left"/>
              <w:rPr/>
            </w:pPr>
            <w:r>
              <w:rPr/>
              <w:t>Conversion of SAFEs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110" w:type="dxa"/>
            <w:tcBorders/>
            <w:shd w:fill="CCEEFF" w:val="clear"/>
            <w:vAlign w:val="center"/>
          </w:tcPr>
          <w:p>
            <w:pPr>
              <w:pStyle w:val="TableContents"/>
              <w:bidi w:val="0"/>
              <w:spacing w:before="0" w:after="283"/>
              <w:jc w:val="left"/>
              <w:rPr/>
            </w:pPr>
            <w:r>
              <w:rPr/>
              <w:t> </w:t>
            </w:r>
            <w:bookmarkStart w:id="1238" w:name="xdx_407_ecustom--DeemedDividendFromWarra"/>
            <w:bookmarkEnd w:id="1238"/>
          </w:p>
        </w:tc>
      </w:tr>
      <w:tr>
        <w:trPr/>
        <w:tc>
          <w:tcPr>
            <w:tcW w:w="809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bookmarkStart w:id="1239" w:name="xdx_402_ecustom--IssuanceOfWarrantsInCon"/>
            <w:bookmarkEnd w:id="1239"/>
          </w:p>
        </w:tc>
      </w:tr>
      <w:tr>
        <w:trPr/>
        <w:tc>
          <w:tcPr>
            <w:tcW w:w="8090" w:type="dxa"/>
            <w:tcBorders/>
            <w:shd w:fill="CCEEFF" w:val="clear"/>
            <w:vAlign w:val="center"/>
          </w:tcPr>
          <w:p>
            <w:pPr>
              <w:pStyle w:val="TableContents"/>
              <w:bidi w:val="0"/>
              <w:spacing w:before="0" w:after="283"/>
              <w:jc w:val="left"/>
              <w:rPr/>
            </w:pPr>
            <w:r>
              <w:rPr/>
              <w:t>Issuance of warrants in connection with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40" w:name="sd_006"/>
      <w:bookmarkEnd w:id="1240"/>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41" w:name="xdx_80B_eus-gaap--OrganizationConsolidat"/>
      <w:bookmarkEnd w:id="1241"/>
      <w:r>
        <w:rPr>
          <w:rFonts w:ascii="Times New Roman;Times;Serif" w:hAnsi="Times New Roman;Times;Serif"/>
          <w:b/>
          <w:i w:val="false"/>
          <w:caps w:val="false"/>
          <w:smallCaps w:val="false"/>
          <w:sz w:val="20"/>
        </w:rPr>
        <w:t xml:space="preserve">Note 1 — </w:t>
      </w:r>
      <w:bookmarkStart w:id="1242" w:name="xdx_82F_z5D0H8H4yVsj"/>
      <w:bookmarkEnd w:id="1242"/>
      <w:r>
        <w:rPr>
          <w:rFonts w:ascii="Times New Roman;Times;Serif" w:hAnsi="Times New Roman;Times;Serif"/>
          <w:b/>
          <w:i w:val="false"/>
          <w:caps w:val="false"/>
          <w:smallCaps w:val="false"/>
          <w:sz w:val="20"/>
        </w:rPr>
        <w:t>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w:t>
      </w:r>
      <w:bookmarkStart w:id="1243" w:name="xdx_906_eus-gaap--ProceedsFromPreviousAc"/>
      <w:bookmarkEnd w:id="1243"/>
      <w:r>
        <w:rPr>
          <w:rFonts w:ascii="Times New Roman;Times;Serif" w:hAnsi="Times New Roman;Times;Serif"/>
          <w:b w:val="false"/>
          <w:i w:val="false"/>
          <w:caps w:val="false"/>
          <w:smallCaps w:val="false"/>
          <w:sz w:val="20"/>
        </w:rPr>
        <w:t>21,014, including the contribution of $</w:t>
      </w:r>
      <w:bookmarkStart w:id="1244" w:name="xdx_901_eus-gaap--AssetsHeldInTrust_iI_p"/>
      <w:bookmarkEnd w:id="1244"/>
      <w:r>
        <w:rPr>
          <w:rFonts w:ascii="Times New Roman;Times;Serif" w:hAnsi="Times New Roman;Times;Serif"/>
          <w:b w:val="false"/>
          <w:i w:val="false"/>
          <w:caps w:val="false"/>
          <w:smallCaps w:val="false"/>
          <w:sz w:val="20"/>
        </w:rPr>
        <w:t>1,264 of cash held in Chavant’s trust account and the $</w:t>
      </w:r>
      <w:bookmarkStart w:id="1245" w:name="xdx_909_eus-gaap--ProceedsFromOtherEquit"/>
      <w:bookmarkEnd w:id="1245"/>
      <w:r>
        <w:rPr>
          <w:rFonts w:ascii="Times New Roman;Times;Serif" w:hAnsi="Times New Roman;Times;Serif"/>
          <w:b w:val="false"/>
          <w:i w:val="false"/>
          <w:caps w:val="false"/>
          <w:smallCaps w:val="false"/>
          <w:sz w:val="20"/>
        </w:rPr>
        <w:t>19,750 private investment in public equity (“PIPE”) at $</w:t>
      </w:r>
      <w:bookmarkStart w:id="1246" w:name="xdx_90D_eus-gaap--SharesIssuedPricePerSh"/>
      <w:bookmarkEnd w:id="1246"/>
      <w:r>
        <w:rPr>
          <w:rFonts w:ascii="Times New Roman;Times;Serif" w:hAnsi="Times New Roman;Times;Serif"/>
          <w:b w:val="false"/>
          <w:i w:val="false"/>
          <w:caps w:val="false"/>
          <w:smallCaps w:val="false"/>
          <w:sz w:val="20"/>
        </w:rPr>
        <w:t>10.00 per share of Chavant’s Class A Common Stock. The common stock and public warrants of the combined company began trading on The Nasdaq Stock Market LLC under the symbols “MOBX” and “MOBXW,” respectively,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the notes to the consolidated financial statements, unless otherwise noted or otherwise suggested by context, the “Company” refers to Legacy Mobix prior to the consummation of the Merger, and to the Company after the consummation of the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w:t>
      </w:r>
      <w:bookmarkStart w:id="1247" w:name="xdx_900_eus-gaap--OperatingIncomeLoss_iN"/>
      <w:bookmarkEnd w:id="1247"/>
      <w:r>
        <w:rPr>
          <w:rFonts w:ascii="Times New Roman;Times;Serif" w:hAnsi="Times New Roman;Times;Serif"/>
          <w:b w:val="false"/>
          <w:i w:val="false"/>
          <w:caps w:val="false"/>
          <w:smallCaps w:val="false"/>
          <w:sz w:val="20"/>
        </w:rPr>
        <w:t>37,693 and $</w:t>
      </w:r>
      <w:bookmarkStart w:id="1248" w:name="xdx_90E_eus-gaap--OperatingIncomeLoss_iN"/>
      <w:bookmarkEnd w:id="1248"/>
      <w:r>
        <w:rPr>
          <w:rFonts w:ascii="Times New Roman;Times;Serif" w:hAnsi="Times New Roman;Times;Serif"/>
          <w:b w:val="false"/>
          <w:i w:val="false"/>
          <w:caps w:val="false"/>
          <w:smallCaps w:val="false"/>
          <w:sz w:val="20"/>
        </w:rPr>
        <w:t>46,395, respectively, and as of September 30, 2025, the Company had an accumulated deficit of $</w:t>
      </w:r>
      <w:bookmarkStart w:id="1249" w:name="xdx_900_eus-gaap--RetainedEarningsAccumu"/>
      <w:bookmarkEnd w:id="1249"/>
      <w:r>
        <w:rPr>
          <w:rFonts w:ascii="Times New Roman;Times;Serif" w:hAnsi="Times New Roman;Times;Serif"/>
          <w:b w:val="false"/>
          <w:i w:val="false"/>
          <w:caps w:val="false"/>
          <w:smallCaps w:val="false"/>
          <w:sz w:val="20"/>
        </w:rPr>
        <w:t>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50" w:name="xdx_803_eus-gaap--BasisOfPresentationAnd"/>
      <w:bookmarkEnd w:id="1250"/>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51" w:name="xdx_826_zHTQSUAysmra"/>
      <w:bookmarkEnd w:id="1251"/>
      <w:r>
        <w:rPr>
          <w:rFonts w:ascii="Times New Roman;Times;Serif" w:hAnsi="Times New Roman;Times;Serif"/>
          <w:b w:val="false"/>
          <w:i w:val="false"/>
          <w:caps w:val="false"/>
          <w:smallCaps w:val="false"/>
          <w:sz w:val="20"/>
        </w:rPr>
        <w:t>Basis of Presentation and Significant Accounting Policies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52" w:name="xdx_869_z4NIPrKXYTsd"/>
      <w:bookmarkStart w:id="1253" w:name="xdx_840_eus-gaap--BasisOfAccountingPolic"/>
      <w:bookmarkEnd w:id="1252"/>
      <w:bookmarkEnd w:id="1253"/>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reverse recapitalization of the Company because Legacy Mobix has been determined to be the accounting acquirer under 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54" w:name="xdx_860_zqAenwLeopRf"/>
      <w:bookmarkStart w:id="1255" w:name="xdx_843_eus-gaap--ConsolidationPolicyTex"/>
      <w:bookmarkEnd w:id="1254"/>
      <w:bookmarkEnd w:id="1255"/>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56" w:name="xdx_86F_zXKlmRHpzmF2"/>
      <w:bookmarkStart w:id="1257" w:name="xdx_846_eus-gaap--UseOfEstimates_zp7RI3V"/>
      <w:bookmarkEnd w:id="1256"/>
      <w:bookmarkEnd w:id="1257"/>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and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common stock for periods prior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the PIPE make-whole liability and liability-classified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allocations and valuations of net assets acquired in business combinations;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58" w:name="xdx_862_zWQs8l3i55v7"/>
      <w:bookmarkStart w:id="1259" w:name="xdx_847_eus-gaap--CashAndCashEquivalents"/>
      <w:bookmarkEnd w:id="1258"/>
      <w:bookmarkEnd w:id="1259"/>
      <w:r>
        <w:rPr>
          <w:rFonts w:ascii="Times New Roman;Times;Serif" w:hAnsi="Times New Roman;Times;Serif"/>
          <w:b w:val="false"/>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and 2024, the Company’s cash balance consisted of demand deposits held at large financial institutions. The Company considers all highly liquid investments with a maturity of three months or less to be cash equivalents. The Company had </w:t>
      </w:r>
      <w:bookmarkStart w:id="1260" w:name="xdx_90D_eus-gaap--CashEquivalentsAtCarry"/>
      <w:bookmarkStart w:id="1261" w:name="xdx_908_eus-gaap--CashEquivalentsAtCarry"/>
      <w:bookmarkEnd w:id="1260"/>
      <w:bookmarkEnd w:id="1261"/>
      <w:r>
        <w:rPr>
          <w:rFonts w:ascii="Times New Roman;Times;Serif" w:hAnsi="Times New Roman;Times;Serif"/>
          <w:b w:val="false"/>
          <w:i w:val="false"/>
          <w:caps w:val="false"/>
          <w:smallCaps w:val="false"/>
          <w:sz w:val="20"/>
        </w:rPr>
        <w:t>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62" w:name="xdx_868_zuQELQZcLgY5"/>
      <w:bookmarkStart w:id="1263" w:name="xdx_84A_eus-gaap--TradeAndOtherAccountsR"/>
      <w:bookmarkEnd w:id="1262"/>
      <w:bookmarkEnd w:id="1263"/>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64" w:name="xdx_866_zqN9XYIfDQE3"/>
      <w:bookmarkStart w:id="1265" w:name="xdx_842_eus-gaap--InventoryPolicyTextBlo"/>
      <w:bookmarkEnd w:id="1264"/>
      <w:bookmarkEnd w:id="1265"/>
      <w:r>
        <w:rPr>
          <w:rFonts w:ascii="Times New Roman;Times;Serif" w:hAnsi="Times New Roman;Times;Serif"/>
          <w:b w:val="false"/>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66" w:name="xdx_867_zC0eWPPVzAol"/>
      <w:bookmarkStart w:id="1267" w:name="xdx_845_eus-gaap--PropertyPlantAndEquipm"/>
      <w:bookmarkEnd w:id="1266"/>
      <w:bookmarkEnd w:id="1267"/>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68" w:name="xdx_861_zpJiIQcujLg6"/>
      <w:bookmarkStart w:id="1269" w:name="xdx_846_eus-gaap--GoodwillAndIntangibleA"/>
      <w:bookmarkEnd w:id="1268"/>
      <w:bookmarkEnd w:id="1269"/>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intangible assets principally consist of acquired developed technology and customer relationships and have finite lives ranging from </w:t>
      </w:r>
      <w:bookmarkStart w:id="1270" w:name="xdx_902_eus-gaap--FiniteLivedIntangibleA"/>
      <w:bookmarkEnd w:id="1270"/>
      <w:r>
        <w:rPr>
          <w:rFonts w:ascii="Times New Roman;Times;Serif" w:hAnsi="Times New Roman;Times;Serif"/>
          <w:b w:val="false"/>
          <w:i w:val="false"/>
          <w:caps w:val="false"/>
          <w:smallCaps w:val="false"/>
          <w:sz w:val="20"/>
        </w:rPr>
        <w:t xml:space="preserve">1one to </w:t>
      </w:r>
      <w:bookmarkStart w:id="1271" w:name="xdx_907_eus-gaap--FiniteLivedIntangibleA"/>
      <w:bookmarkEnd w:id="1271"/>
      <w:r>
        <w:rPr>
          <w:rFonts w:ascii="Times New Roman;Times;Serif" w:hAnsi="Times New Roman;Times;Serif"/>
          <w:b w:val="false"/>
          <w:i w:val="false"/>
          <w:caps w:val="false"/>
          <w:smallCaps w:val="false"/>
          <w:sz w:val="20"/>
        </w:rPr>
        <w:t>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72" w:name="xdx_86F_zwz9YZGnwBx3"/>
      <w:bookmarkStart w:id="1273" w:name="xdx_842_eus-gaap--ImpairmentOrDisposalOf"/>
      <w:bookmarkEnd w:id="1272"/>
      <w:bookmarkEnd w:id="1273"/>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w:t>
      </w:r>
      <w:bookmarkStart w:id="1274" w:name="xdx_900_eus-gaap--ImpairmentOfLongLivedA"/>
      <w:bookmarkEnd w:id="1274"/>
      <w:r>
        <w:rPr>
          <w:rFonts w:ascii="Times New Roman;Times;Serif" w:hAnsi="Times New Roman;Times;Serif"/>
          <w:b w:val="false"/>
          <w:i w:val="false"/>
          <w:caps w:val="false"/>
          <w:smallCaps w:val="false"/>
          <w:sz w:val="20"/>
        </w:rPr>
        <w:t>725 and $</w:t>
      </w:r>
      <w:bookmarkStart w:id="1275" w:name="xdx_904_eus-gaap--ImpairmentOfLongLivedA"/>
      <w:bookmarkEnd w:id="1275"/>
      <w:r>
        <w:rPr>
          <w:rFonts w:ascii="Times New Roman;Times;Serif" w:hAnsi="Times New Roman;Times;Serif"/>
          <w:b w:val="false"/>
          <w:i w:val="false"/>
          <w:caps w:val="false"/>
          <w:smallCaps w:val="false"/>
          <w:sz w:val="20"/>
        </w:rPr>
        <w:t xml:space="preserve">1,333, respectively, for the years ended September 30, 2025 and 2024. See Note 7, </w:t>
      </w:r>
      <w:r>
        <w:rPr>
          <w:rFonts w:ascii="Times New Roman;Times;Serif" w:hAnsi="Times New Roman;Times;Serif"/>
          <w:b w:val="false"/>
          <w:i/>
          <w:caps w:val="false"/>
          <w:smallCaps w:val="false"/>
          <w:sz w:val="20"/>
        </w:rPr>
        <w:t>Intangible Assets, net</w:t>
      </w:r>
      <w:r>
        <w:rPr>
          <w:rFonts w:ascii="Times New Roman;Times;Serif" w:hAnsi="Times New Roman;Times;Serif"/>
          <w:b w:val="false"/>
          <w:i w:val="false"/>
          <w:caps w:val="false"/>
          <w:smallCaps w:val="false"/>
          <w:sz w:val="20"/>
        </w:rPr>
        <w:t xml:space="preserve"> and Note 11, </w:t>
      </w: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76" w:name="xdx_869_zPT3gNJ7anja"/>
      <w:bookmarkStart w:id="1277" w:name="xdx_84A_eus-gaap--GoodwillAndIntangibleA"/>
      <w:bookmarkEnd w:id="1276"/>
      <w:bookmarkEnd w:id="1277"/>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78" w:name="xdx_86B_zIg1UEEsglOa"/>
      <w:bookmarkStart w:id="1279" w:name="xdx_847_eus-gaap--BusinessCombinationsPo"/>
      <w:bookmarkEnd w:id="1278"/>
      <w:bookmarkEnd w:id="1279"/>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80" w:name="xdx_863_zp6YlewToo5"/>
      <w:bookmarkStart w:id="1281" w:name="xdx_84E_eus-gaap--FairValueMeasurementPo"/>
      <w:bookmarkEnd w:id="1280"/>
      <w:bookmarkEnd w:id="1281"/>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hierarchy is used in management’s determination of fair value based on the reliability and observability of inputs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include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pricing inputs that are generally less observable from objective sources, such as discounted cash flow models or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82" w:name="xdx_862_zM1hsVZuK1U4"/>
      <w:bookmarkStart w:id="1283" w:name="xdx_842_ecustom--FairValueOfCommonStockP"/>
      <w:bookmarkEnd w:id="1282"/>
      <w:bookmarkEnd w:id="1283"/>
      <w:r>
        <w:rPr>
          <w:rFonts w:ascii="Times New Roman;Times;Serif" w:hAnsi="Times New Roman;Times;Serif"/>
          <w:b w:val="false"/>
          <w:i/>
          <w:caps w:val="false"/>
          <w:smallCaps w:val="false"/>
          <w:sz w:val="20"/>
        </w:rPr>
        <w:t>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84" w:name="xdx_86D_zbGXEXjsqKz6"/>
      <w:bookmarkStart w:id="1285" w:name="xdx_845_ecustom--ClassificationOfWarrant"/>
      <w:bookmarkEnd w:id="1284"/>
      <w:bookmarkEnd w:id="1285"/>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86" w:name="xdx_860_zDF9IWt7SQK7"/>
      <w:bookmarkStart w:id="1287" w:name="xdx_840_eus-gaap--EarningsPerSharePolicy"/>
      <w:bookmarkEnd w:id="1286"/>
      <w:bookmarkEnd w:id="1287"/>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88" w:name="xdx_86E_zB4oLcSLSdn9"/>
      <w:bookmarkStart w:id="1289" w:name="xdx_849_eus-gaap--ShareBasedCompensation"/>
      <w:bookmarkEnd w:id="1288"/>
      <w:bookmarkEnd w:id="1289"/>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pStyle w:val="TextBody"/>
        <w:bidi w:val="0"/>
        <w:spacing w:before="0" w:after="0"/>
        <w:ind w:left="720" w:right="0" w:hanging="36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90" w:name="xdx_868_zA4zyodOYzUl"/>
      <w:bookmarkStart w:id="1291" w:name="xdx_845_eus-gaap--ComprehensiveIncomePol"/>
      <w:bookmarkEnd w:id="1290"/>
      <w:bookmarkEnd w:id="1291"/>
      <w:r>
        <w:rPr>
          <w:rFonts w:ascii="Times New Roman;Times;Serif" w:hAnsi="Times New Roman;Times;Serif"/>
          <w:b w:val="false"/>
          <w:i/>
          <w:caps w:val="false"/>
          <w:smallCaps w:val="false"/>
          <w:sz w:val="20"/>
        </w:rPr>
        <w:t xml:space="preserve">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92" w:name="xdx_868_zUb6Oktiw9A1"/>
      <w:bookmarkStart w:id="1293" w:name="xdx_848_eus-gaap--RevenueFromContractWit"/>
      <w:bookmarkEnd w:id="1292"/>
      <w:bookmarkEnd w:id="1293"/>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from contracts with customers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material variable consideration, and the Company’s revenue arrangements do not contain significant financing components. Payment terms are principally net 30 days to net 45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94" w:name="xdx_864_zrxWHX806vr"/>
      <w:bookmarkStart w:id="1295" w:name="xdx_84B_eus-gaap--CostOfSalesPolicyTextB"/>
      <w:bookmarkEnd w:id="1294"/>
      <w:bookmarkEnd w:id="1295"/>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296" w:name="xdx_86E_znf1taAKwur3"/>
      <w:bookmarkStart w:id="1297" w:name="xdx_84D_eus-gaap--AdvertisingCostsPolicy"/>
      <w:bookmarkEnd w:id="1296"/>
      <w:bookmarkEnd w:id="1297"/>
      <w:r>
        <w:rPr>
          <w:rFonts w:ascii="Times New Roman;Times;Serif" w:hAnsi="Times New Roman;Times;Serif"/>
          <w:b w:val="false"/>
          <w:i/>
          <w:caps w:val="false"/>
          <w:smallCaps w:val="false"/>
          <w:sz w:val="20"/>
        </w:rPr>
        <w:t>Advertising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include spending for items such as marketing and promotional items, trade shows, sponsorships, and other programs. The Company expenses advertising costs as incurred. Advertising expenses were $</w:t>
      </w:r>
      <w:bookmarkStart w:id="1298" w:name="xdx_908_eus-gaap--AdvertisingExpense_pn3"/>
      <w:bookmarkEnd w:id="1298"/>
      <w:r>
        <w:rPr>
          <w:rFonts w:ascii="Times New Roman;Times;Serif" w:hAnsi="Times New Roman;Times;Serif"/>
          <w:b w:val="false"/>
          <w:i w:val="false"/>
          <w:caps w:val="false"/>
          <w:smallCaps w:val="false"/>
          <w:sz w:val="20"/>
        </w:rPr>
        <w:t>31 and $</w:t>
      </w:r>
      <w:bookmarkStart w:id="1299" w:name="xdx_90B_eus-gaap--AdvertisingExpense_pn3"/>
      <w:bookmarkEnd w:id="1299"/>
      <w:r>
        <w:rPr>
          <w:rFonts w:ascii="Times New Roman;Times;Serif" w:hAnsi="Times New Roman;Times;Serif"/>
          <w:b w:val="false"/>
          <w:i w:val="false"/>
          <w:caps w:val="false"/>
          <w:smallCaps w:val="false"/>
          <w:sz w:val="20"/>
        </w:rPr>
        <w:t>91 for the years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300" w:name="xdx_862_z7qJxwoMZa98"/>
      <w:bookmarkStart w:id="1301" w:name="xdx_849_eus-gaap--ResearchAndDevelopment"/>
      <w:bookmarkEnd w:id="1300"/>
      <w:bookmarkEnd w:id="1301"/>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302" w:name="xdx_863_z48pw1tlhg19"/>
      <w:bookmarkStart w:id="1303" w:name="xdx_848_eus-gaap--SellingGeneralAndAdmin"/>
      <w:bookmarkEnd w:id="1302"/>
      <w:bookmarkEnd w:id="1303"/>
      <w:r>
        <w:rPr>
          <w:rFonts w:ascii="Times New Roman;Times;Serif" w:hAnsi="Times New Roman;Times;Serif"/>
          <w:b w:val="false"/>
          <w:i/>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304" w:name="xdx_86E_zju97PZb34ye"/>
      <w:bookmarkStart w:id="1305" w:name="xdx_841_eus-gaap--IncomeTaxPolicyTextBlo"/>
      <w:bookmarkEnd w:id="1304"/>
      <w:bookmarkEnd w:id="1305"/>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306" w:name="xdx_869_z8ILr1ishGEg"/>
      <w:bookmarkStart w:id="1307" w:name="xdx_847_eus-gaap--NewAccountingPronounce"/>
      <w:bookmarkEnd w:id="1306"/>
      <w:bookmarkEnd w:id="1307"/>
      <w:r>
        <w:rPr>
          <w:rFonts w:ascii="Times New Roman;Times;Serif" w:hAnsi="Times New Roman;Times;Serif"/>
          <w:b w:val="false"/>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ASU 2023-07 </w:t>
      </w:r>
      <w:r>
        <w:rPr>
          <w:rFonts w:ascii="Times New Roman;Times;Serif" w:hAnsi="Times New Roman;Times;Serif"/>
          <w:b w:val="false"/>
          <w:i w:val="false"/>
          <w:caps w:val="false"/>
          <w:smallCaps w:val="false"/>
          <w:sz w:val="20"/>
          <w:shd w:fill="FFFFFF" w:val="clear"/>
        </w:rPr>
        <w:t xml:space="preserve">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w:t>
      </w:r>
      <w:r>
        <w:rPr>
          <w:rFonts w:ascii="Times New Roman;Times;Serif" w:hAnsi="Times New Roman;Times;Serif"/>
          <w:b w:val="false"/>
          <w:i w:val="false"/>
          <w:caps w:val="false"/>
          <w:smallCaps w:val="false"/>
          <w:sz w:val="20"/>
        </w:rPr>
        <w:t xml:space="preserve">The Company adopted ASU 2023-07 for its fiscal year ended September 30, 2025, with no material impact on its financial position or results of operations. See Note 20, </w:t>
      </w:r>
      <w:r>
        <w:rPr>
          <w:rFonts w:ascii="Times New Roman;Times;Serif" w:hAnsi="Times New Roman;Times;Serif"/>
          <w:b w:val="false"/>
          <w:i/>
          <w:caps w:val="false"/>
          <w:smallCaps w:val="false"/>
          <w:sz w:val="20"/>
        </w:rPr>
        <w:t>Segment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bookmarkStart w:id="1308" w:name="xdx_86A_zAhRAvxvvQr4"/>
      <w:bookmarkStart w:id="1309" w:name="xdx_843_eus-gaap--NewAccountingPronounce"/>
      <w:bookmarkEnd w:id="1308"/>
      <w:bookmarkEnd w:id="1309"/>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(“ASU 2024-03”). ASU 2024-03 requires disclosure in the notes to the financial statements of specified information about certain costs and expenses. The ASU is effective for the Company’s fiscal year beginning October 1, 2027, </w:t>
      </w:r>
      <w:r>
        <w:rPr>
          <w:rFonts w:ascii="Times New Roman;Times;Serif" w:hAnsi="Times New Roman;Times;Serif"/>
          <w:b w:val="false"/>
          <w:i w:val="false"/>
          <w:caps w:val="false"/>
          <w:smallCaps w:val="false"/>
          <w:sz w:val="20"/>
          <w:shd w:fill="FFFFFF" w:val="clear"/>
        </w:rPr>
        <w:t xml:space="preserve">and for interim periods within the Company’s fiscal year beginning October 1, 2028, with early adoption permitted. </w:t>
      </w:r>
      <w:r>
        <w:rPr>
          <w:rFonts w:ascii="Times New Roman;Times;Serif" w:hAnsi="Times New Roman;Times;Serif"/>
          <w:b w:val="false"/>
          <w:i w:val="false"/>
          <w:caps w:val="false"/>
          <w:smallCaps w:val="false"/>
          <w:sz w:val="20"/>
        </w:rPr>
        <w:t>The Company is currently evaluating the ASU to determine the impact it will have on the Company’s financial statements and related disclosures.</w:t>
      </w:r>
    </w:p>
    <w:p>
      <w:pPr>
        <w:pStyle w:val="TextBody"/>
        <w:bidi w:val="0"/>
        <w:spacing w:before="0" w:after="0"/>
        <w:ind w:left="0" w:right="0" w:hanging="0"/>
        <w:jc w:val="left"/>
        <w:rPr>
          <w:caps w:val="false"/>
          <w:smallCaps w:val="false"/>
        </w:rPr>
      </w:pPr>
      <w:bookmarkStart w:id="1310" w:name="xdx_85B_zfqcZm9S682h"/>
      <w:bookmarkEnd w:id="131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11" w:name="xdx_802_ecustom--ReverseRecapitalization"/>
      <w:bookmarkEnd w:id="1311"/>
      <w:r>
        <w:rPr>
          <w:rFonts w:ascii="Times New Roman;Times;Serif" w:hAnsi="Times New Roman;Times;Serif"/>
          <w:b/>
          <w:i w:val="false"/>
          <w:caps w:val="false"/>
          <w:smallCaps w:val="false"/>
          <w:sz w:val="20"/>
        </w:rPr>
        <w:t xml:space="preserve">Note 3 — </w:t>
      </w:r>
      <w:bookmarkStart w:id="1312" w:name="xdx_823_zSg30Ux9RJTd"/>
      <w:bookmarkEnd w:id="1312"/>
      <w:r>
        <w:rPr>
          <w:rFonts w:ascii="Times New Roman;Times;Serif" w:hAnsi="Times New Roman;Times;Serif"/>
          <w:b/>
          <w:i w:val="false"/>
          <w:caps w:val="false"/>
          <w:smallCaps w:val="false"/>
          <w:sz w:val="20"/>
        </w:rPr>
        <w:t>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w:t>
      </w:r>
      <w:r>
        <w:rPr>
          <w:rFonts w:ascii="Times New Roman;Times;Serif" w:hAnsi="Times New Roman;Times;Serif"/>
          <w:b w:val="false"/>
          <w:i/>
          <w:caps w:val="false"/>
          <w:smallCaps w:val="false"/>
          <w:sz w:val="20"/>
        </w:rPr>
        <w:t>Company Information</w:t>
      </w:r>
      <w:r>
        <w:rPr>
          <w:rFonts w:ascii="Times New Roman;Times;Serif" w:hAnsi="Times New Roman;Times;Serif"/>
          <w:b w:val="false"/>
          <w:i w:val="false"/>
          <w:caps w:val="false"/>
          <w:smallCaps w:val="false"/>
          <w:sz w:val="20"/>
        </w:rPr>
        <w:t>, the Closing of the Merger occurred on December 21, 2023. In the Merger, as provided for in the Business Combination Agreement: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w:t>
            </w:r>
            <w:bookmarkStart w:id="1313" w:name="xdx_90C_eus-gaap--CommonStockSharesOutst"/>
            <w:bookmarkStart w:id="1314" w:name="xdx_908_eus-gaap--CommonStockSharesIssue"/>
            <w:bookmarkEnd w:id="1313"/>
            <w:bookmarkEnd w:id="1314"/>
            <w:r>
              <w:rPr>
                <w:rFonts w:ascii="Times New Roman;Times;Serif" w:hAnsi="Times New Roman;Times;Serif"/>
                <w:b w:val="false"/>
                <w:i w:val="false"/>
                <w:caps w:val="false"/>
                <w:smallCaps w:val="false"/>
                <w:sz w:val="20"/>
              </w:rPr>
              <w:t>1,813,925 issued and outstanding shares of common stock were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Founders Redeemable Convertible Preferred Stock and Series A Redeemable Convertible Preferred Stock, totaling </w:t>
            </w:r>
            <w:bookmarkStart w:id="1315" w:name="xdx_903_eus-gaap--StockIssuedDuringPerio"/>
            <w:bookmarkEnd w:id="1315"/>
            <w:r>
              <w:rPr>
                <w:rFonts w:ascii="Times New Roman;Times;Serif" w:hAnsi="Times New Roman;Times;Serif"/>
                <w:b w:val="false"/>
                <w:i w:val="false"/>
                <w:caps w:val="false"/>
                <w:smallCaps w:val="false"/>
                <w:sz w:val="20"/>
              </w:rPr>
              <w:t>225,490 shares, was converted into the same number of shares of the Company’s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convertible notes were converted into shares of Legacy Mobix common stock immediately prior to Closing and pursuant to their terms, totaling </w:t>
            </w:r>
            <w:bookmarkStart w:id="1316" w:name="xdx_901_eus-gaap--StockIssuedDuringPerio"/>
            <w:bookmarkEnd w:id="1316"/>
            <w:r>
              <w:rPr>
                <w:rFonts w:ascii="Times New Roman;Times;Serif" w:hAnsi="Times New Roman;Times;Serif"/>
                <w:b w:val="false"/>
                <w:i w:val="false"/>
                <w:caps w:val="false"/>
                <w:smallCaps w:val="false"/>
                <w:sz w:val="20"/>
              </w:rPr>
              <w:t>3,004 shares, which were then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Legacy Mobix’s simple agreements for future equity (“SAFEs”) were converted into </w:t>
            </w:r>
            <w:bookmarkStart w:id="1317" w:name="xdx_903_eus-gaap--ConversionOfStockShare"/>
            <w:bookmarkEnd w:id="1317"/>
            <w:r>
              <w:rPr>
                <w:rFonts w:ascii="Times New Roman;Times;Serif" w:hAnsi="Times New Roman;Times;Serif"/>
                <w:b w:val="false"/>
                <w:i w:val="false"/>
                <w:caps w:val="false"/>
                <w:smallCaps w:val="false"/>
                <w:sz w:val="20"/>
              </w:rPr>
              <w:t>15,095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RSUs were assumed by the Company and converted into RSUs covering the same number of shares of the Company’s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related events that occurred in connection with the Closing include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PIPE Subscription Agreements,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Sponsor PIPE Subscription Agreement, Sponsor Warrant and Sponsor Letter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non-redemption agreement with a stockholder,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amendment to its Business Combination Marketing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the </w:t>
            </w:r>
            <w:bookmarkStart w:id="1318" w:name="xdx_901_eus-gaap--ClassOfWarrantOrRightN"/>
            <w:bookmarkEnd w:id="1318"/>
            <w:r>
              <w:rPr>
                <w:rFonts w:ascii="Times New Roman;Times;Serif" w:hAnsi="Times New Roman;Times;Serif"/>
                <w:b w:val="false"/>
                <w:i w:val="false"/>
                <w:caps w:val="false"/>
                <w:smallCaps w:val="false"/>
                <w:sz w:val="20"/>
              </w:rPr>
              <w:t xml:space="preserve">6,000,000 public warrants (“Public Warrants”) and </w:t>
            </w:r>
            <w:bookmarkStart w:id="1319" w:name="xdx_903_eus-gaap--ClassOfWarrantOrRightN"/>
            <w:bookmarkEnd w:id="1319"/>
            <w:r>
              <w:rPr>
                <w:rFonts w:ascii="Times New Roman;Times;Serif" w:hAnsi="Times New Roman;Times;Serif"/>
                <w:b w:val="false"/>
                <w:i w:val="false"/>
                <w:caps w:val="false"/>
                <w:smallCaps w:val="false"/>
                <w:sz w:val="20"/>
              </w:rPr>
              <w:t xml:space="preserve">3,400,000 private placement warrants (“Private Warrants”) originally issued by Chavant in 2021 in connection with its initial public offering, as described in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the 2023 Employee Stock Purchase Plan and the 2023 Equity Incentive Plan, as described in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amended and restated certificate of incorporation and amended and restated bylaws;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indemnification agreements with each of its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Chavant entered into the PIPE Subscription Agreements with certain accredited investors and pursuant to which the investors agreed to purchase an aggregate of </w:t>
      </w:r>
      <w:bookmarkStart w:id="1320" w:name="xdx_90D_eus-gaap--ShareBasedCompensation"/>
      <w:bookmarkEnd w:id="1320"/>
      <w:r>
        <w:rPr>
          <w:rFonts w:ascii="Times New Roman;Times;Serif" w:hAnsi="Times New Roman;Times;Serif"/>
          <w:b w:val="false"/>
          <w:i w:val="false"/>
          <w:caps w:val="false"/>
          <w:smallCaps w:val="false"/>
          <w:sz w:val="20"/>
        </w:rPr>
        <w:t>197,500 shares of Class A Common Stock of Chavant at a price of $</w:t>
      </w:r>
      <w:bookmarkStart w:id="1321" w:name="xdx_903_eus-gaap--SharesIssuedPricePerSh"/>
      <w:bookmarkEnd w:id="1321"/>
      <w:r>
        <w:rPr>
          <w:rFonts w:ascii="Times New Roman;Times;Serif" w:hAnsi="Times New Roman;Times;Serif"/>
          <w:b w:val="false"/>
          <w:i w:val="false"/>
          <w:caps w:val="false"/>
          <w:smallCaps w:val="false"/>
          <w:sz w:val="20"/>
        </w:rPr>
        <w:t>100.00 per share for an aggregate amount of $</w:t>
      </w:r>
      <w:bookmarkStart w:id="1322" w:name="xdx_905_eus-gaap--SaleOfStockConsiderati"/>
      <w:bookmarkEnd w:id="1322"/>
      <w:r>
        <w:rPr>
          <w:rFonts w:ascii="Times New Roman;Times;Serif" w:hAnsi="Times New Roman;Times;Serif"/>
          <w:b w:val="false"/>
          <w:i w:val="false"/>
          <w:caps w:val="false"/>
          <w:smallCaps w:val="false"/>
          <w:sz w:val="20"/>
        </w:rPr>
        <w:t>19,750 in cash. Subsequent to the Closing, the number of shares purchased by the PIPE investors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PIPE investors also received warrants to purchase </w:t>
      </w:r>
      <w:bookmarkStart w:id="1323" w:name="xdx_90F_eus-gaap--ClassOfWarrantOrRightN"/>
      <w:bookmarkEnd w:id="1323"/>
      <w:r>
        <w:rPr>
          <w:rFonts w:ascii="Times New Roman;Times;Serif" w:hAnsi="Times New Roman;Times;Serif"/>
          <w:b w:val="false"/>
          <w:i w:val="false"/>
          <w:caps w:val="false"/>
          <w:smallCaps w:val="false"/>
          <w:sz w:val="20"/>
        </w:rPr>
        <w:t>195,000 shares of Class A Common Stock at an exercise price of $</w:t>
      </w:r>
      <w:bookmarkStart w:id="1324" w:name="xdx_907_eus-gaap--SharesIssuedPricePerSh"/>
      <w:bookmarkEnd w:id="1324"/>
      <w:r>
        <w:rPr>
          <w:rFonts w:ascii="Times New Roman;Times;Serif" w:hAnsi="Times New Roman;Times;Serif"/>
          <w:b w:val="false"/>
          <w:i w:val="false"/>
          <w:caps w:val="false"/>
          <w:smallCaps w:val="false"/>
          <w:sz w:val="20"/>
        </w:rPr>
        <w:t xml:space="preserve">0.10 per share, of which warrants to purchase </w:t>
      </w:r>
      <w:bookmarkStart w:id="1325" w:name="xdx_903_ecustom--WarrantsToPurchaseShare"/>
      <w:bookmarkEnd w:id="1325"/>
      <w:r>
        <w:rPr>
          <w:rFonts w:ascii="Times New Roman;Times;Serif" w:hAnsi="Times New Roman;Times;Serif"/>
          <w:b w:val="false"/>
          <w:i w:val="false"/>
          <w:caps w:val="false"/>
          <w:smallCaps w:val="false"/>
          <w:sz w:val="20"/>
        </w:rPr>
        <w:t xml:space="preserve">20,000 shares are immediately exercisable and warrants to purchase </w:t>
      </w:r>
      <w:bookmarkStart w:id="1326" w:name="xdx_90D_ecustom--WarrantToPurchaseShares"/>
      <w:bookmarkEnd w:id="1326"/>
      <w:r>
        <w:rPr>
          <w:rFonts w:ascii="Times New Roman;Times;Serif" w:hAnsi="Times New Roman;Times;Serif"/>
          <w:b w:val="false"/>
          <w:i w:val="false"/>
          <w:caps w:val="false"/>
          <w:smallCaps w:val="false"/>
          <w:sz w:val="20"/>
        </w:rPr>
        <w:t xml:space="preserve">175,000 shares became exercisable upon approval by the Company’s stockholders, which was obtained on January 3, 2025. During the year ended September 30, 2025, warrants to purchase </w:t>
      </w:r>
      <w:bookmarkStart w:id="1327" w:name="xdx_90D_eus-gaap--ClassOfWarrantOrRightN"/>
      <w:bookmarkEnd w:id="1327"/>
      <w:r>
        <w:rPr>
          <w:rFonts w:ascii="Times New Roman;Times;Serif" w:hAnsi="Times New Roman;Times;Serif"/>
          <w:b w:val="false"/>
          <w:i w:val="false"/>
          <w:caps w:val="false"/>
          <w:smallCaps w:val="false"/>
          <w:sz w:val="20"/>
        </w:rPr>
        <w:t>150,000 shares of Class A Common Stock were exercised, for net proceeds to the Company of $</w:t>
      </w:r>
      <w:bookmarkStart w:id="1328" w:name="xdx_908_eus-gaap--ProceedsFromWarrantExe"/>
      <w:bookmarkEnd w:id="1328"/>
      <w:r>
        <w:rPr>
          <w:rFonts w:ascii="Times New Roman;Times;Serif" w:hAnsi="Times New Roman;Times;Serif"/>
          <w:b w:val="false"/>
          <w:i w:val="false"/>
          <w:caps w:val="false"/>
          <w:smallCaps w:val="false"/>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Agreements, Sponsor Warrant and Sponsor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19, 2023, Chavant entered into the Sponsor PIPE Subscription Agreement with the Sponsor pursuant to which the Sponsor agreed to purchase, in a private placement that closed substantially concurrently with the Closing, </w:t>
      </w:r>
      <w:bookmarkStart w:id="1329" w:name="xdx_907_eus-gaap--CommonStockSharesIssue"/>
      <w:bookmarkEnd w:id="1329"/>
      <w:r>
        <w:rPr>
          <w:rFonts w:ascii="Times New Roman;Times;Serif" w:hAnsi="Times New Roman;Times;Serif"/>
          <w:b w:val="false"/>
          <w:i w:val="false"/>
          <w:caps w:val="false"/>
          <w:smallCaps w:val="false"/>
          <w:sz w:val="20"/>
        </w:rPr>
        <w:t>19,973 shares of Class A Common Stock at a price of $</w:t>
      </w:r>
      <w:bookmarkStart w:id="1330" w:name="xdx_90A_eus-gaap--SharesIssuedPricePerSh"/>
      <w:bookmarkEnd w:id="1330"/>
      <w:r>
        <w:rPr>
          <w:rFonts w:ascii="Times New Roman;Times;Serif" w:hAnsi="Times New Roman;Times;Serif"/>
          <w:b w:val="false"/>
          <w:i w:val="false"/>
          <w:caps w:val="false"/>
          <w:smallCaps w:val="false"/>
          <w:sz w:val="20"/>
        </w:rPr>
        <w:t>100.00 per share. The aggregate purchase price of $</w:t>
      </w:r>
      <w:bookmarkStart w:id="1331" w:name="xdx_905_eus-gaap--PurchaseObligation_iI_"/>
      <w:bookmarkEnd w:id="1331"/>
      <w:r>
        <w:rPr>
          <w:rFonts w:ascii="Times New Roman;Times;Serif" w:hAnsi="Times New Roman;Times;Serif"/>
          <w:b w:val="false"/>
          <w:i w:val="false"/>
          <w:caps w:val="false"/>
          <w:smallCaps w:val="false"/>
          <w:sz w:val="20"/>
        </w:rPr>
        <w:t>1,997 was paid through the forgiveness of certain obligations of Chavant. Subsequent to the Closing, the number of shares purchased by the Sponsor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Sponsor PIPE Subscription Agreement, Legacy Mobix issued to the Sponsor a warrant to purchase </w:t>
      </w:r>
      <w:bookmarkStart w:id="1332" w:name="xdx_901_ecustom--WarrantsToPurchaseShare"/>
      <w:bookmarkEnd w:id="1332"/>
      <w:r>
        <w:rPr>
          <w:rFonts w:ascii="Times New Roman;Times;Serif" w:hAnsi="Times New Roman;Times;Serif"/>
          <w:b w:val="false"/>
          <w:i w:val="false"/>
          <w:caps w:val="false"/>
          <w:smallCaps w:val="false"/>
          <w:sz w:val="20"/>
        </w:rPr>
        <w:t>27,245 shares of Legacy Mobix common stock at an exercise price of $</w:t>
      </w:r>
      <w:bookmarkStart w:id="1333" w:name="xdx_909_eus-gaap--SharesIssuedPricePerSh"/>
      <w:bookmarkEnd w:id="1333"/>
      <w:r>
        <w:rPr>
          <w:rFonts w:ascii="Times New Roman;Times;Serif" w:hAnsi="Times New Roman;Times;Serif"/>
          <w:b w:val="false"/>
          <w:i w:val="false"/>
          <w:caps w:val="false"/>
          <w:smallCaps w:val="false"/>
          <w:sz w:val="20"/>
        </w:rPr>
        <w:t xml:space="preserve">0.10 per share, exercisable upon the closing of the Sponsor PIPE Subscription Agreement (the “Sponsor Warrant”). The Sponsor Warrant was exercised at the closing of the Sponsor PIPE Subscription Agreement and, following net settlement into </w:t>
      </w:r>
      <w:bookmarkStart w:id="1334" w:name="xdx_906_eus-gaap--ConversionOfStockShare"/>
      <w:bookmarkEnd w:id="1334"/>
      <w:r>
        <w:rPr>
          <w:rFonts w:ascii="Times New Roman;Times;Serif" w:hAnsi="Times New Roman;Times;Serif"/>
          <w:b w:val="false"/>
          <w:i w:val="false"/>
          <w:caps w:val="false"/>
          <w:smallCaps w:val="false"/>
          <w:sz w:val="20"/>
        </w:rPr>
        <w:t xml:space="preserve">27,218 shares of Legacy Mobix common stock, converted into </w:t>
      </w:r>
      <w:bookmarkStart w:id="1335" w:name="xdx_903_eus-gaap--ConversionOfStockShare"/>
      <w:bookmarkEnd w:id="1335"/>
      <w:r>
        <w:rPr>
          <w:rFonts w:ascii="Times New Roman;Times;Serif" w:hAnsi="Times New Roman;Times;Serif"/>
          <w:b w:val="false"/>
          <w:i w:val="false"/>
          <w:caps w:val="false"/>
          <w:smallCaps w:val="false"/>
          <w:sz w:val="20"/>
        </w:rPr>
        <w:t>27,218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2023, Chavant also entered into a Sponsor Letter Agreement with the Sponsor pursuant to which, as consideration for the </w:t>
      </w:r>
      <w:bookmarkStart w:id="1336" w:name="xdx_906_eus-gaap--StockIssuedDuringPerio"/>
      <w:bookmarkEnd w:id="1336"/>
      <w:r>
        <w:rPr>
          <w:rFonts w:ascii="Times New Roman;Times;Serif" w:hAnsi="Times New Roman;Times;Serif"/>
          <w:b w:val="false"/>
          <w:i w:val="false"/>
          <w:caps w:val="false"/>
          <w:smallCaps w:val="false"/>
          <w:sz w:val="20"/>
        </w:rPr>
        <w:t>19,973 shares issued pursuant to the Sponsor PIPE Subscription Agreement described above, the Sponsor agreed to forgive approximately $</w:t>
      </w:r>
      <w:bookmarkStart w:id="1337" w:name="xdx_909_eus-gaap--ObligationWithJointAnd"/>
      <w:bookmarkEnd w:id="1337"/>
      <w:r>
        <w:rPr>
          <w:rFonts w:ascii="Times New Roman;Times;Serif" w:hAnsi="Times New Roman;Times;Serif"/>
          <w:b w:val="false"/>
          <w:i w:val="false"/>
          <w:caps w:val="false"/>
          <w:smallCaps w:val="false"/>
          <w:sz w:val="20"/>
        </w:rPr>
        <w:t xml:space="preserve">1,997 of aggregate outstanding obligations of Chavant. In addition, the Sponsor agreed to forfeit </w:t>
      </w:r>
      <w:bookmarkStart w:id="1338" w:name="xdx_900_eus-gaap--ShareBasedCompensation"/>
      <w:bookmarkEnd w:id="1338"/>
      <w:r>
        <w:rPr>
          <w:rFonts w:ascii="Times New Roman;Times;Serif" w:hAnsi="Times New Roman;Times;Serif"/>
          <w:b w:val="false"/>
          <w:i w:val="false"/>
          <w:caps w:val="false"/>
          <w:smallCaps w:val="false"/>
          <w:sz w:val="20"/>
        </w:rPr>
        <w:t xml:space="preserve">65,863 Founder Shares and </w:t>
      </w:r>
      <w:bookmarkStart w:id="1339" w:name="xdx_902_eus-gaap--ShareBasedCompensation"/>
      <w:bookmarkEnd w:id="1339"/>
      <w:r>
        <w:rPr>
          <w:rFonts w:ascii="Times New Roman;Times;Serif" w:hAnsi="Times New Roman;Times;Serif"/>
          <w:b w:val="false"/>
          <w:i w:val="false"/>
          <w:caps w:val="false"/>
          <w:smallCaps w:val="false"/>
          <w:sz w:val="20"/>
        </w:rPr>
        <w:t>40,000 Private Warrants that it held, in each case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Non-Redemption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2023, Chavant and Mobix Labs entered into a non-redemption agreement with a stockholder of Chavant, pursuant to which the stockholder agreed to withdraw its redemption of </w:t>
      </w:r>
      <w:bookmarkStart w:id="1340" w:name="xdx_90D_ecustom--RedemptionOfOrdinarySha"/>
      <w:bookmarkEnd w:id="1340"/>
      <w:r>
        <w:rPr>
          <w:rFonts w:ascii="Times New Roman;Times;Serif" w:hAnsi="Times New Roman;Times;Serif"/>
          <w:b w:val="false"/>
          <w:i w:val="false"/>
          <w:caps w:val="false"/>
          <w:smallCaps w:val="false"/>
          <w:sz w:val="20"/>
        </w:rPr>
        <w:t xml:space="preserve">7,370 ordinary shares of Chavant (“Ordinary Shares”) prior to the Merger. In consideration therefor, Mobix Labs issued the stockholder a warrant to purchase </w:t>
      </w:r>
      <w:bookmarkStart w:id="1341" w:name="xdx_903_eus-gaap--StockIssuedDuringPerio"/>
      <w:bookmarkEnd w:id="1341"/>
      <w:r>
        <w:rPr>
          <w:rFonts w:ascii="Times New Roman;Times;Serif" w:hAnsi="Times New Roman;Times;Serif"/>
          <w:b w:val="false"/>
          <w:i w:val="false"/>
          <w:caps w:val="false"/>
          <w:smallCaps w:val="false"/>
          <w:sz w:val="20"/>
        </w:rPr>
        <w:t>20,269 shares of Legacy Mobix common stock at an exercise price of $</w:t>
      </w:r>
      <w:bookmarkStart w:id="1342" w:name="xdx_907_eus-gaap--SharesIssuedPricePerSh"/>
      <w:bookmarkEnd w:id="1342"/>
      <w:r>
        <w:rPr>
          <w:rFonts w:ascii="Times New Roman;Times;Serif" w:hAnsi="Times New Roman;Times;Serif"/>
          <w:b w:val="false"/>
          <w:i w:val="false"/>
          <w:caps w:val="false"/>
          <w:smallCaps w:val="false"/>
          <w:sz w:val="20"/>
        </w:rPr>
        <w:t xml:space="preserve">0.10 per share, exercisable upon the Closing. The warrant was exercised at the Closing and, following net settlement into </w:t>
      </w:r>
      <w:bookmarkStart w:id="1343" w:name="xdx_909_eus-gaap--ConversionOfStockShare"/>
      <w:bookmarkEnd w:id="1343"/>
      <w:r>
        <w:rPr>
          <w:rFonts w:ascii="Times New Roman;Times;Serif" w:hAnsi="Times New Roman;Times;Serif"/>
          <w:b w:val="false"/>
          <w:i w:val="false"/>
          <w:caps w:val="false"/>
          <w:smallCaps w:val="false"/>
          <w:sz w:val="20"/>
        </w:rPr>
        <w:t xml:space="preserve">20,248 shares of Legacy Mobix common stock, converted into </w:t>
      </w:r>
      <w:bookmarkStart w:id="1344" w:name="xdx_903_eus-gaap--ConversionOfStockShare"/>
      <w:bookmarkEnd w:id="1344"/>
      <w:r>
        <w:rPr>
          <w:rFonts w:ascii="Times New Roman;Times;Serif" w:hAnsi="Times New Roman;Times;Serif"/>
          <w:b w:val="false"/>
          <w:i w:val="false"/>
          <w:caps w:val="false"/>
          <w:smallCaps w:val="false"/>
          <w:sz w:val="20"/>
        </w:rPr>
        <w:t>20,248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Business Combination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w:t>
      </w:r>
      <w:bookmarkStart w:id="1345" w:name="xdx_90E_ecustom--AggregateShares_pid_c20"/>
      <w:bookmarkEnd w:id="1345"/>
      <w:r>
        <w:rPr>
          <w:rFonts w:ascii="Times New Roman;Times;Serif" w:hAnsi="Times New Roman;Times;Serif"/>
          <w:b w:val="false"/>
          <w:i w:val="false"/>
          <w:caps w:val="false"/>
          <w:smallCaps w:val="false"/>
          <w:sz w:val="20"/>
        </w:rPr>
        <w:t>28,000 shares of Class A Common Stock. Subsequent to the Closing, the number of shares the advisors received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consideration paid at Closing, certain Legacy Mobix stockholders and certain holders of Legacy Mobix stock options (the “Earnout Recipients”) will be entitled to receive an additional aggregate </w:t>
      </w:r>
      <w:bookmarkStart w:id="1346" w:name="xdx_905_ecustom--AggregateShares_pid_c20"/>
      <w:bookmarkEnd w:id="1346"/>
      <w:r>
        <w:rPr>
          <w:rFonts w:ascii="Times New Roman;Times;Serif" w:hAnsi="Times New Roman;Times;Serif"/>
          <w:b w:val="false"/>
          <w:i w:val="false"/>
          <w:caps w:val="false"/>
          <w:smallCaps w:val="false"/>
          <w:sz w:val="20"/>
        </w:rPr>
        <w:t xml:space="preserve">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w:t>
      </w:r>
      <w:bookmarkStart w:id="1347" w:name="xdx_906_eus-gaap--CommonStockSharesIssue"/>
      <w:bookmarkEnd w:id="1347"/>
      <w:r>
        <w:rPr>
          <w:rFonts w:ascii="Times New Roman;Times;Serif" w:hAnsi="Times New Roman;Times;Serif"/>
          <w:b w:val="false"/>
          <w:i w:val="false"/>
          <w:caps w:val="false"/>
          <w:smallCaps w:val="false"/>
          <w:sz w:val="20"/>
        </w:rPr>
        <w:t>175,000 shares of Class A Common Stock will be distributed to the Earnout Recipients if the volume-weighted average price (“VWAP”) of the Class A Common Stock exceeds $</w:t>
      </w:r>
      <w:bookmarkStart w:id="1348" w:name="xdx_90B_eus-gaap--SharesIssuedPricePerSh"/>
      <w:bookmarkEnd w:id="1348"/>
      <w:r>
        <w:rPr>
          <w:rFonts w:ascii="Times New Roman;Times;Serif" w:hAnsi="Times New Roman;Times;Serif"/>
          <w:b w:val="false"/>
          <w:i w:val="false"/>
          <w:caps w:val="false"/>
          <w:smallCaps w:val="false"/>
          <w:sz w:val="20"/>
        </w:rPr>
        <w:t xml:space="preserve">125.00 for any twenty trading days within a period of thirty consecutive trading days during the Earnout Period and an additional </w:t>
      </w:r>
      <w:bookmarkStart w:id="1349" w:name="xdx_90C_eus-gaap--ExcessStockSharesIssue"/>
      <w:bookmarkEnd w:id="1349"/>
      <w:r>
        <w:rPr>
          <w:rFonts w:ascii="Times New Roman;Times;Serif" w:hAnsi="Times New Roman;Times;Serif"/>
          <w:b w:val="false"/>
          <w:i w:val="false"/>
          <w:caps w:val="false"/>
          <w:smallCaps w:val="false"/>
          <w:sz w:val="20"/>
        </w:rPr>
        <w:t>175,000 shares of Class A Common Stock will be distributed to the Earnout Recipients if the VWAP of the Class A Common Stock exceeds $</w:t>
      </w:r>
      <w:bookmarkStart w:id="1350" w:name="xdx_900_eus-gaap--SharesIssuedPricePerSh"/>
      <w:bookmarkEnd w:id="1350"/>
      <w:r>
        <w:rPr>
          <w:rFonts w:ascii="Times New Roman;Times;Serif" w:hAnsi="Times New Roman;Times;Serif"/>
          <w:b w:val="false"/>
          <w:i w:val="false"/>
          <w:caps w:val="false"/>
          <w:smallCaps w:val="false"/>
          <w:sz w:val="20"/>
        </w:rPr>
        <w:t>150.00 for any twenty trading days within a period of thirty consecutive trading days during the Earnout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w:t>
      </w:r>
      <w:bookmarkStart w:id="1351" w:name="xdx_906_ecustom--LiabilitiesRecognizedIn"/>
      <w:bookmarkEnd w:id="1351"/>
      <w:r>
        <w:rPr>
          <w:rFonts w:ascii="Times New Roman;Times;Serif" w:hAnsi="Times New Roman;Times;Serif"/>
          <w:b w:val="false"/>
          <w:i w:val="false"/>
          <w:caps w:val="false"/>
          <w:smallCaps w:val="false"/>
          <w:sz w:val="20"/>
        </w:rPr>
        <w:t>33,559. As of September 30, 2025 and 2024, none of the conditions for the issuance of any Earnout Shares had been achieved and the Company adjusted the carrying amount of the liability to its estimated fair value of $</w:t>
      </w:r>
      <w:bookmarkStart w:id="1352" w:name="xdx_906_eus-gaap--FairValueMeasurementWi"/>
      <w:bookmarkEnd w:id="1352"/>
      <w:r>
        <w:rPr>
          <w:rFonts w:ascii="Times New Roman;Times;Serif" w:hAnsi="Times New Roman;Times;Serif"/>
          <w:b w:val="false"/>
          <w:i w:val="false"/>
          <w:caps w:val="false"/>
          <w:smallCaps w:val="false"/>
          <w:sz w:val="20"/>
        </w:rPr>
        <w:t>1,240 and $</w:t>
      </w:r>
      <w:bookmarkStart w:id="1353" w:name="xdx_903_eus-gaap--FairValueMeasurementWi"/>
      <w:bookmarkEnd w:id="1353"/>
      <w:r>
        <w:rPr>
          <w:rFonts w:ascii="Times New Roman;Times;Serif" w:hAnsi="Times New Roman;Times;Serif"/>
          <w:b w:val="false"/>
          <w:i w:val="false"/>
          <w:caps w:val="false"/>
          <w:smallCaps w:val="false"/>
          <w:sz w:val="20"/>
        </w:rPr>
        <w:t>1,680, respectively. As a result of decreases in the fair value of the liability, which were primarily the result of decreases in the price of the Company’s Class A Common Stock subsequent to the Closing, the Company recognized non-cash gains of $</w:t>
      </w:r>
      <w:bookmarkStart w:id="1354" w:name="xdx_90F_eus-gaap--OtherNoncashIncomeExpe"/>
      <w:bookmarkEnd w:id="1354"/>
      <w:r>
        <w:rPr>
          <w:rFonts w:ascii="Times New Roman;Times;Serif" w:hAnsi="Times New Roman;Times;Serif"/>
          <w:b w:val="false"/>
          <w:i w:val="false"/>
          <w:caps w:val="false"/>
          <w:smallCaps w:val="false"/>
          <w:sz w:val="20"/>
        </w:rPr>
        <w:t>440 and $</w:t>
      </w:r>
      <w:bookmarkStart w:id="1355" w:name="xdx_906_eus-gaap--OtherNoncashIncomeExpe"/>
      <w:bookmarkEnd w:id="1355"/>
      <w:r>
        <w:rPr>
          <w:rFonts w:ascii="Times New Roman;Times;Serif" w:hAnsi="Times New Roman;Times;Serif"/>
          <w:b w:val="false"/>
          <w:i w:val="false"/>
          <w:caps w:val="false"/>
          <w:smallCaps w:val="false"/>
          <w:sz w:val="20"/>
        </w:rPr>
        <w:t>31,879 for the years ended September 30, 2025 and 2024, respectively, which are included in “Change in fair value of earnout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w:t>
      </w:r>
      <w:bookmarkStart w:id="1356" w:name="xdx_90C_eus-gaap--CommonStockSharesIssue"/>
      <w:bookmarkEnd w:id="1356"/>
      <w:r>
        <w:rPr>
          <w:rFonts w:ascii="Times New Roman;Times;Serif" w:hAnsi="Times New Roman;Times;Serif"/>
          <w:b w:val="false"/>
          <w:i w:val="false"/>
          <w:caps w:val="false"/>
          <w:smallCaps w:val="false"/>
          <w:sz w:val="20"/>
        </w:rPr>
        <w:t>245,473 shares of the Company’s Class A Common Stock in the event that the VWAP per share of the Class A Common Stock during a specified period (the “Adjustment Period VWAP”) is less than $</w:t>
      </w:r>
      <w:bookmarkStart w:id="1357" w:name="xdx_902_eus-gaap--SharePrice_iI_pid_c202"/>
      <w:bookmarkEnd w:id="1357"/>
      <w:r>
        <w:rPr>
          <w:rFonts w:ascii="Times New Roman;Times;Serif" w:hAnsi="Times New Roman;Times;Serif"/>
          <w:b w:val="false"/>
          <w:i w:val="false"/>
          <w:caps w:val="false"/>
          <w:smallCaps w:val="false"/>
          <w:sz w:val="20"/>
        </w:rPr>
        <w:t>100.00 per share. In such case, the PIPE Investors were entitled to receive a number of Make-Whole Shares equal to the number of shares of Class A Common Stock issued to the PIPE Investor multiplied by a fraction, the numerator of which is $</w:t>
      </w:r>
      <w:bookmarkStart w:id="1358" w:name="xdx_90B_eus-gaap--SharesIssuedPricePerSh"/>
      <w:bookmarkEnd w:id="1358"/>
      <w:r>
        <w:rPr>
          <w:rFonts w:ascii="Times New Roman;Times;Serif" w:hAnsi="Times New Roman;Times;Serif"/>
          <w:b w:val="false"/>
          <w:i w:val="false"/>
          <w:caps w:val="false"/>
          <w:smallCaps w:val="false"/>
          <w:sz w:val="20"/>
        </w:rPr>
        <w:t>100.00 minus the Adjustment Period VWAP and the denominator of which is the Adjustment Period VWAP. In the event that the Adjustment Period VWAP is less than $</w:t>
      </w:r>
      <w:bookmarkStart w:id="1359" w:name="xdx_904_ecustom--VolumeWeightedAveragePr"/>
      <w:bookmarkEnd w:id="1359"/>
      <w:r>
        <w:rPr>
          <w:rFonts w:ascii="Times New Roman;Times;Serif" w:hAnsi="Times New Roman;Times;Serif"/>
          <w:b w:val="false"/>
          <w:i w:val="false"/>
          <w:caps w:val="false"/>
          <w:smallCaps w:val="false"/>
          <w:sz w:val="20"/>
        </w:rPr>
        <w:t>70.00, the Adjustment Period VWAP was deemed to be $</w:t>
      </w:r>
      <w:bookmarkStart w:id="1360" w:name="xdx_900_ecustom--VolumeWeightedAveragePr"/>
      <w:bookmarkEnd w:id="1360"/>
      <w:r>
        <w:rPr>
          <w:rFonts w:ascii="Times New Roman;Times;Serif" w:hAnsi="Times New Roman;Times;Serif"/>
          <w:b w:val="false"/>
          <w:i w:val="false"/>
          <w:caps w:val="false"/>
          <w:smallCaps w:val="false"/>
          <w:sz w:val="20"/>
        </w:rPr>
        <w:t xml:space="preserve">70.00. The adjustment period ended on August 30, 2024. The Company issued </w:t>
      </w:r>
      <w:bookmarkStart w:id="1361" w:name="xdx_906_eus-gaap--StockIssuedDuringPerio"/>
      <w:bookmarkEnd w:id="1361"/>
      <w:r>
        <w:rPr>
          <w:rFonts w:ascii="Times New Roman;Times;Serif" w:hAnsi="Times New Roman;Times;Serif"/>
          <w:b w:val="false"/>
          <w:i w:val="false"/>
          <w:caps w:val="false"/>
          <w:smallCaps w:val="false"/>
          <w:sz w:val="20"/>
        </w:rPr>
        <w:t>105,202 shares of its Class A Common Stock to the PIPE Investors, the Sponsor and certain advisors in settlement of the liability for the 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w:t>
      </w:r>
      <w:bookmarkStart w:id="1362" w:name="xdx_909_ecustom--LiabilitiesRecognizedIn"/>
      <w:bookmarkEnd w:id="1362"/>
      <w:r>
        <w:rPr>
          <w:rFonts w:ascii="Times New Roman;Times;Serif" w:hAnsi="Times New Roman;Times;Serif"/>
          <w:b w:val="false"/>
          <w:i w:val="false"/>
          <w:caps w:val="false"/>
          <w:smallCaps w:val="false"/>
          <w:sz w:val="20"/>
        </w:rPr>
        <w:t xml:space="preserve">2,071. The fair value of the </w:t>
      </w:r>
      <w:bookmarkStart w:id="1363" w:name="xdx_90B_eus-gaap--StockIssuedDuringPerio"/>
      <w:bookmarkEnd w:id="1363"/>
      <w:r>
        <w:rPr>
          <w:rFonts w:ascii="Times New Roman;Times;Serif" w:hAnsi="Times New Roman;Times;Serif"/>
          <w:b w:val="false"/>
          <w:i w:val="false"/>
          <w:caps w:val="false"/>
          <w:smallCaps w:val="false"/>
          <w:sz w:val="20"/>
        </w:rPr>
        <w:t>105,202 shares of Class A Common Stock issued in settlement of the liability for the Make-Whole Shares was $</w:t>
      </w:r>
      <w:bookmarkStart w:id="1364" w:name="xdx_900_eus-gaap--FairValueMeasurementWi"/>
      <w:bookmarkEnd w:id="1364"/>
      <w:r>
        <w:rPr>
          <w:rFonts w:ascii="Times New Roman;Times;Serif" w:hAnsi="Times New Roman;Times;Serif"/>
          <w:b w:val="false"/>
          <w:i w:val="false"/>
          <w:caps w:val="false"/>
          <w:smallCaps w:val="false"/>
          <w:sz w:val="20"/>
        </w:rPr>
        <w:t>1,241. As a result of the decrease in the fair value of the liability, the Company recorded a non-cash gain of $</w:t>
      </w:r>
      <w:bookmarkStart w:id="1365" w:name="xdx_904_eus-gaap--OtherNoncashIncomeTaxE"/>
      <w:bookmarkEnd w:id="1365"/>
      <w:r>
        <w:rPr>
          <w:rFonts w:ascii="Times New Roman;Times;Serif" w:hAnsi="Times New Roman;Times;Serif"/>
          <w:b w:val="false"/>
          <w:i w:val="false"/>
          <w:caps w:val="false"/>
          <w:smallCaps w:val="false"/>
          <w:sz w:val="20"/>
        </w:rPr>
        <w:t>830 for the year ended September 30, 2024, which is included in “Change in fair value of PIPE make-whole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the financial instruments issued in connection with the foregoing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Mobix incurred $</w:t>
      </w:r>
      <w:bookmarkStart w:id="1366" w:name="xdx_904_eus-gaap--BusinessAcquisitionCos"/>
      <w:bookmarkEnd w:id="1366"/>
      <w:r>
        <w:rPr>
          <w:rFonts w:ascii="Times New Roman;Times;Serif" w:hAnsi="Times New Roman;Times;Serif"/>
          <w:b w:val="false"/>
          <w:i w:val="false"/>
          <w:caps w:val="false"/>
          <w:smallCaps w:val="false"/>
          <w:sz w:val="20"/>
        </w:rPr>
        <w:t>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w:t>
      </w:r>
      <w:bookmarkStart w:id="1367" w:name="xdx_90D_ecustom--EquityClassifiedInstrum"/>
      <w:bookmarkEnd w:id="1367"/>
      <w:r>
        <w:rPr>
          <w:rFonts w:ascii="Times New Roman;Times;Serif" w:hAnsi="Times New Roman;Times;Serif"/>
          <w:b w:val="false"/>
          <w:i w:val="false"/>
          <w:caps w:val="false"/>
          <w:smallCaps w:val="false"/>
          <w:sz w:val="20"/>
        </w:rPr>
        <w:t>2,354 of costs associated with equity-classified instruments as a reduction of additional paid-in capital and charged the remaining $</w:t>
      </w:r>
      <w:bookmarkStart w:id="1368" w:name="xdx_900_eus-gaap--OtherExpenses_pn3n3_c2"/>
      <w:bookmarkEnd w:id="1368"/>
      <w:r>
        <w:rPr>
          <w:rFonts w:ascii="Times New Roman;Times;Serif" w:hAnsi="Times New Roman;Times;Serif"/>
          <w:b w:val="false"/>
          <w:i w:val="false"/>
          <w:caps w:val="false"/>
          <w:smallCaps w:val="false"/>
          <w:sz w:val="20"/>
        </w:rPr>
        <w:t>4,009 of costs associated with liability-classified instruments to expense. The Company also recognized a liability for unpaid transaction costs of Chavant totaling $</w:t>
      </w:r>
      <w:bookmarkStart w:id="1369" w:name="xdx_908_ecustom--UnpaidTransactionCosts_"/>
      <w:bookmarkEnd w:id="1369"/>
      <w:r>
        <w:rPr>
          <w:rFonts w:ascii="Times New Roman;Times;Serif" w:hAnsi="Times New Roman;Times;Serif"/>
          <w:b w:val="false"/>
          <w:i w:val="false"/>
          <w:caps w:val="false"/>
          <w:smallCaps w:val="false"/>
          <w:sz w:val="20"/>
        </w:rPr>
        <w:t>3,090, which the Company recorded as a reduction of the proceeds of the Merger at the time of the Closing.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70" w:name="xdx_89F_esrt--ScheduleOfCondensedFinanci"/>
      <w:bookmarkEnd w:id="1370"/>
      <w:r>
        <w:rPr>
          <w:rFonts w:ascii="Times New Roman;Times;Serif" w:hAnsi="Times New Roman;Times;Serif"/>
          <w:b w:val="false"/>
          <w:i w:val="false"/>
          <w:caps w:val="false"/>
          <w:smallCaps w:val="false"/>
          <w:sz w:val="20"/>
        </w:rPr>
        <w:t>The following tables reconcile elements of the Merger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bookmarkStart w:id="1371" w:name="xdx_8BF_zUsYKRc0f0wj"/>
      <w:bookmarkEnd w:id="1371"/>
      <w:r>
        <w:rPr>
          <w:rFonts w:ascii="Times New Roman;Times;Serif" w:hAnsi="Times New Roman;Times;Serif"/>
          <w:b w:val="false"/>
          <w:i w:val="false"/>
          <w:caps w:val="false"/>
          <w:smallCaps w:val="false"/>
          <w:sz w:val="20"/>
        </w:rPr>
        <w:t>Schedule of Condensed Consolidated Financial Statements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2" w:name="xdx_494_20231221__20231221_zFCOku7reVse"/>
            <w:bookmarkEnd w:id="137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3" w:name="xdx_40B_ecustom--StockIssuedDuringPeriod"/>
            <w:bookmarkEnd w:id="1373"/>
          </w:p>
        </w:tc>
      </w:tr>
      <w:tr>
        <w:trPr/>
        <w:tc>
          <w:tcPr>
            <w:tcW w:w="8915" w:type="dxa"/>
            <w:tcBorders/>
            <w:shd w:fill="CCEEFF" w:val="clear"/>
            <w:vAlign w:val="center"/>
          </w:tcPr>
          <w:p>
            <w:pPr>
              <w:pStyle w:val="TableContents"/>
              <w:bidi w:val="0"/>
              <w:spacing w:before="0" w:after="283"/>
              <w:jc w:val="left"/>
              <w:rPr/>
            </w:pPr>
            <w:r>
              <w:rPr/>
              <w:t>Chavant public shares,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11,100</w:t>
            </w:r>
          </w:p>
        </w:tc>
        <w:tc>
          <w:tcPr>
            <w:tcW w:w="110" w:type="dxa"/>
            <w:tcBorders/>
            <w:shd w:fill="CCEEFF" w:val="clear"/>
            <w:vAlign w:val="center"/>
          </w:tcPr>
          <w:p>
            <w:pPr>
              <w:pStyle w:val="TableContents"/>
              <w:bidi w:val="0"/>
              <w:spacing w:before="0" w:after="283"/>
              <w:jc w:val="left"/>
              <w:rPr/>
            </w:pPr>
            <w:r>
              <w:rPr/>
              <w:t> </w:t>
            </w:r>
            <w:bookmarkStart w:id="1374" w:name="xdx_402_ecustom--StockIssuedDuringPeriod"/>
            <w:bookmarkEnd w:id="1374"/>
          </w:p>
        </w:tc>
      </w:tr>
      <w:tr>
        <w:trPr/>
        <w:tc>
          <w:tcPr>
            <w:tcW w:w="8915" w:type="dxa"/>
            <w:tcBorders/>
            <w:shd w:fill="FFFFFF" w:val="clear"/>
            <w:vAlign w:val="center"/>
          </w:tcPr>
          <w:p>
            <w:pPr>
              <w:pStyle w:val="TableContents"/>
              <w:bidi w:val="0"/>
              <w:spacing w:before="0" w:after="283"/>
              <w:jc w:val="left"/>
              <w:rPr/>
            </w:pPr>
            <w:r>
              <w:rPr/>
              <w:t>Chavant founder shares, net of shares forfeited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134,137</w:t>
            </w:r>
          </w:p>
        </w:tc>
        <w:tc>
          <w:tcPr>
            <w:tcW w:w="110" w:type="dxa"/>
            <w:tcBorders/>
            <w:shd w:fill="FFFFFF" w:val="clear"/>
            <w:vAlign w:val="center"/>
          </w:tcPr>
          <w:p>
            <w:pPr>
              <w:pStyle w:val="TableContents"/>
              <w:bidi w:val="0"/>
              <w:spacing w:before="0" w:after="283"/>
              <w:jc w:val="left"/>
              <w:rPr/>
            </w:pPr>
            <w:r>
              <w:rPr/>
              <w:t> </w:t>
            </w:r>
            <w:bookmarkStart w:id="1375" w:name="xdx_40B_ecustom--StockIssuedDuringPeriod"/>
            <w:bookmarkEnd w:id="1375"/>
          </w:p>
        </w:tc>
      </w:tr>
      <w:tr>
        <w:trPr/>
        <w:tc>
          <w:tcPr>
            <w:tcW w:w="8915" w:type="dxa"/>
            <w:tcBorders/>
            <w:shd w:fill="CCEEFF" w:val="clear"/>
            <w:vAlign w:val="center"/>
          </w:tcPr>
          <w:p>
            <w:pPr>
              <w:pStyle w:val="TableContents"/>
              <w:bidi w:val="0"/>
              <w:spacing w:before="0" w:after="283"/>
              <w:jc w:val="left"/>
              <w:rPr/>
            </w:pPr>
            <w:r>
              <w:rPr/>
              <w:t>PIPE investors’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197,500</w:t>
            </w:r>
          </w:p>
        </w:tc>
        <w:tc>
          <w:tcPr>
            <w:tcW w:w="110" w:type="dxa"/>
            <w:tcBorders/>
            <w:shd w:fill="CCEEFF" w:val="clear"/>
            <w:vAlign w:val="center"/>
          </w:tcPr>
          <w:p>
            <w:pPr>
              <w:pStyle w:val="TableContents"/>
              <w:bidi w:val="0"/>
              <w:spacing w:before="0" w:after="283"/>
              <w:jc w:val="left"/>
              <w:rPr/>
            </w:pPr>
            <w:r>
              <w:rPr/>
              <w:t> </w:t>
            </w:r>
            <w:bookmarkStart w:id="1376" w:name="xdx_40C_ecustom--StockIssuedDuringPeriod"/>
            <w:bookmarkEnd w:id="1376"/>
          </w:p>
        </w:tc>
      </w:tr>
      <w:tr>
        <w:trPr/>
        <w:tc>
          <w:tcPr>
            <w:tcW w:w="8915" w:type="dxa"/>
            <w:tcBorders/>
            <w:shd w:fill="FFFFFF" w:val="clear"/>
            <w:vAlign w:val="center"/>
          </w:tcPr>
          <w:p>
            <w:pPr>
              <w:pStyle w:val="TableContents"/>
              <w:bidi w:val="0"/>
              <w:spacing w:before="0" w:after="283"/>
              <w:jc w:val="left"/>
              <w:rPr/>
            </w:pPr>
            <w:r>
              <w:rPr/>
              <w:t>Settlement of PIPE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19,980</w:t>
            </w:r>
          </w:p>
        </w:tc>
        <w:tc>
          <w:tcPr>
            <w:tcW w:w="110" w:type="dxa"/>
            <w:tcBorders/>
            <w:shd w:fill="FFFFFF" w:val="clear"/>
            <w:vAlign w:val="center"/>
          </w:tcPr>
          <w:p>
            <w:pPr>
              <w:pStyle w:val="TableContents"/>
              <w:bidi w:val="0"/>
              <w:spacing w:before="0" w:after="283"/>
              <w:jc w:val="left"/>
              <w:rPr/>
            </w:pPr>
            <w:r>
              <w:rPr/>
              <w:t> </w:t>
            </w:r>
            <w:bookmarkStart w:id="1377" w:name="xdx_40A_ecustom--StockIssuedDuringPeriod"/>
            <w:bookmarkEnd w:id="1377"/>
          </w:p>
        </w:tc>
      </w:tr>
      <w:tr>
        <w:trPr/>
        <w:tc>
          <w:tcPr>
            <w:tcW w:w="8915" w:type="dxa"/>
            <w:tcBorders/>
            <w:shd w:fill="CCEEFF" w:val="clear"/>
            <w:vAlign w:val="center"/>
          </w:tcPr>
          <w:p>
            <w:pPr>
              <w:pStyle w:val="TableContents"/>
              <w:bidi w:val="0"/>
              <w:spacing w:before="0" w:after="283"/>
              <w:jc w:val="left"/>
              <w:rPr/>
            </w:pPr>
            <w:r>
              <w:rPr/>
              <w:t>Sponsor PIPE 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19,973</w:t>
            </w:r>
          </w:p>
        </w:tc>
        <w:tc>
          <w:tcPr>
            <w:tcW w:w="110" w:type="dxa"/>
            <w:tcBorders/>
            <w:shd w:fill="CCEEFF" w:val="clear"/>
            <w:vAlign w:val="center"/>
          </w:tcPr>
          <w:p>
            <w:pPr>
              <w:pStyle w:val="TableContents"/>
              <w:bidi w:val="0"/>
              <w:spacing w:before="0" w:after="283"/>
              <w:jc w:val="left"/>
              <w:rPr/>
            </w:pPr>
            <w:r>
              <w:rPr/>
              <w:t> </w:t>
            </w:r>
            <w:bookmarkStart w:id="1378" w:name="xdx_40F_ecustom--StockIssuedDuringPeriod"/>
            <w:bookmarkEnd w:id="1378"/>
          </w:p>
        </w:tc>
      </w:tr>
      <w:tr>
        <w:trPr/>
        <w:tc>
          <w:tcPr>
            <w:tcW w:w="8915" w:type="dxa"/>
            <w:tcBorders/>
            <w:shd w:fill="FFFFFF" w:val="clear"/>
            <w:vAlign w:val="center"/>
          </w:tcPr>
          <w:p>
            <w:pPr>
              <w:pStyle w:val="TableContents"/>
              <w:bidi w:val="0"/>
              <w:spacing w:before="0" w:after="283"/>
              <w:jc w:val="left"/>
              <w:rPr/>
            </w:pPr>
            <w:r>
              <w:rPr/>
              <w:t>Settlement of Sponsor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27,218</w:t>
            </w:r>
          </w:p>
        </w:tc>
        <w:tc>
          <w:tcPr>
            <w:tcW w:w="110" w:type="dxa"/>
            <w:tcBorders/>
            <w:shd w:fill="FFFFFF" w:val="clear"/>
            <w:vAlign w:val="center"/>
          </w:tcPr>
          <w:p>
            <w:pPr>
              <w:pStyle w:val="TableContents"/>
              <w:bidi w:val="0"/>
              <w:spacing w:before="0" w:after="283"/>
              <w:jc w:val="left"/>
              <w:rPr/>
            </w:pPr>
            <w:r>
              <w:rPr/>
              <w:t> </w:t>
            </w:r>
            <w:bookmarkStart w:id="1379" w:name="xdx_40B_ecustom--StockIssuedDuringPeriod"/>
            <w:bookmarkEnd w:id="1379"/>
          </w:p>
        </w:tc>
      </w:tr>
      <w:tr>
        <w:trPr/>
        <w:tc>
          <w:tcPr>
            <w:tcW w:w="8915" w:type="dxa"/>
            <w:tcBorders/>
            <w:shd w:fill="CCEEFF" w:val="clear"/>
            <w:vAlign w:val="center"/>
          </w:tcPr>
          <w:p>
            <w:pPr>
              <w:pStyle w:val="TableContents"/>
              <w:bidi w:val="0"/>
              <w:spacing w:before="0" w:after="283"/>
              <w:jc w:val="left"/>
              <w:rPr/>
            </w:pPr>
            <w:r>
              <w:rPr/>
              <w:t>Settlement of warrant to non-redeeming shareholder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w:t>
            </w:r>
          </w:p>
        </w:tc>
        <w:tc>
          <w:tcPr>
            <w:tcW w:w="110" w:type="dxa"/>
            <w:tcBorders/>
            <w:shd w:fill="CCEEFF" w:val="clear"/>
            <w:vAlign w:val="center"/>
          </w:tcPr>
          <w:p>
            <w:pPr>
              <w:pStyle w:val="TableContents"/>
              <w:bidi w:val="0"/>
              <w:spacing w:before="0" w:after="283"/>
              <w:jc w:val="left"/>
              <w:rPr/>
            </w:pPr>
            <w:r>
              <w:rPr/>
              <w:t> </w:t>
            </w:r>
            <w:bookmarkStart w:id="1380" w:name="xdx_403_ecustom--StockIssuedDuringPeriod"/>
            <w:bookmarkEnd w:id="1380"/>
          </w:p>
        </w:tc>
      </w:tr>
      <w:tr>
        <w:trPr/>
        <w:tc>
          <w:tcPr>
            <w:tcW w:w="8915" w:type="dxa"/>
            <w:tcBorders/>
            <w:shd w:fill="FFFFFF" w:val="clear"/>
            <w:vAlign w:val="center"/>
          </w:tcPr>
          <w:p>
            <w:pPr>
              <w:pStyle w:val="TableContents"/>
              <w:bidi w:val="0"/>
              <w:spacing w:before="0" w:after="283"/>
              <w:jc w:val="left"/>
              <w:rPr/>
            </w:pPr>
            <w:r>
              <w:rPr/>
              <w:t>Amendment to Business Combination Marketing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bookmarkStart w:id="1381" w:name="xdx_401_ecustom--StockIssuedDuringPeriod"/>
            <w:bookmarkEnd w:id="1381"/>
          </w:p>
        </w:tc>
      </w:tr>
      <w:tr>
        <w:trPr/>
        <w:tc>
          <w:tcPr>
            <w:tcW w:w="8915" w:type="dxa"/>
            <w:tcBorders/>
            <w:shd w:fill="CCEEFF" w:val="clear"/>
            <w:vAlign w:val="center"/>
          </w:tcPr>
          <w:p>
            <w:pPr>
              <w:pStyle w:val="TableContents"/>
              <w:bidi w:val="0"/>
              <w:spacing w:before="0" w:after="283"/>
              <w:jc w:val="left"/>
              <w:rPr/>
            </w:pPr>
            <w:r>
              <w:rPr/>
              <w:t>Total Chavant shares outstanding immediately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458,156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2" w:name="xdx_405_ecustom--StockIssuedDuringPeriod"/>
            <w:bookmarkEnd w:id="1382"/>
          </w:p>
        </w:tc>
      </w:tr>
      <w:tr>
        <w:trPr/>
        <w:tc>
          <w:tcPr>
            <w:tcW w:w="8915" w:type="dxa"/>
            <w:tcBorders/>
            <w:shd w:fill="CCEEFF" w:val="clear"/>
            <w:vAlign w:val="center"/>
          </w:tcPr>
          <w:p>
            <w:pPr>
              <w:pStyle w:val="TableContents"/>
              <w:bidi w:val="0"/>
              <w:spacing w:before="0" w:after="283"/>
              <w:jc w:val="left"/>
              <w:rPr/>
            </w:pPr>
            <w:r>
              <w:rPr/>
              <w:t>Legacy Mobix rollover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1,813,925</w:t>
            </w:r>
          </w:p>
        </w:tc>
        <w:tc>
          <w:tcPr>
            <w:tcW w:w="110" w:type="dxa"/>
            <w:tcBorders/>
            <w:shd w:fill="CCEEFF" w:val="clear"/>
            <w:vAlign w:val="center"/>
          </w:tcPr>
          <w:p>
            <w:pPr>
              <w:pStyle w:val="TableContents"/>
              <w:bidi w:val="0"/>
              <w:spacing w:before="0" w:after="283"/>
              <w:jc w:val="left"/>
              <w:rPr/>
            </w:pPr>
            <w:r>
              <w:rPr/>
              <w:t> </w:t>
            </w:r>
            <w:bookmarkStart w:id="1383" w:name="xdx_407_ecustom--StockIssuedDuringPeriod"/>
            <w:bookmarkEnd w:id="1383"/>
          </w:p>
        </w:tc>
      </w:tr>
      <w:tr>
        <w:trPr/>
        <w:tc>
          <w:tcPr>
            <w:tcW w:w="8915" w:type="dxa"/>
            <w:tcBorders/>
            <w:shd w:fill="FFFFFF" w:val="clear"/>
            <w:vAlign w:val="center"/>
          </w:tcPr>
          <w:p>
            <w:pPr>
              <w:pStyle w:val="TableContents"/>
              <w:bidi w:val="0"/>
              <w:spacing w:before="0" w:after="283"/>
              <w:jc w:val="left"/>
              <w:rPr/>
            </w:pPr>
            <w:r>
              <w:rPr/>
              <w:t>Conversion of Legacy Mobix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3,004</w:t>
            </w:r>
          </w:p>
        </w:tc>
        <w:tc>
          <w:tcPr>
            <w:tcW w:w="110" w:type="dxa"/>
            <w:tcBorders/>
            <w:shd w:fill="FFFFFF" w:val="clear"/>
            <w:vAlign w:val="center"/>
          </w:tcPr>
          <w:p>
            <w:pPr>
              <w:pStyle w:val="TableContents"/>
              <w:bidi w:val="0"/>
              <w:spacing w:before="0" w:after="283"/>
              <w:jc w:val="left"/>
              <w:rPr/>
            </w:pPr>
            <w:r>
              <w:rPr/>
              <w:t> </w:t>
            </w:r>
            <w:bookmarkStart w:id="1384" w:name="xdx_406_ecustom--StockIssuedDuringPeriod"/>
            <w:bookmarkEnd w:id="1384"/>
          </w:p>
        </w:tc>
      </w:tr>
      <w:tr>
        <w:trPr/>
        <w:tc>
          <w:tcPr>
            <w:tcW w:w="8915" w:type="dxa"/>
            <w:tcBorders/>
            <w:shd w:fill="CCEEFF" w:val="clear"/>
            <w:vAlign w:val="center"/>
          </w:tcPr>
          <w:p>
            <w:pPr>
              <w:pStyle w:val="TableContents"/>
              <w:bidi w:val="0"/>
              <w:spacing w:before="0" w:after="283"/>
              <w:jc w:val="left"/>
              <w:rPr/>
            </w:pPr>
            <w:r>
              <w:rPr/>
              <w:t>Conversion of Legacy Mobix SAFEs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bookmarkStart w:id="1385" w:name="xdx_40F_ecustom--StockIssuedDuringPeriod"/>
            <w:bookmarkEnd w:id="1385"/>
          </w:p>
        </w:tc>
      </w:tr>
      <w:tr>
        <w:trPr/>
        <w:tc>
          <w:tcPr>
            <w:tcW w:w="8915" w:type="dxa"/>
            <w:tcBorders/>
            <w:shd w:fill="FFFFFF" w:val="clear"/>
            <w:vAlign w:val="center"/>
          </w:tcPr>
          <w:p>
            <w:pPr>
              <w:pStyle w:val="TableContents"/>
              <w:bidi w:val="0"/>
              <w:spacing w:before="0" w:after="283"/>
              <w:jc w:val="left"/>
              <w:rPr/>
            </w:pPr>
            <w:r>
              <w:rPr/>
              <w:t>Total number of Class A common shares issued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2,290,180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6" w:name="xdx_402_eus-gaap--ProceedsFromDecommissi"/>
            <w:bookmarkEnd w:id="1386"/>
          </w:p>
        </w:tc>
      </w:tr>
      <w:tr>
        <w:trPr/>
        <w:tc>
          <w:tcPr>
            <w:tcW w:w="8915" w:type="dxa"/>
            <w:tcBorders/>
            <w:shd w:fill="CCEEFF" w:val="clear"/>
            <w:vAlign w:val="center"/>
          </w:tcPr>
          <w:p>
            <w:pPr>
              <w:pStyle w:val="TableContents"/>
              <w:bidi w:val="0"/>
              <w:spacing w:before="0" w:after="283"/>
              <w:jc w:val="left"/>
              <w:rPr/>
            </w:pPr>
            <w:r>
              <w:rPr/>
              <w:t>Proceeds from Chavant trust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bookmarkStart w:id="1387" w:name="xdx_402_eus-gaap--ProceedsFromSaleMaturi"/>
            <w:bookmarkEnd w:id="1387"/>
          </w:p>
        </w:tc>
      </w:tr>
      <w:tr>
        <w:trPr/>
        <w:tc>
          <w:tcPr>
            <w:tcW w:w="8915" w:type="dxa"/>
            <w:tcBorders/>
            <w:shd w:fill="FFFFFF" w:val="clear"/>
            <w:vAlign w:val="center"/>
          </w:tcPr>
          <w:p>
            <w:pPr>
              <w:pStyle w:val="TableContents"/>
              <w:bidi w:val="0"/>
              <w:spacing w:before="0" w:after="283"/>
              <w:jc w:val="left"/>
              <w:rPr/>
            </w:pPr>
            <w:r>
              <w:rPr/>
              <w:t>Proceeds from PIPE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19,750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88" w:name="xdx_404_eus-gaap--PaymentsForMergerRelat"/>
            <w:bookmarkEnd w:id="1388"/>
          </w:p>
        </w:tc>
      </w:tr>
      <w:tr>
        <w:trPr/>
        <w:tc>
          <w:tcPr>
            <w:tcW w:w="8915" w:type="dxa"/>
            <w:tcBorders/>
            <w:shd w:fill="CCEEFF" w:val="clear"/>
            <w:vAlign w:val="center"/>
          </w:tcPr>
          <w:p>
            <w:pPr>
              <w:pStyle w:val="TableContents"/>
              <w:bidi w:val="0"/>
              <w:spacing w:before="0" w:after="283"/>
              <w:jc w:val="left"/>
              <w:rPr/>
            </w:pPr>
            <w:r>
              <w:rPr/>
              <w:t>Legacy Mobix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(3,747</w:t>
            </w:r>
          </w:p>
        </w:tc>
        <w:tc>
          <w:tcPr>
            <w:tcW w:w="110" w:type="dxa"/>
            <w:tcBorders/>
            <w:shd w:fill="CCEEFF" w:val="clear"/>
            <w:vAlign w:val="center"/>
          </w:tcPr>
          <w:p>
            <w:pPr>
              <w:pStyle w:val="TableContents"/>
              <w:bidi w:val="0"/>
              <w:spacing w:before="0" w:after="283"/>
              <w:jc w:val="left"/>
              <w:rPr/>
            </w:pPr>
            <w:r>
              <w:rPr/>
              <w:t>)</w:t>
            </w:r>
            <w:bookmarkStart w:id="1389" w:name="xdx_403_eus-gaap--PaymentsForMergerRelat"/>
            <w:bookmarkEnd w:id="1389"/>
          </w:p>
        </w:tc>
      </w:tr>
      <w:tr>
        <w:trPr/>
        <w:tc>
          <w:tcPr>
            <w:tcW w:w="8915" w:type="dxa"/>
            <w:tcBorders/>
            <w:shd w:fill="FFFFFF" w:val="clear"/>
            <w:vAlign w:val="center"/>
          </w:tcPr>
          <w:p>
            <w:pPr>
              <w:pStyle w:val="TableContents"/>
              <w:bidi w:val="0"/>
              <w:spacing w:before="0" w:after="283"/>
              <w:jc w:val="left"/>
              <w:rPr/>
            </w:pPr>
            <w:r>
              <w:rPr/>
              <w:t>Chavant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(2,219</w:t>
            </w:r>
          </w:p>
        </w:tc>
        <w:tc>
          <w:tcPr>
            <w:tcW w:w="110" w:type="dxa"/>
            <w:tcBorders/>
            <w:shd w:fill="FFFFFF" w:val="clear"/>
            <w:vAlign w:val="center"/>
          </w:tcPr>
          <w:p>
            <w:pPr>
              <w:pStyle w:val="TableContents"/>
              <w:bidi w:val="0"/>
              <w:spacing w:before="0" w:after="283"/>
              <w:jc w:val="left"/>
              <w:rPr/>
            </w:pPr>
            <w:r>
              <w:rPr/>
              <w:t>)</w:t>
            </w:r>
            <w:bookmarkStart w:id="1390" w:name="xdx_404_ecustom--NetCashProceedsFromTheM"/>
            <w:bookmarkEnd w:id="1390"/>
          </w:p>
        </w:tc>
      </w:tr>
      <w:tr>
        <w:trPr/>
        <w:tc>
          <w:tcPr>
            <w:tcW w:w="8915" w:type="dxa"/>
            <w:tcBorders/>
            <w:shd w:fill="CCEEFF" w:val="clear"/>
            <w:vAlign w:val="center"/>
          </w:tcPr>
          <w:p>
            <w:pPr>
              <w:pStyle w:val="TableContents"/>
              <w:bidi w:val="0"/>
              <w:spacing w:before="0" w:after="283"/>
              <w:jc w:val="left"/>
              <w:rPr/>
            </w:pPr>
            <w:r>
              <w:rPr/>
              <w:t>Net cash proceeds from the Merger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1" w:name="xdx_408_ecustom--MobixTransactionCostsPa"/>
            <w:bookmarkEnd w:id="1391"/>
          </w:p>
        </w:tc>
      </w:tr>
      <w:tr>
        <w:trPr/>
        <w:tc>
          <w:tcPr>
            <w:tcW w:w="8915" w:type="dxa"/>
            <w:tcBorders/>
            <w:shd w:fill="CCEEFF" w:val="clear"/>
            <w:vAlign w:val="center"/>
          </w:tcPr>
          <w:p>
            <w:pPr>
              <w:pStyle w:val="TableContents"/>
              <w:bidi w:val="0"/>
              <w:spacing w:before="0" w:after="283"/>
              <w:jc w:val="left"/>
              <w:rPr/>
            </w:pPr>
            <w:r>
              <w:rPr/>
              <w:t>Legacy Mobix Merger-related transaction costs paid prior to closing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w:t>
            </w:r>
            <w:bookmarkStart w:id="1392" w:name="xdx_404_ecustom--NetCashProceeds_pn3n3_z"/>
            <w:bookmarkEnd w:id="1392"/>
          </w:p>
        </w:tc>
      </w:tr>
      <w:tr>
        <w:trPr/>
        <w:tc>
          <w:tcPr>
            <w:tcW w:w="8915"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14,065</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Non-cash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3" w:name="xdx_40E_ecustom--ConversionOfLegacyMobix"/>
            <w:bookmarkEnd w:id="1393"/>
          </w:p>
        </w:tc>
      </w:tr>
      <w:tr>
        <w:trPr/>
        <w:tc>
          <w:tcPr>
            <w:tcW w:w="8915" w:type="dxa"/>
            <w:tcBorders/>
            <w:shd w:fill="CCEEFF" w:val="clear"/>
            <w:vAlign w:val="center"/>
          </w:tcPr>
          <w:p>
            <w:pPr>
              <w:pStyle w:val="TableContents"/>
              <w:bidi w:val="0"/>
              <w:spacing w:before="0" w:after="283"/>
              <w:jc w:val="left"/>
              <w:rPr/>
            </w:pPr>
            <w:r>
              <w:rPr/>
              <w:t>Conversion of Legacy Mobix convertible notes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jc w:val="left"/>
              <w:rPr/>
            </w:pPr>
            <w:r>
              <w:rPr/>
              <w:t> </w:t>
            </w:r>
            <w:bookmarkStart w:id="1394" w:name="xdx_40B_ecustom--ConversionOfLegacyMobix"/>
            <w:bookmarkEnd w:id="1394"/>
          </w:p>
        </w:tc>
      </w:tr>
      <w:tr>
        <w:trPr/>
        <w:tc>
          <w:tcPr>
            <w:tcW w:w="8915" w:type="dxa"/>
            <w:tcBorders/>
            <w:shd w:fill="FFFFFF" w:val="clear"/>
            <w:vAlign w:val="center"/>
          </w:tcPr>
          <w:p>
            <w:pPr>
              <w:pStyle w:val="TableContents"/>
              <w:bidi w:val="0"/>
              <w:spacing w:before="0" w:after="283"/>
              <w:jc w:val="left"/>
              <w:rPr/>
            </w:pPr>
            <w:r>
              <w:rPr/>
              <w:t>Conversion of Legacy Mobix SAFEs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1,522</w:t>
            </w:r>
          </w:p>
        </w:tc>
        <w:tc>
          <w:tcPr>
            <w:tcW w:w="110" w:type="dxa"/>
            <w:tcBorders/>
            <w:shd w:fill="FFFFFF" w:val="clear"/>
            <w:vAlign w:val="center"/>
          </w:tcPr>
          <w:p>
            <w:pPr>
              <w:pStyle w:val="TableContents"/>
              <w:bidi w:val="0"/>
              <w:spacing w:before="0" w:after="283"/>
              <w:jc w:val="left"/>
              <w:rPr/>
            </w:pPr>
            <w:r>
              <w:rPr/>
              <w:t> </w:t>
            </w:r>
            <w:bookmarkStart w:id="1395" w:name="xdx_409_eus-gaap--ConversionOfStockAmoun"/>
            <w:bookmarkEnd w:id="1395"/>
          </w:p>
        </w:tc>
      </w:tr>
      <w:tr>
        <w:trPr/>
        <w:tc>
          <w:tcPr>
            <w:tcW w:w="8915" w:type="dxa"/>
            <w:tcBorders/>
            <w:shd w:fill="CCEEFF" w:val="clear"/>
            <w:vAlign w:val="center"/>
          </w:tcPr>
          <w:p>
            <w:pPr>
              <w:pStyle w:val="TableContents"/>
              <w:bidi w:val="0"/>
              <w:spacing w:before="0" w:after="283"/>
              <w:jc w:val="left"/>
              <w:rPr/>
            </w:pPr>
            <w:r>
              <w:rPr/>
              <w:t>Conversion of Legacy Mobix redeemable convertible preferred stock to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2,300</w:t>
            </w:r>
          </w:p>
        </w:tc>
        <w:tc>
          <w:tcPr>
            <w:tcW w:w="110" w:type="dxa"/>
            <w:tcBorders/>
            <w:shd w:fill="CCEEFF" w:val="clear"/>
            <w:vAlign w:val="center"/>
          </w:tcPr>
          <w:p>
            <w:pPr>
              <w:pStyle w:val="TableContents"/>
              <w:bidi w:val="0"/>
              <w:spacing w:before="0" w:after="283"/>
              <w:jc w:val="left"/>
              <w:rPr/>
            </w:pPr>
            <w:r>
              <w:rPr/>
              <w:t> </w:t>
            </w:r>
            <w:bookmarkStart w:id="1396" w:name="xdx_406_eus-gaap--NoncashOrPartNoncashAc"/>
            <w:bookmarkEnd w:id="1396"/>
          </w:p>
        </w:tc>
      </w:tr>
      <w:tr>
        <w:trPr/>
        <w:tc>
          <w:tcPr>
            <w:tcW w:w="8915" w:type="dxa"/>
            <w:tcBorders/>
            <w:shd w:fill="FFFFFF" w:val="clear"/>
            <w:vAlign w:val="center"/>
          </w:tcPr>
          <w:p>
            <w:pPr>
              <w:pStyle w:val="TableContents"/>
              <w:bidi w:val="0"/>
              <w:spacing w:before="0" w:after="283"/>
              <w:jc w:val="left"/>
              <w:rPr/>
            </w:pPr>
            <w:r>
              <w:rPr/>
              <w:t>Unpaid Merger-related transaction costs assumed from Chavant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w:t>
            </w:r>
            <w:bookmarkStart w:id="1397" w:name="xdx_400_ecustom--UnpaidTransactionCostsO"/>
            <w:bookmarkEnd w:id="1397"/>
          </w:p>
        </w:tc>
      </w:tr>
      <w:tr>
        <w:trPr/>
        <w:tc>
          <w:tcPr>
            <w:tcW w:w="8915" w:type="dxa"/>
            <w:tcBorders/>
            <w:shd w:fill="CCEEFF" w:val="clear"/>
            <w:vAlign w:val="center"/>
          </w:tcPr>
          <w:p>
            <w:pPr>
              <w:pStyle w:val="TableContents"/>
              <w:bidi w:val="0"/>
              <w:spacing w:before="0" w:after="283"/>
              <w:jc w:val="left"/>
              <w:rPr/>
            </w:pPr>
            <w:r>
              <w:rPr/>
              <w:t>Unpaid Merger-related transaction costs of Legacy Mobix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(1,633</w:t>
            </w:r>
          </w:p>
        </w:tc>
        <w:tc>
          <w:tcPr>
            <w:tcW w:w="110" w:type="dxa"/>
            <w:tcBorders/>
            <w:shd w:fill="CCEEFF" w:val="clear"/>
            <w:vAlign w:val="center"/>
          </w:tcPr>
          <w:p>
            <w:pPr>
              <w:pStyle w:val="TableContents"/>
              <w:bidi w:val="0"/>
              <w:spacing w:before="0" w:after="283"/>
              <w:jc w:val="left"/>
              <w:rPr/>
            </w:pPr>
            <w:r>
              <w:rPr/>
              <w:t>)</w:t>
            </w:r>
            <w:bookmarkStart w:id="1398" w:name="xdx_403_eus-gaap--NoncashMergerRelatedCo"/>
            <w:bookmarkEnd w:id="1398"/>
          </w:p>
        </w:tc>
      </w:tr>
      <w:tr>
        <w:trPr/>
        <w:tc>
          <w:tcPr>
            <w:tcW w:w="891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Liability-classified instruments at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9" w:name="xdx_40B_ecustom--LiabilitiesRecognizedIn"/>
            <w:bookmarkEnd w:id="1399"/>
          </w:p>
        </w:tc>
      </w:tr>
      <w:tr>
        <w:trPr/>
        <w:tc>
          <w:tcPr>
            <w:tcW w:w="8915" w:type="dxa"/>
            <w:tcBorders/>
            <w:shd w:fill="CCEEFF" w:val="clear"/>
            <w:vAlign w:val="center"/>
          </w:tcPr>
          <w:p>
            <w:pPr>
              <w:pStyle w:val="TableContents"/>
              <w:bidi w:val="0"/>
              <w:spacing w:before="0" w:after="283"/>
              <w:jc w:val="left"/>
              <w:rPr/>
            </w:pPr>
            <w:r>
              <w:rPr/>
              <w:t>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(33,559</w:t>
            </w:r>
          </w:p>
        </w:tc>
        <w:tc>
          <w:tcPr>
            <w:tcW w:w="110" w:type="dxa"/>
            <w:tcBorders/>
            <w:shd w:fill="CCEEFF" w:val="clear"/>
            <w:vAlign w:val="center"/>
          </w:tcPr>
          <w:p>
            <w:pPr>
              <w:pStyle w:val="TableContents"/>
              <w:bidi w:val="0"/>
              <w:spacing w:before="0" w:after="283"/>
              <w:jc w:val="left"/>
              <w:rPr/>
            </w:pPr>
            <w:r>
              <w:rPr/>
              <w:t>)</w:t>
            </w:r>
            <w:bookmarkStart w:id="1400" w:name="xdx_40F_ecustom--LiabilitiesRecognizedIn"/>
            <w:bookmarkEnd w:id="1400"/>
          </w:p>
        </w:tc>
      </w:tr>
      <w:tr>
        <w:trPr/>
        <w:tc>
          <w:tcPr>
            <w:tcW w:w="8915" w:type="dxa"/>
            <w:tcBorders/>
            <w:shd w:fill="FFFFFF" w:val="clear"/>
            <w:vAlign w:val="center"/>
          </w:tcPr>
          <w:p>
            <w:pPr>
              <w:pStyle w:val="TableContents"/>
              <w:bidi w:val="0"/>
              <w:spacing w:before="0" w:after="283"/>
              <w:jc w:val="left"/>
              <w:rPr/>
            </w:pPr>
            <w:r>
              <w:rPr/>
              <w:t>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(2,071</w:t>
            </w:r>
          </w:p>
        </w:tc>
        <w:tc>
          <w:tcPr>
            <w:tcW w:w="110" w:type="dxa"/>
            <w:tcBorders/>
            <w:shd w:fill="FFFFFF" w:val="clear"/>
            <w:vAlign w:val="center"/>
          </w:tcPr>
          <w:p>
            <w:pPr>
              <w:pStyle w:val="TableContents"/>
              <w:bidi w:val="0"/>
              <w:spacing w:before="0" w:after="283"/>
              <w:jc w:val="left"/>
              <w:rPr/>
            </w:pPr>
            <w:r>
              <w:rPr/>
              <w:t>)</w:t>
            </w:r>
            <w:bookmarkStart w:id="1401" w:name="xdx_40E_ecustom--LiabilitiesRecognizedIn"/>
            <w:bookmarkEnd w:id="1401"/>
          </w:p>
        </w:tc>
      </w:tr>
      <w:tr>
        <w:trPr/>
        <w:tc>
          <w:tcPr>
            <w:tcW w:w="8915" w:type="dxa"/>
            <w:tcBorders/>
            <w:shd w:fill="CCEEFF" w:val="clear"/>
            <w:vAlign w:val="center"/>
          </w:tcPr>
          <w:p>
            <w:pPr>
              <w:pStyle w:val="TableContents"/>
              <w:bidi w:val="0"/>
              <w:spacing w:before="0" w:after="283"/>
              <w:jc w:val="left"/>
              <w:rPr/>
            </w:pPr>
            <w:r>
              <w:rPr/>
              <w:t>Fair value of Private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bookmarkStart w:id="1402" w:name="xdx_408_ecustom--StockIssuedDuringPeriod"/>
            <w:bookmarkEnd w:id="1402"/>
          </w:p>
        </w:tc>
      </w:tr>
      <w:tr>
        <w:trPr/>
        <w:tc>
          <w:tcPr>
            <w:tcW w:w="8915" w:type="dxa"/>
            <w:tcBorders/>
            <w:shd w:fill="FFFFFF" w:val="clear"/>
            <w:vAlign w:val="center"/>
          </w:tcPr>
          <w:p>
            <w:pPr>
              <w:pStyle w:val="TableContents"/>
              <w:bidi w:val="0"/>
              <w:spacing w:before="0" w:after="283"/>
              <w:jc w:val="left"/>
              <w:rPr/>
            </w:pPr>
            <w:r>
              <w:rPr/>
              <w:t>Net equity impact of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403" w:name="xdx_8A9_zQfjjkKlUOm8"/>
      <w:bookmarkEnd w:id="14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the Company paid $</w:t>
      </w:r>
      <w:bookmarkStart w:id="1404" w:name="xdx_903_eus-gaap--BusinessAcquisitionCos"/>
      <w:bookmarkEnd w:id="1404"/>
      <w:r>
        <w:rPr>
          <w:rFonts w:ascii="Times New Roman;Times;Serif" w:hAnsi="Times New Roman;Times;Serif"/>
          <w:b w:val="false"/>
          <w:i w:val="false"/>
          <w:caps w:val="false"/>
          <w:smallCaps w:val="false"/>
          <w:sz w:val="20"/>
        </w:rPr>
        <w:t>982 of the Merger-related transaction costs and negotiated a $</w:t>
      </w:r>
      <w:bookmarkStart w:id="1405" w:name="xdx_905_ecustom--ReductionOfUnpaidTransa"/>
      <w:bookmarkEnd w:id="1405"/>
      <w:r>
        <w:rPr>
          <w:rFonts w:ascii="Times New Roman;Times;Serif" w:hAnsi="Times New Roman;Times;Serif"/>
          <w:b w:val="false"/>
          <w:i w:val="false"/>
          <w:caps w:val="false"/>
          <w:smallCaps w:val="false"/>
          <w:sz w:val="20"/>
        </w:rPr>
        <w:t>99 reduction of the unpaid transaction costs.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06" w:name="xdx_80A_eus-gaap--BusinessAcquisitionInt"/>
      <w:bookmarkEnd w:id="1406"/>
      <w:r>
        <w:rPr>
          <w:rFonts w:ascii="Times New Roman;Times;Serif" w:hAnsi="Times New Roman;Times;Serif"/>
          <w:b/>
          <w:i w:val="false"/>
          <w:caps w:val="false"/>
          <w:smallCaps w:val="false"/>
          <w:sz w:val="20"/>
        </w:rPr>
        <w:t xml:space="preserve">Note 4 — </w:t>
      </w:r>
      <w:bookmarkStart w:id="1407" w:name="xdx_82B_zaXxlawwPGVj"/>
      <w:bookmarkEnd w:id="1407"/>
      <w:r>
        <w:rPr>
          <w:rFonts w:ascii="Times New Roman;Times;Serif" w:hAnsi="Times New Roman;Times;Serif"/>
          <w:b/>
          <w:i w:val="false"/>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08" w:name="xdx_893_eus-gaap--ScheduleOfBusinessAcqu"/>
      <w:bookmarkEnd w:id="1408"/>
      <w:r>
        <w:rPr>
          <w:rFonts w:ascii="Times New Roman;Times;Serif" w:hAnsi="Times New Roman;Times;Serif"/>
          <w:b w:val="false"/>
          <w:i w:val="false"/>
          <w:caps w:val="false"/>
          <w:smallCaps w:val="false"/>
          <w:sz w:val="20"/>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pStyle w:val="TextBody"/>
        <w:bidi w:val="0"/>
        <w:spacing w:before="0" w:after="0"/>
        <w:ind w:left="0" w:right="0" w:hanging="0"/>
        <w:jc w:val="left"/>
        <w:rPr>
          <w:caps w:val="false"/>
          <w:smallCaps w:val="false"/>
        </w:rPr>
      </w:pPr>
      <w:r>
        <w:rPr>
          <w:caps w:val="false"/>
          <w:smallCaps w:val="false"/>
        </w:rPr>
        <w:t> </w:t>
      </w:r>
      <w:bookmarkStart w:id="1409" w:name="xdx_8B1_zlAjX9tDgR27"/>
      <w:bookmarkEnd w:id="1409"/>
      <w:r>
        <w:rPr>
          <w:rFonts w:ascii="Times New Roman;Times;Serif" w:hAnsi="Times New Roman;Times;Serif"/>
          <w:b w:val="false"/>
          <w:i w:val="false"/>
          <w:caps w:val="false"/>
          <w:smallCaps w:val="false"/>
          <w:sz w:val="20"/>
        </w:rPr>
        <w:t>Schedule of Purchase Consideration and Allocation </w:t>
      </w:r>
    </w:p>
    <w:tbl>
      <w:tblPr>
        <w:tblW w:w="7028" w:type="dxa"/>
        <w:jc w:val="left"/>
        <w:tblInd w:w="0" w:type="dxa"/>
        <w:tblLayout w:type="fixed"/>
        <w:tblCellMar>
          <w:top w:w="0" w:type="dxa"/>
          <w:left w:w="0" w:type="dxa"/>
          <w:bottom w:w="0" w:type="dxa"/>
          <w:right w:w="0" w:type="dxa"/>
        </w:tblCellMar>
      </w:tblPr>
      <w:tblGrid>
        <w:gridCol w:w="3845"/>
        <w:gridCol w:w="60"/>
        <w:gridCol w:w="238"/>
        <w:gridCol w:w="1161"/>
        <w:gridCol w:w="95"/>
        <w:gridCol w:w="60"/>
        <w:gridCol w:w="262"/>
        <w:gridCol w:w="1197"/>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0" w:name="xdx_49E_20231218__20231218__us-gaap--Bus"/>
            <w:bookmarkEnd w:id="1410"/>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EMI 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1" w:name="xdx_49E_20240521__20240521__us-gaap--Bus"/>
            <w:bookmarkEnd w:id="1411"/>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RaGE Systems</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2" w:name="xdx_409_ecustom--ContingentlyRedeemableC"/>
            <w:bookmarkEnd w:id="1412"/>
          </w:p>
        </w:tc>
      </w:tr>
      <w:tr>
        <w:trPr/>
        <w:tc>
          <w:tcPr>
            <w:tcW w:w="3845" w:type="dxa"/>
            <w:tcBorders/>
            <w:shd w:fill="FFFFFF" w:val="clear"/>
            <w:vAlign w:val="center"/>
          </w:tcPr>
          <w:p>
            <w:pPr>
              <w:pStyle w:val="TableContents"/>
              <w:bidi w:val="0"/>
              <w:spacing w:before="0" w:after="283"/>
              <w:jc w:val="left"/>
              <w:rPr/>
            </w:pPr>
            <w:r>
              <w:rPr/>
              <w:t>Contingently redeemable common stock</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1" w:type="dxa"/>
            <w:tcBorders/>
            <w:shd w:fill="FFFFFF" w:val="clear"/>
            <w:vAlign w:val="center"/>
          </w:tcPr>
          <w:p>
            <w:pPr>
              <w:pStyle w:val="TableContents"/>
              <w:bidi w:val="0"/>
              <w:spacing w:before="0" w:after="283"/>
              <w:jc w:val="right"/>
              <w:rPr/>
            </w:pPr>
            <w:r>
              <w:rPr/>
              <w:t>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13" w:name="xdx_401_ecustom--PurchaseConsiderationOf"/>
            <w:bookmarkEnd w:id="1413"/>
          </w:p>
        </w:tc>
      </w:tr>
      <w:tr>
        <w:trPr/>
        <w:tc>
          <w:tcPr>
            <w:tcW w:w="3845"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bookmarkStart w:id="1414" w:name="xdx_409_eus-gaap--PaymentsToAcquireBusin"/>
            <w:bookmarkEnd w:id="1414"/>
          </w:p>
        </w:tc>
      </w:tr>
      <w:tr>
        <w:trPr/>
        <w:tc>
          <w:tcPr>
            <w:tcW w:w="3845" w:type="dxa"/>
            <w:tcBorders/>
            <w:shd w:fill="FFFFFF" w:val="clear"/>
            <w:vAlign w:val="center"/>
          </w:tcPr>
          <w:p>
            <w:pPr>
              <w:pStyle w:val="TableContents"/>
              <w:bidi w:val="0"/>
              <w:spacing w:before="0" w:after="283"/>
              <w:jc w:val="left"/>
              <w:rPr/>
            </w:pPr>
            <w:r>
              <w:rPr/>
              <w:t>Cash consideration (at present value)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2,041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1,836</w:t>
            </w:r>
          </w:p>
        </w:tc>
        <w:tc>
          <w:tcPr>
            <w:tcW w:w="110" w:type="dxa"/>
            <w:tcBorders/>
            <w:shd w:fill="FFFFFF" w:val="clear"/>
            <w:vAlign w:val="center"/>
          </w:tcPr>
          <w:p>
            <w:pPr>
              <w:pStyle w:val="TableContents"/>
              <w:bidi w:val="0"/>
              <w:spacing w:before="0" w:after="283"/>
              <w:jc w:val="left"/>
              <w:rPr/>
            </w:pPr>
            <w:r>
              <w:rPr/>
              <w:t> </w:t>
            </w:r>
            <w:bookmarkStart w:id="1415" w:name="xdx_409_eus-gaap--BusinessCombinationCon"/>
            <w:bookmarkEnd w:id="1415"/>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Allocation: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bookmarkStart w:id="1416" w:name="xdx_98B_eus-gaap--BusinessCombinationRec"/>
            <w:bookmarkEnd w:id="1416"/>
          </w:p>
        </w:tc>
        <w:tc>
          <w:tcPr>
            <w:tcW w:w="116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bookmarkStart w:id="1417" w:name="xdx_989_eus-gaap--BusinessCombinationRec"/>
            <w:bookmarkEnd w:id="1417"/>
          </w:p>
        </w:tc>
        <w:tc>
          <w:tcPr>
            <w:tcW w:w="1197"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18" w:name="xdx_988_eus-gaap--BusinessCombinationRec"/>
            <w:bookmarkEnd w:id="1418"/>
          </w:p>
        </w:tc>
        <w:tc>
          <w:tcPr>
            <w:tcW w:w="1161"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19" w:name="xdx_988_eus-gaap--BusinessCombinationRec"/>
            <w:bookmarkEnd w:id="1419"/>
          </w:p>
        </w:tc>
        <w:tc>
          <w:tcPr>
            <w:tcW w:w="1197" w:type="dxa"/>
            <w:tcBorders/>
            <w:shd w:fill="FFFFFF" w:val="clear"/>
            <w:vAlign w:val="center"/>
          </w:tcPr>
          <w:p>
            <w:pPr>
              <w:pStyle w:val="TableContents"/>
              <w:bidi w:val="0"/>
              <w:spacing w:before="0" w:after="283"/>
              <w:jc w:val="right"/>
              <w:rPr/>
            </w:pPr>
            <w:r>
              <w:rPr/>
              <w:t>558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20" w:name="xdx_980_eus-gaap--BusinessCombinationRec"/>
            <w:bookmarkEnd w:id="1420"/>
          </w:p>
        </w:tc>
        <w:tc>
          <w:tcPr>
            <w:tcW w:w="1161"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21" w:name="xdx_98E_eus-gaap--BusinessCombinationRec"/>
            <w:bookmarkEnd w:id="1421"/>
          </w:p>
        </w:tc>
        <w:tc>
          <w:tcPr>
            <w:tcW w:w="1197" w:type="dxa"/>
            <w:tcBorders/>
            <w:shd w:fill="CCEEFF" w:val="clear"/>
            <w:vAlign w:val="center"/>
          </w:tcPr>
          <w:p>
            <w:pPr>
              <w:pStyle w:val="TableContents"/>
              <w:bidi w:val="0"/>
              <w:spacing w:before="0" w:after="283"/>
              <w:jc w:val="right"/>
              <w:rPr/>
            </w:pPr>
            <w:r>
              <w:rPr/>
              <w:t>1,146</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22" w:name="xdx_988_eus-gaap--BusinessCombinationRec"/>
            <w:bookmarkEnd w:id="1422"/>
          </w:p>
        </w:tc>
        <w:tc>
          <w:tcPr>
            <w:tcW w:w="1161"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23" w:name="xdx_981_eus-gaap--BusinessCombinationRec"/>
            <w:bookmarkEnd w:id="1423"/>
          </w:p>
        </w:tc>
        <w:tc>
          <w:tcPr>
            <w:tcW w:w="1197"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24" w:name="xdx_985_eus-gaap--BusinessCombinationRec"/>
            <w:bookmarkEnd w:id="1424"/>
          </w:p>
        </w:tc>
        <w:tc>
          <w:tcPr>
            <w:tcW w:w="116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25" w:name="xdx_98C_eus-gaap--BusinessCombinationRec"/>
            <w:bookmarkEnd w:id="1425"/>
          </w:p>
        </w:tc>
        <w:tc>
          <w:tcPr>
            <w:tcW w:w="1197"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asset—customer relationships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26" w:name="xdx_984_eus-gaap--BusinessCombinationRec"/>
            <w:bookmarkEnd w:id="1426"/>
          </w:p>
        </w:tc>
        <w:tc>
          <w:tcPr>
            <w:tcW w:w="1161"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27" w:name="xdx_989_eus-gaap--BusinessCombinationRec"/>
            <w:bookmarkEnd w:id="1427"/>
          </w:p>
        </w:tc>
        <w:tc>
          <w:tcPr>
            <w:tcW w:w="1197" w:type="dxa"/>
            <w:tcBorders/>
            <w:shd w:fill="FFFFFF" w:val="clear"/>
            <w:vAlign w:val="center"/>
          </w:tcPr>
          <w:p>
            <w:pPr>
              <w:pStyle w:val="TableContents"/>
              <w:bidi w:val="0"/>
              <w:spacing w:before="0" w:after="283"/>
              <w:jc w:val="right"/>
              <w:rPr/>
            </w:pPr>
            <w:r>
              <w:rPr/>
              <w:t>7,400</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asset—developed technology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28" w:name="xdx_98D_eus-gaap--BusinessCombinationRec"/>
            <w:bookmarkEnd w:id="1428"/>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29" w:name="xdx_982_eus-gaap--BusinessCombinationRec"/>
            <w:bookmarkEnd w:id="1429"/>
          </w:p>
        </w:tc>
        <w:tc>
          <w:tcPr>
            <w:tcW w:w="1197"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asset—backlog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30" w:name="xdx_98A_eus-gaap--BusinessCombinationRec"/>
            <w:bookmarkEnd w:id="1430"/>
          </w:p>
        </w:tc>
        <w:tc>
          <w:tcPr>
            <w:tcW w:w="116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31" w:name="xdx_989_eus-gaap--BusinessCombinationRec"/>
            <w:bookmarkEnd w:id="1431"/>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asset—trade name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32" w:name="xdx_98E_eus-gaap--BusinessCombinationRec"/>
            <w:bookmarkEnd w:id="1432"/>
          </w:p>
        </w:tc>
        <w:tc>
          <w:tcPr>
            <w:tcW w:w="116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33" w:name="xdx_98A_eus-gaap--BusinessCombinationRec"/>
            <w:bookmarkEnd w:id="1433"/>
          </w:p>
        </w:tc>
        <w:tc>
          <w:tcPr>
            <w:tcW w:w="1197"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34" w:name="xdx_98D_eus-gaap--Goodwill_iI_pn3n3_c202"/>
            <w:bookmarkEnd w:id="1434"/>
          </w:p>
        </w:tc>
        <w:tc>
          <w:tcPr>
            <w:tcW w:w="1161"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35" w:name="xdx_982_eus-gaap--Goodwill_iI_pn3n3_c202"/>
            <w:bookmarkEnd w:id="1435"/>
          </w:p>
        </w:tc>
        <w:tc>
          <w:tcPr>
            <w:tcW w:w="1197"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36" w:name="xdx_986_ecustom--BusinessCombinationReco"/>
            <w:bookmarkEnd w:id="1436"/>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37" w:name="xdx_98B_ecustom--BusinessCombinationReco"/>
            <w:bookmarkEnd w:id="1437"/>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38" w:name="xdx_98C_eus-gaap--BusinessCombinationRec"/>
            <w:bookmarkEnd w:id="1438"/>
          </w:p>
        </w:tc>
        <w:tc>
          <w:tcPr>
            <w:tcW w:w="116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39" w:name="xdx_986_eus-gaap--BusinessCombinationRec"/>
            <w:bookmarkEnd w:id="1439"/>
          </w:p>
        </w:tc>
        <w:tc>
          <w:tcPr>
            <w:tcW w:w="1197"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40" w:name="xdx_983_eus-gaap--BusinessCombinationRec"/>
            <w:bookmarkEnd w:id="1440"/>
          </w:p>
        </w:tc>
        <w:tc>
          <w:tcPr>
            <w:tcW w:w="11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41" w:name="xdx_98C_eus-gaap--BusinessCombinationRec"/>
            <w:bookmarkEnd w:id="1441"/>
          </w:p>
        </w:tc>
        <w:tc>
          <w:tcPr>
            <w:tcW w:w="1197"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bookmarkStart w:id="1442" w:name="xdx_989_eus-gaap--BusinessCombinationRec"/>
            <w:bookmarkEnd w:id="1442"/>
          </w:p>
        </w:tc>
        <w:tc>
          <w:tcPr>
            <w:tcW w:w="1161"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bookmarkStart w:id="1443" w:name="xdx_983_eus-gaap--BusinessCombinationRec"/>
            <w:bookmarkEnd w:id="1443"/>
          </w:p>
        </w:tc>
        <w:tc>
          <w:tcPr>
            <w:tcW w:w="1197" w:type="dxa"/>
            <w:tcBorders/>
            <w:shd w:fill="FFFFFF" w:val="cle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bookmarkStart w:id="1444" w:name="xdx_98E_eus-gaap--BusinessCombinationRec"/>
            <w:bookmarkEnd w:id="1444"/>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bookmarkStart w:id="1445" w:name="xdx_98A_eus-gaap--BusinessCombinationRec"/>
            <w:bookmarkEnd w:id="1445"/>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46" w:name="xdx_989_eus-gaap--BusinessCombinationRec"/>
            <w:bookmarkEnd w:id="1446"/>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(1,084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47" w:name="xdx_986_eus-gaap--BusinessCombinationRec"/>
            <w:bookmarkEnd w:id="1447"/>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48" w:name="xdx_98C_eus-gaap--BusinessCombinationRec"/>
            <w:bookmarkEnd w:id="1448"/>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449" w:name="xdx_98C_eus-gaap--BusinessCombinationRec"/>
            <w:bookmarkEnd w:id="1449"/>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450" w:name="xdx_8AC_zgzm3KJUcr24"/>
      <w:bookmarkEnd w:id="145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EMI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w:t>
      </w:r>
      <w:bookmarkStart w:id="1451" w:name="xdx_902_eus-gaap--StockIssuedDuringPerio"/>
      <w:bookmarkEnd w:id="1451"/>
      <w:r>
        <w:rPr>
          <w:rFonts w:ascii="Times New Roman;Times;Serif" w:hAnsi="Times New Roman;Times;Serif"/>
          <w:b w:val="false"/>
          <w:i w:val="false"/>
          <w:caps w:val="false"/>
          <w:smallCaps w:val="false"/>
          <w:sz w:val="20"/>
        </w:rPr>
        <w:t>96,491 shares of the Company’s common stock with an estimated fair value of $</w:t>
      </w:r>
      <w:bookmarkStart w:id="1452" w:name="xdx_906_eus-gaap--BusinessCombinationAcq"/>
      <w:bookmarkEnd w:id="1452"/>
      <w:r>
        <w:rPr>
          <w:rFonts w:ascii="Times New Roman;Times;Serif" w:hAnsi="Times New Roman;Times;Serif"/>
          <w:b w:val="false"/>
          <w:i w:val="false"/>
          <w:caps w:val="false"/>
          <w:smallCaps w:val="false"/>
          <w:sz w:val="20"/>
        </w:rPr>
        <w:t>8,856 and $</w:t>
      </w:r>
      <w:bookmarkStart w:id="1453" w:name="xdx_909_eus-gaap--CashAcquiredInExcessOf"/>
      <w:bookmarkEnd w:id="1453"/>
      <w:r>
        <w:rPr>
          <w:rFonts w:ascii="Times New Roman;Times;Serif" w:hAnsi="Times New Roman;Times;Serif"/>
          <w:b w:val="false"/>
          <w:i w:val="false"/>
          <w:caps w:val="false"/>
          <w:smallCaps w:val="false"/>
          <w:sz w:val="20"/>
        </w:rPr>
        <w:t>2,200 in cash. Of the cash portion of the consideration, the Company paid $</w:t>
      </w:r>
      <w:bookmarkStart w:id="1454" w:name="xdx_906_eus-gaap--AcquisitionCosts_pn3n3"/>
      <w:bookmarkEnd w:id="1454"/>
      <w:r>
        <w:rPr>
          <w:rFonts w:ascii="Times New Roman;Times;Serif" w:hAnsi="Times New Roman;Times;Serif"/>
          <w:b w:val="false"/>
          <w:i w:val="false"/>
          <w:caps w:val="false"/>
          <w:smallCaps w:val="false"/>
          <w:sz w:val="20"/>
        </w:rPr>
        <w:t>155 at the time of the consummation of the acquisition and through September 30, 2025 the Company paid an additional $</w:t>
      </w:r>
      <w:bookmarkStart w:id="1455" w:name="xdx_904_eus-gaap--BusinessCombinationSep"/>
      <w:bookmarkEnd w:id="1455"/>
      <w:r>
        <w:rPr>
          <w:rFonts w:ascii="Times New Roman;Times;Serif" w:hAnsi="Times New Roman;Times;Serif"/>
          <w:b w:val="false"/>
          <w:i w:val="false"/>
          <w:caps w:val="false"/>
          <w:smallCaps w:val="false"/>
          <w:sz w:val="20"/>
        </w:rPr>
        <w:t>1,522. The remaining $</w:t>
      </w:r>
      <w:bookmarkStart w:id="1456" w:name="xdx_908_eus-gaap--Cash_iI_pn3n3_c2025093"/>
      <w:bookmarkEnd w:id="1456"/>
      <w:r>
        <w:rPr>
          <w:rFonts w:ascii="Times New Roman;Times;Serif" w:hAnsi="Times New Roman;Times;Serif"/>
          <w:b w:val="false"/>
          <w:i w:val="false"/>
          <w:caps w:val="false"/>
          <w:smallCaps w:val="false"/>
          <w:sz w:val="20"/>
        </w:rPr>
        <w:t>523 cash portion of the consideration is currently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w:t>
      </w:r>
      <w:bookmarkStart w:id="1457" w:name="xdx_902_eus-gaap--StockIssuedDuringPerio"/>
      <w:bookmarkEnd w:id="1457"/>
      <w:r>
        <w:rPr>
          <w:rFonts w:ascii="Times New Roman;Times;Serif" w:hAnsi="Times New Roman;Times;Serif"/>
          <w:b w:val="false"/>
          <w:i w:val="false"/>
          <w:caps w:val="false"/>
          <w:smallCaps w:val="false"/>
          <w:sz w:val="20"/>
        </w:rPr>
        <w:t>96,491 shares of common stock for a cash amount equal to $</w:t>
      </w:r>
      <w:bookmarkStart w:id="1458" w:name="xdx_90A_eus-gaap--SaleOfStockPricePerSha"/>
      <w:bookmarkEnd w:id="1458"/>
      <w:r>
        <w:rPr>
          <w:rFonts w:ascii="Times New Roman;Times;Serif" w:hAnsi="Times New Roman;Times;Serif"/>
          <w:b w:val="false"/>
          <w:i w:val="false"/>
          <w:caps w:val="false"/>
          <w:smallCaps w:val="false"/>
          <w:sz w:val="20"/>
        </w:rPr>
        <w:t xml:space="preserve">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w:t>
      </w:r>
      <w:bookmarkStart w:id="1459" w:name="xdx_907_eus-gaap--StockRepurchasedDuring"/>
      <w:bookmarkEnd w:id="1459"/>
      <w:r>
        <w:rPr>
          <w:rFonts w:ascii="Times New Roman;Times;Serif" w:hAnsi="Times New Roman;Times;Serif"/>
          <w:b w:val="false"/>
          <w:i w:val="false"/>
          <w:caps w:val="false"/>
          <w:smallCaps w:val="false"/>
          <w:sz w:val="20"/>
        </w:rPr>
        <w:t>96,491 shares of its common stock for cash were not within the Company’s control. At the time of completion of the acquisition, the Company estimated the fair value of the contingently redeemable common stock at $</w:t>
      </w:r>
      <w:bookmarkStart w:id="1460" w:name="xdx_908_eus-gaap--CommonStockValue_iI_pn"/>
      <w:bookmarkEnd w:id="1460"/>
      <w:r>
        <w:rPr>
          <w:rFonts w:ascii="Times New Roman;Times;Serif" w:hAnsi="Times New Roman;Times;Serif"/>
          <w:b w:val="false"/>
          <w:i w:val="false"/>
          <w:caps w:val="false"/>
          <w:smallCaps w:val="false"/>
          <w:sz w:val="20"/>
        </w:rPr>
        <w:t xml:space="preserve">8,856, based upon the fair value of the Legacy Mobix common stock, adjusted to include the fair value of the put right. The Company estimated the fair value of the put right using the Black-Scholes option pricing model with the following assumptions: expected volatility of </w:t>
      </w:r>
      <w:bookmarkStart w:id="1461" w:name="xdx_90B_eus-gaap--BusinessCombinationCon"/>
      <w:bookmarkEnd w:id="1461"/>
      <w:r>
        <w:rPr>
          <w:rFonts w:ascii="Times New Roman;Times;Serif" w:hAnsi="Times New Roman;Times;Serif"/>
          <w:b w:val="false"/>
          <w:i w:val="false"/>
          <w:caps w:val="false"/>
          <w:smallCaps w:val="false"/>
          <w:sz w:val="20"/>
        </w:rPr>
        <w:t xml:space="preserve">55.0%; </w:t>
      </w:r>
      <w:bookmarkStart w:id="1462" w:name="xdx_902_eus-gaap--BusinessCombinationCon"/>
      <w:bookmarkEnd w:id="1462"/>
      <w:r>
        <w:rPr>
          <w:rFonts w:ascii="Times New Roman;Times;Serif" w:hAnsi="Times New Roman;Times;Serif"/>
          <w:b w:val="false"/>
          <w:i w:val="false"/>
          <w:caps w:val="false"/>
          <w:smallCaps w:val="false"/>
          <w:sz w:val="20"/>
        </w:rPr>
        <w:t xml:space="preserve">no expected dividend yield; risk-free interest rate of </w:t>
      </w:r>
      <w:bookmarkStart w:id="1463" w:name="xdx_909_eus-gaap--BusinessCombinationCon"/>
      <w:bookmarkEnd w:id="1463"/>
      <w:r>
        <w:rPr>
          <w:rFonts w:ascii="Times New Roman;Times;Serif" w:hAnsi="Times New Roman;Times;Serif"/>
          <w:b w:val="false"/>
          <w:i w:val="false"/>
          <w:caps w:val="false"/>
          <w:smallCaps w:val="false"/>
          <w:sz w:val="20"/>
        </w:rPr>
        <w:t xml:space="preserve">4.5%; and a contractual term of </w:t>
      </w:r>
      <w:bookmarkStart w:id="1464" w:name="xdx_90F_ecustom--BusinessCombinationCont"/>
      <w:bookmarkEnd w:id="1464"/>
      <w:r>
        <w:rPr>
          <w:rFonts w:ascii="Times New Roman;Times;Serif" w:hAnsi="Times New Roman;Times;Serif"/>
          <w:b w:val="false"/>
          <w:i w:val="false"/>
          <w:caps w:val="false"/>
          <w:smallCaps w:val="false"/>
          <w:sz w:val="20"/>
        </w:rPr>
        <w:t>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w:t>
      </w:r>
      <w:bookmarkStart w:id="1465" w:name="xdx_905_eus-gaap--ReclassificationsOfTem"/>
      <w:bookmarkEnd w:id="1465"/>
      <w:r>
        <w:rPr>
          <w:rFonts w:ascii="Times New Roman;Times;Serif" w:hAnsi="Times New Roman;Times;Serif"/>
          <w:b w:val="false"/>
          <w:i w:val="false"/>
          <w:caps w:val="false"/>
          <w:smallCaps w:val="false"/>
          <w:sz w:val="20"/>
        </w:rPr>
        <w:t>8,856, with no gain or loss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w:t>
      </w:r>
      <w:bookmarkStart w:id="1466" w:name="xdx_90B_eus-gaap--Revenues_pn3n3_c202410"/>
      <w:bookmarkEnd w:id="1466"/>
      <w:r>
        <w:rPr>
          <w:rFonts w:ascii="Times New Roman;Times;Serif" w:hAnsi="Times New Roman;Times;Serif"/>
          <w:b w:val="false"/>
          <w:i w:val="false"/>
          <w:caps w:val="false"/>
          <w:smallCaps w:val="false"/>
          <w:sz w:val="20"/>
        </w:rPr>
        <w:t>3,937 and $(</w:t>
      </w:r>
      <w:bookmarkStart w:id="1467" w:name="xdx_90B_eus-gaap--OtherComprehensiveInco"/>
      <w:bookmarkEnd w:id="1467"/>
      <w:r>
        <w:rPr>
          <w:rFonts w:ascii="Times New Roman;Times;Serif" w:hAnsi="Times New Roman;Times;Serif"/>
          <w:b w:val="false"/>
          <w:i w:val="false"/>
          <w:caps w:val="false"/>
          <w:smallCaps w:val="false"/>
          <w:sz w:val="20"/>
        </w:rPr>
        <w:t>312), respectively, for the year ended September 30, 2025 and $</w:t>
      </w:r>
      <w:bookmarkStart w:id="1468" w:name="xdx_905_eus-gaap--Revenues_pn3n3_c202310"/>
      <w:bookmarkEnd w:id="1468"/>
      <w:r>
        <w:rPr>
          <w:rFonts w:ascii="Times New Roman;Times;Serif" w:hAnsi="Times New Roman;Times;Serif"/>
          <w:b w:val="false"/>
          <w:i w:val="false"/>
          <w:caps w:val="false"/>
          <w:smallCaps w:val="false"/>
          <w:sz w:val="20"/>
        </w:rPr>
        <w:t>2,774 and $(</w:t>
      </w:r>
      <w:bookmarkStart w:id="1469" w:name="xdx_904_eus-gaap--OtherComprehensiveInco"/>
      <w:bookmarkEnd w:id="1469"/>
      <w:r>
        <w:rPr>
          <w:rFonts w:ascii="Times New Roman;Times;Serif" w:hAnsi="Times New Roman;Times;Serif"/>
          <w:b w:val="false"/>
          <w:i w:val="false"/>
          <w:caps w:val="false"/>
          <w:smallCaps w:val="false"/>
          <w:sz w:val="20"/>
        </w:rPr>
        <w:t>887), respectively,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RaGE Systems,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w:t>
      </w:r>
      <w:bookmarkStart w:id="1470" w:name="xdx_900_eus-gaap--BusinessCombinationCon"/>
      <w:bookmarkEnd w:id="1470"/>
      <w:r>
        <w:rPr>
          <w:rFonts w:ascii="Times New Roman;Times;Serif" w:hAnsi="Times New Roman;Times;Serif"/>
          <w:b w:val="false"/>
          <w:i w:val="false"/>
          <w:caps w:val="false"/>
          <w:smallCaps w:val="false"/>
          <w:sz w:val="20"/>
        </w:rPr>
        <w:t xml:space="preserve">9,518, consisting of </w:t>
      </w:r>
      <w:bookmarkStart w:id="1471" w:name="xdx_908_eus-gaap--ExcessStockSharesIssue"/>
      <w:bookmarkEnd w:id="1471"/>
      <w:r>
        <w:rPr>
          <w:rFonts w:ascii="Times New Roman;Times;Serif" w:hAnsi="Times New Roman;Times;Serif"/>
          <w:b w:val="false"/>
          <w:i w:val="false"/>
          <w:caps w:val="false"/>
          <w:smallCaps w:val="false"/>
          <w:sz w:val="20"/>
        </w:rPr>
        <w:t>321,404 shares of the Company’s Class A Common Stock having a fair value of $</w:t>
      </w:r>
      <w:bookmarkStart w:id="1472" w:name="xdx_909_eus-gaap--BusinessCombinationAcq"/>
      <w:bookmarkEnd w:id="1472"/>
      <w:r>
        <w:rPr>
          <w:rFonts w:ascii="Times New Roman;Times;Serif" w:hAnsi="Times New Roman;Times;Serif"/>
          <w:b w:val="false"/>
          <w:i w:val="false"/>
          <w:caps w:val="false"/>
          <w:smallCaps w:val="false"/>
          <w:sz w:val="20"/>
        </w:rPr>
        <w:t>7,682 and $</w:t>
      </w:r>
      <w:bookmarkStart w:id="1473" w:name="xdx_901_eus-gaap--CashAcquiredInExcessOf"/>
      <w:bookmarkEnd w:id="1473"/>
      <w:r>
        <w:rPr>
          <w:rFonts w:ascii="Times New Roman;Times;Serif" w:hAnsi="Times New Roman;Times;Serif"/>
          <w:b w:val="false"/>
          <w:i w:val="false"/>
          <w:caps w:val="false"/>
          <w:smallCaps w:val="false"/>
          <w:sz w:val="20"/>
        </w:rPr>
        <w:t>2,000 in cash, of which the Company paid $</w:t>
      </w:r>
      <w:bookmarkStart w:id="1474" w:name="xdx_902_eus-gaap--AccountsPayableFairVal"/>
      <w:bookmarkEnd w:id="1474"/>
      <w:r>
        <w:rPr>
          <w:rFonts w:ascii="Times New Roman;Times;Serif" w:hAnsi="Times New Roman;Times;Serif"/>
          <w:b w:val="false"/>
          <w:i w:val="false"/>
          <w:caps w:val="false"/>
          <w:smallCaps w:val="false"/>
          <w:sz w:val="20"/>
        </w:rPr>
        <w:t>200 during the year ended September 30, 2024 and as of September 30, 2025 the remaining $</w:t>
      </w:r>
      <w:bookmarkStart w:id="1475" w:name="xdx_903_eus-gaap--AccountsPayableFairVal"/>
      <w:bookmarkEnd w:id="1475"/>
      <w:r>
        <w:rPr>
          <w:rFonts w:ascii="Times New Roman;Times;Serif" w:hAnsi="Times New Roman;Times;Serif"/>
          <w:b w:val="false"/>
          <w:i w:val="false"/>
          <w:caps w:val="false"/>
          <w:smallCaps w:val="false"/>
          <w:sz w:val="20"/>
        </w:rPr>
        <w:t>1,800 is currently payable. The Company also entered into employment agreements with each of the RaGE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the RaGE stockholders are entitled to receive possible earnout payments of up to $</w:t>
      </w:r>
      <w:bookmarkStart w:id="1476" w:name="xdx_900_eus-gaap--PaymentsForFees_pn3n3_"/>
      <w:bookmarkEnd w:id="1476"/>
      <w:r>
        <w:rPr>
          <w:rFonts w:ascii="Times New Roman;Times;Serif" w:hAnsi="Times New Roman;Times;Serif"/>
          <w:b w:val="false"/>
          <w:i w:val="false"/>
          <w:caps w:val="false"/>
          <w:smallCaps w:val="false"/>
          <w:sz w:val="20"/>
        </w:rPr>
        <w:t>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w:t>
      </w:r>
      <w:bookmarkStart w:id="1477" w:name="xdx_90C_eus-gaap--OtherSellingGeneralAnd"/>
      <w:bookmarkEnd w:id="1477"/>
      <w:r>
        <w:rPr>
          <w:rFonts w:ascii="Times New Roman;Times;Serif" w:hAnsi="Times New Roman;Times;Serif"/>
          <w:b w:val="false"/>
          <w:i w:val="false"/>
          <w:caps w:val="false"/>
          <w:smallCaps w:val="false"/>
          <w:sz w:val="20"/>
        </w:rPr>
        <w:t>767 and $</w:t>
      </w:r>
      <w:bookmarkStart w:id="1478" w:name="xdx_90D_eus-gaap--OtherSellingGeneralAnd"/>
      <w:bookmarkEnd w:id="1478"/>
      <w:r>
        <w:rPr>
          <w:rFonts w:ascii="Times New Roman;Times;Serif" w:hAnsi="Times New Roman;Times;Serif"/>
          <w:b w:val="false"/>
          <w:i w:val="false"/>
          <w:caps w:val="false"/>
          <w:smallCaps w:val="false"/>
          <w:sz w:val="20"/>
        </w:rPr>
        <w:t xml:space="preserve">2,985, respectively, which is included in selling, general and administrative expenses in the consolidated statements of operations and comprehensive loss. During the year ended September 30, 2025, the Company issued the RaGE stockholders </w:t>
      </w:r>
      <w:bookmarkStart w:id="1479" w:name="xdx_905_eus-gaap--StockIssuedDuringPerio"/>
      <w:bookmarkEnd w:id="1479"/>
      <w:r>
        <w:rPr>
          <w:rFonts w:ascii="Times New Roman;Times;Serif" w:hAnsi="Times New Roman;Times;Serif"/>
          <w:b w:val="false"/>
          <w:i w:val="false"/>
          <w:caps w:val="false"/>
          <w:smallCaps w:val="false"/>
          <w:sz w:val="20"/>
        </w:rPr>
        <w:t>64,280 shares of the Company’s Class A Common Stock in partial settlement of its liability under the RaGE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w:t>
      </w:r>
      <w:bookmarkStart w:id="1480" w:name="xdx_90D_eus-gaap--Revenues_pn3n3_c202410"/>
      <w:bookmarkEnd w:id="1480"/>
      <w:r>
        <w:rPr>
          <w:rFonts w:ascii="Times New Roman;Times;Serif" w:hAnsi="Times New Roman;Times;Serif"/>
          <w:b w:val="false"/>
          <w:i w:val="false"/>
          <w:caps w:val="false"/>
          <w:smallCaps w:val="false"/>
          <w:sz w:val="20"/>
        </w:rPr>
        <w:t>5,836 and $</w:t>
      </w:r>
      <w:bookmarkStart w:id="1481" w:name="xdx_906_eus-gaap--OtherComprehensiveInco"/>
      <w:bookmarkEnd w:id="1481"/>
      <w:r>
        <w:rPr>
          <w:rFonts w:ascii="Times New Roman;Times;Serif" w:hAnsi="Times New Roman;Times;Serif"/>
          <w:b w:val="false"/>
          <w:i w:val="false"/>
          <w:caps w:val="false"/>
          <w:smallCaps w:val="false"/>
          <w:sz w:val="20"/>
        </w:rPr>
        <w:t>586, respectively, for the year ended September 30, 2025 and $</w:t>
      </w:r>
      <w:bookmarkStart w:id="1482" w:name="xdx_908_eus-gaap--Revenues_pn3n3_c202310"/>
      <w:bookmarkEnd w:id="1482"/>
      <w:r>
        <w:rPr>
          <w:rFonts w:ascii="Times New Roman;Times;Serif" w:hAnsi="Times New Roman;Times;Serif"/>
          <w:b w:val="false"/>
          <w:i w:val="false"/>
          <w:caps w:val="false"/>
          <w:smallCaps w:val="false"/>
          <w:sz w:val="20"/>
        </w:rPr>
        <w:t>2,739 and $</w:t>
      </w:r>
      <w:bookmarkStart w:id="1483" w:name="xdx_900_eus-gaap--OtherComprehensiveInco"/>
      <w:bookmarkEnd w:id="1483"/>
      <w:r>
        <w:rPr>
          <w:rFonts w:ascii="Times New Roman;Times;Serif" w:hAnsi="Times New Roman;Times;Serif"/>
          <w:b w:val="false"/>
          <w:i w:val="false"/>
          <w:caps w:val="false"/>
          <w:smallCaps w:val="false"/>
          <w:sz w:val="20"/>
        </w:rPr>
        <w:t>201, respectively, for the year ended September 30,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484" w:name="xdx_89A_eus-gaap--BusinessAcquisitionPro"/>
      <w:bookmarkEnd w:id="1484"/>
      <w:r>
        <w:rPr>
          <w:rFonts w:ascii="Times New Roman;Times;Serif" w:hAnsi="Times New Roman;Times;Serif"/>
          <w:b w:val="false"/>
          <w:i w:val="false"/>
          <w:caps w:val="false"/>
          <w:smallCaps w:val="false"/>
          <w:sz w:val="20"/>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pStyle w:val="TextBody"/>
        <w:bidi w:val="0"/>
        <w:spacing w:before="0" w:after="0"/>
        <w:ind w:left="0" w:right="0" w:hanging="0"/>
        <w:jc w:val="left"/>
        <w:rPr>
          <w:caps w:val="false"/>
          <w:smallCaps w:val="false"/>
        </w:rPr>
      </w:pPr>
      <w:r>
        <w:rPr>
          <w:caps w:val="false"/>
          <w:smallCaps w:val="false"/>
        </w:rPr>
        <w:t> </w:t>
      </w:r>
      <w:bookmarkStart w:id="1485" w:name="xdx_8BC_z3hA5KhOo1Tj"/>
      <w:bookmarkEnd w:id="1485"/>
      <w:r>
        <w:rPr>
          <w:rFonts w:ascii="Times New Roman;Times;Serif" w:hAnsi="Times New Roman;Times;Serif"/>
          <w:b w:val="false"/>
          <w:i w:val="false"/>
          <w:caps w:val="false"/>
          <w:smallCaps w:val="false"/>
          <w:sz w:val="20"/>
        </w:rPr>
        <w:t>Schedule of Unaudited ProForma Net Revenues and Net income (Loss) </w:t>
      </w:r>
    </w:p>
    <w:tbl>
      <w:tblPr>
        <w:tblW w:w="2834" w:type="dxa"/>
        <w:jc w:val="left"/>
        <w:tblInd w:w="0" w:type="dxa"/>
        <w:tblLayout w:type="fixed"/>
        <w:tblCellMar>
          <w:top w:w="0" w:type="dxa"/>
          <w:left w:w="0" w:type="dxa"/>
          <w:bottom w:w="0" w:type="dxa"/>
          <w:right w:w="0" w:type="dxa"/>
        </w:tblCellMar>
      </w:tblPr>
      <w:tblGrid>
        <w:gridCol w:w="1190"/>
        <w:gridCol w:w="60"/>
        <w:gridCol w:w="230"/>
        <w:gridCol w:w="1244"/>
        <w:gridCol w:w="11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6" w:name="xdx_493_20231001__20240930_zoEwze0jHHta"/>
            <w:bookmarkEnd w:id="1486"/>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br/>
              <w:t>2024</w:t>
            </w:r>
          </w:p>
        </w:tc>
        <w:tc>
          <w:tcPr>
            <w:tcW w:w="11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87" w:name="xdx_40F_eus-gaap--BusinessAcquisitionsPr"/>
            <w:bookmarkEnd w:id="1487"/>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10,268</w:t>
            </w:r>
          </w:p>
        </w:tc>
        <w:tc>
          <w:tcPr>
            <w:tcW w:w="110" w:type="dxa"/>
            <w:tcBorders/>
            <w:shd w:fill="CCEEFF" w:val="clear"/>
            <w:vAlign w:val="center"/>
          </w:tcPr>
          <w:p>
            <w:pPr>
              <w:pStyle w:val="TableContents"/>
              <w:bidi w:val="0"/>
              <w:spacing w:before="0" w:after="283"/>
              <w:jc w:val="left"/>
              <w:rPr/>
            </w:pPr>
            <w:r>
              <w:rPr/>
              <w:t> </w:t>
            </w:r>
            <w:bookmarkStart w:id="1488" w:name="xdx_40D_eus-gaap--BusinessAcquisitionsPr"/>
            <w:bookmarkEnd w:id="1488"/>
          </w:p>
        </w:tc>
      </w:tr>
      <w:tr>
        <w:trPr/>
        <w:tc>
          <w:tcPr>
            <w:tcW w:w="11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(21,436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489" w:name="xdx_8A5_zNBNh4JE1PX"/>
      <w:bookmarkEnd w:id="148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90" w:name="xdx_803_eus-gaap--InventoryDisclosureTex"/>
      <w:bookmarkEnd w:id="1490"/>
      <w:r>
        <w:rPr>
          <w:rFonts w:ascii="Times New Roman;Times;Serif" w:hAnsi="Times New Roman;Times;Serif"/>
          <w:b/>
          <w:i w:val="false"/>
          <w:caps w:val="false"/>
          <w:smallCaps w:val="false"/>
          <w:sz w:val="20"/>
        </w:rPr>
        <w:t xml:space="preserve">Note 5 — </w:t>
      </w:r>
      <w:bookmarkStart w:id="1491" w:name="xdx_829_zNazf5v5uPob"/>
      <w:bookmarkEnd w:id="1491"/>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492" w:name="xdx_898_eus-gaap--ScheduleOfInventoryCur"/>
      <w:bookmarkEnd w:id="1492"/>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bookmarkStart w:id="1493" w:name="xdx_8B0_zU9d3YdXUsxc"/>
      <w:bookmarkEnd w:id="1493"/>
      <w:r>
        <w:rPr>
          <w:rFonts w:ascii="Times New Roman;Times;Serif" w:hAnsi="Times New Roman;Times;Serif"/>
          <w:b w:val="false"/>
          <w:i w:val="false"/>
          <w:caps w:val="false"/>
          <w:smallCaps w:val="false"/>
          <w:sz w:val="20"/>
        </w:rPr>
        <w:t>Schedule of Inventory </w:t>
      </w:r>
    </w:p>
    <w:tbl>
      <w:tblPr>
        <w:tblW w:w="3145" w:type="dxa"/>
        <w:jc w:val="left"/>
        <w:tblInd w:w="0" w:type="dxa"/>
        <w:tblLayout w:type="fixed"/>
        <w:tblCellMar>
          <w:top w:w="0" w:type="dxa"/>
          <w:left w:w="0" w:type="dxa"/>
          <w:bottom w:w="0" w:type="dxa"/>
          <w:right w:w="0" w:type="dxa"/>
        </w:tblCellMar>
      </w:tblPr>
      <w:tblGrid>
        <w:gridCol w:w="1490"/>
        <w:gridCol w:w="60"/>
        <w:gridCol w:w="140"/>
        <w:gridCol w:w="560"/>
        <w:gridCol w:w="60"/>
        <w:gridCol w:w="60"/>
        <w:gridCol w:w="140"/>
        <w:gridCol w:w="56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4" w:name="xdx_497_20250930_znPtYD3YIvjk"/>
            <w:bookmarkEnd w:id="1494"/>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5" w:name="xdx_49C_20240930_z71gLpkbaLm9"/>
            <w:bookmarkEnd w:id="1495"/>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496" w:name="xdx_407_eus-gaap--InventoryRawMaterials_"/>
            <w:bookmarkEnd w:id="1496"/>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1,550</w:t>
            </w:r>
          </w:p>
        </w:tc>
        <w:tc>
          <w:tcPr>
            <w:tcW w:w="75" w:type="dxa"/>
            <w:tcBorders/>
            <w:shd w:fill="CCEEFF" w:val="clear"/>
            <w:vAlign w:val="center"/>
          </w:tcPr>
          <w:p>
            <w:pPr>
              <w:pStyle w:val="TableContents"/>
              <w:bidi w:val="0"/>
              <w:spacing w:before="0" w:after="283"/>
              <w:jc w:val="left"/>
              <w:rPr/>
            </w:pPr>
            <w:r>
              <w:rPr/>
              <w:t> </w:t>
            </w:r>
            <w:bookmarkStart w:id="1497" w:name="xdx_406_eus-gaap--InventoryFinishedGoods"/>
            <w:bookmarkEnd w:id="1497"/>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bookmarkStart w:id="1498" w:name="xdx_402_eus-gaap--InventoryNet_iTI_pn3n3"/>
            <w:bookmarkEnd w:id="1498"/>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499" w:name="xdx_8A4_zkXz8hh0xH18"/>
      <w:bookmarkEnd w:id="149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00" w:name="xdx_80E_eus-gaap--PropertyPlantAndEquipm"/>
      <w:bookmarkEnd w:id="1500"/>
      <w:r>
        <w:rPr>
          <w:rFonts w:ascii="Times New Roman;Times;Serif" w:hAnsi="Times New Roman;Times;Serif"/>
          <w:b/>
          <w:i w:val="false"/>
          <w:caps w:val="false"/>
          <w:smallCaps w:val="false"/>
          <w:sz w:val="20"/>
        </w:rPr>
        <w:t xml:space="preserve">Note 6 — </w:t>
      </w:r>
      <w:bookmarkStart w:id="1501" w:name="xdx_82C_zDMVtrhlALu8"/>
      <w:bookmarkEnd w:id="1501"/>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02" w:name="xdx_893_eus-gaap--PropertyPlantAndEquipm"/>
      <w:bookmarkEnd w:id="1502"/>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bookmarkStart w:id="1503" w:name="xdx_8BE_zxFwEiETRYNc"/>
      <w:bookmarkEnd w:id="1503"/>
      <w:r>
        <w:rPr>
          <w:rFonts w:ascii="Times New Roman;Times;Serif" w:hAnsi="Times New Roman;Times;Serif"/>
          <w:b w:val="false"/>
          <w:i w:val="false"/>
          <w:caps w:val="false"/>
          <w:smallCaps w:val="false"/>
          <w:sz w:val="20"/>
        </w:rPr>
        <w:t>Schedule of Property and Equipment, Net </w:t>
      </w:r>
    </w:p>
    <w:tbl>
      <w:tblPr>
        <w:tblW w:w="10090" w:type="dxa"/>
        <w:jc w:val="left"/>
        <w:tblInd w:w="0" w:type="dxa"/>
        <w:tblLayout w:type="fixed"/>
        <w:tblCellMar>
          <w:top w:w="0" w:type="dxa"/>
          <w:left w:w="0" w:type="dxa"/>
          <w:bottom w:w="0" w:type="dxa"/>
          <w:right w:w="0" w:type="dxa"/>
        </w:tblCellMar>
      </w:tblPr>
      <w:tblGrid>
        <w:gridCol w:w="3065"/>
        <w:gridCol w:w="60"/>
        <w:gridCol w:w="5165"/>
        <w:gridCol w:w="60"/>
        <w:gridCol w:w="140"/>
        <w:gridCol w:w="560"/>
        <w:gridCol w:w="95"/>
        <w:gridCol w:w="60"/>
        <w:gridCol w:w="14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4" w:name="xdx_49B_20250930_zOSSYOitMAFk"/>
            <w:bookmarkEnd w:id="1504"/>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5" w:name="xdx_49A_20240930_zi5K9vgTZZz1"/>
            <w:bookmarkEnd w:id="1505"/>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center"/>
              <w:rPr>
                <w:b/>
              </w:rPr>
            </w:pPr>
            <w:r>
              <w:rPr>
                <w:b/>
              </w:rPr>
              <w:t>Estimated Useful Life</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506" w:name="xdx_40F_eus-gaap--PropertyPlantAndEquipm"/>
            <w:bookmarkEnd w:id="1506"/>
          </w:p>
        </w:tc>
      </w:tr>
      <w:tr>
        <w:trPr/>
        <w:tc>
          <w:tcPr>
            <w:tcW w:w="306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bookmarkStart w:id="1507" w:name="xdx_903_eus-gaap--PropertyPlantAndEquipm"/>
            <w:bookmarkEnd w:id="1507"/>
            <w:r>
              <w:rPr/>
              <w:t xml:space="preserve">5 - </w:t>
            </w:r>
            <w:bookmarkStart w:id="1508" w:name="xdx_909_eus-gaap--PropertyPlantAndEquipm"/>
            <w:bookmarkEnd w:id="1508"/>
            <w:r>
              <w:rPr/>
              <w:t>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948</w:t>
            </w:r>
          </w:p>
        </w:tc>
        <w:tc>
          <w:tcPr>
            <w:tcW w:w="110" w:type="dxa"/>
            <w:tcBorders/>
            <w:shd w:fill="CCEEFF" w:val="clear"/>
            <w:vAlign w:val="center"/>
          </w:tcPr>
          <w:p>
            <w:pPr>
              <w:pStyle w:val="TableContents"/>
              <w:bidi w:val="0"/>
              <w:spacing w:before="0" w:after="283"/>
              <w:jc w:val="left"/>
              <w:rPr/>
            </w:pPr>
            <w:r>
              <w:rPr/>
              <w:t> </w:t>
            </w:r>
            <w:bookmarkStart w:id="1509" w:name="xdx_40C_eus-gaap--PropertyPlantAndEquipm"/>
            <w:bookmarkEnd w:id="1509"/>
          </w:p>
        </w:tc>
      </w:tr>
      <w:tr>
        <w:trPr/>
        <w:tc>
          <w:tcPr>
            <w:tcW w:w="30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center"/>
              <w:rPr/>
            </w:pPr>
            <w:bookmarkStart w:id="1510" w:name="xdx_90E_eus-gaap--PropertyPlantAndEquipm"/>
            <w:bookmarkEnd w:id="1510"/>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jc w:val="left"/>
              <w:rPr/>
            </w:pPr>
            <w:r>
              <w:rPr/>
              <w:t> </w:t>
            </w:r>
            <w:bookmarkStart w:id="1511" w:name="xdx_40A_eus-gaap--PropertyPlantAndEquipm"/>
            <w:bookmarkEnd w:id="1511"/>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bookmarkStart w:id="1512" w:name="xdx_90E_eus-gaap--PropertyPlantAndEquipm"/>
            <w:bookmarkEnd w:id="1512"/>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bookmarkStart w:id="1513" w:name="xdx_409_eus-gaap--PropertyPlantAndEquipm"/>
            <w:bookmarkEnd w:id="1513"/>
          </w:p>
        </w:tc>
      </w:tr>
      <w:tr>
        <w:trPr/>
        <w:tc>
          <w:tcPr>
            <w:tcW w:w="306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bookmarkStart w:id="1514" w:name="xdx_40F_eus-gaap--AccumulatedDepreciatio"/>
            <w:bookmarkEnd w:id="1514"/>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bookmarkStart w:id="1515" w:name="xdx_40A_eus-gaap--PropertyPlantAndEquipm"/>
            <w:bookmarkEnd w:id="1515"/>
          </w:p>
        </w:tc>
      </w:tr>
      <w:tr>
        <w:trPr/>
        <w:tc>
          <w:tcPr>
            <w:tcW w:w="30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16" w:name="xdx_8A4_zYn9PoLSGyYk"/>
      <w:bookmarkEnd w:id="15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September 30, 2025 and 2024 was $</w:t>
      </w:r>
      <w:bookmarkStart w:id="1517" w:name="xdx_90B_eus-gaap--Depreciation_pn3n3_c20"/>
      <w:bookmarkEnd w:id="1517"/>
      <w:r>
        <w:rPr>
          <w:rFonts w:ascii="Times New Roman;Times;Serif" w:hAnsi="Times New Roman;Times;Serif"/>
          <w:b w:val="false"/>
          <w:i w:val="false"/>
          <w:caps w:val="false"/>
          <w:smallCaps w:val="false"/>
          <w:sz w:val="20"/>
        </w:rPr>
        <w:t>366 and $</w:t>
      </w:r>
      <w:bookmarkStart w:id="1518" w:name="xdx_90E_eus-gaap--Depreciation_pn3n3_c20"/>
      <w:bookmarkEnd w:id="1518"/>
      <w:r>
        <w:rPr>
          <w:rFonts w:ascii="Times New Roman;Times;Serif" w:hAnsi="Times New Roman;Times;Serif"/>
          <w:b w:val="false"/>
          <w:i w:val="false"/>
          <w:caps w:val="false"/>
          <w:smallCaps w:val="false"/>
          <w:sz w:val="20"/>
        </w:rPr>
        <w:t>472,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recognized losses of $</w:t>
      </w:r>
      <w:bookmarkStart w:id="1519" w:name="xdx_90A_eus-gaap--GainLossOnSaleOfProper"/>
      <w:bookmarkEnd w:id="1519"/>
      <w:r>
        <w:rPr>
          <w:rFonts w:ascii="Times New Roman;Times;Serif" w:hAnsi="Times New Roman;Times;Serif"/>
          <w:b w:val="false"/>
          <w:i w:val="false"/>
          <w:caps w:val="false"/>
          <w:smallCaps w:val="false"/>
          <w:sz w:val="20"/>
        </w:rPr>
        <w:t>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w:t>
      </w:r>
      <w:bookmarkStart w:id="1520" w:name="xdx_90B_eus-gaap--GainLossOnSaleOfProper"/>
      <w:bookmarkEnd w:id="1520"/>
      <w:r>
        <w:rPr>
          <w:rFonts w:ascii="Times New Roman;Times;Serif" w:hAnsi="Times New Roman;Times;Serif"/>
          <w:b w:val="false"/>
          <w:i w:val="false"/>
          <w:caps w:val="false"/>
          <w:smallCaps w:val="false"/>
          <w:sz w:val="20"/>
        </w:rPr>
        <w:t>584 which management determined it would not use in production. The charge is included in “Research and development”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21" w:name="xdx_80E_eus-gaap--IntangibleAssetsDisclo"/>
      <w:bookmarkEnd w:id="1521"/>
      <w:r>
        <w:rPr>
          <w:rFonts w:ascii="Times New Roman;Times;Serif" w:hAnsi="Times New Roman;Times;Serif"/>
          <w:b/>
          <w:i w:val="false"/>
          <w:caps w:val="false"/>
          <w:smallCaps w:val="false"/>
          <w:sz w:val="20"/>
        </w:rPr>
        <w:t xml:space="preserve">Note 7 — </w:t>
      </w:r>
      <w:bookmarkStart w:id="1522" w:name="xdx_827_zpW8jzlMZuxd"/>
      <w:bookmarkEnd w:id="1522"/>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23" w:name="xdx_896_eus-gaap--ScheduleOfFiniteLivedI"/>
      <w:bookmarkEnd w:id="1523"/>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bookmarkStart w:id="1524" w:name="xdx_8BE_zaafuSYHKgDd"/>
      <w:bookmarkEnd w:id="1524"/>
      <w:r>
        <w:rPr>
          <w:rFonts w:ascii="Times New Roman;Times;Serif" w:hAnsi="Times New Roman;Times;Serif"/>
          <w:b w:val="false"/>
          <w:i w:val="false"/>
          <w:caps w:val="false"/>
          <w:smallCaps w:val="false"/>
          <w:sz w:val="20"/>
        </w:rPr>
        <w:t>Schedule of Intangible Assets, Net </w:t>
      </w:r>
    </w:p>
    <w:tbl>
      <w:tblPr>
        <w:tblW w:w="9760" w:type="dxa"/>
        <w:jc w:val="left"/>
        <w:tblInd w:w="0" w:type="dxa"/>
        <w:tblLayout w:type="fixed"/>
        <w:tblCellMar>
          <w:top w:w="0" w:type="dxa"/>
          <w:left w:w="0" w:type="dxa"/>
          <w:bottom w:w="0" w:type="dxa"/>
          <w:right w:w="0" w:type="dxa"/>
        </w:tblCellMar>
      </w:tblPr>
      <w:tblGrid>
        <w:gridCol w:w="2195"/>
        <w:gridCol w:w="60"/>
        <w:gridCol w:w="128"/>
        <w:gridCol w:w="912"/>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bookmarkStart w:id="1525" w:name="xdx_900_eus-gaap--FiniteLivedIntangibleA"/>
            <w:bookmarkEnd w:id="1525"/>
            <w:r>
              <w:rPr>
                <w:rFonts w:ascii="Times New Roman;Times;Serif" w:hAnsi="Times New Roman;Times;Serif"/>
                <w:sz w:val="20"/>
              </w:rPr>
              <w:t xml:space="preserve">7 – </w:t>
            </w:r>
            <w:bookmarkStart w:id="1526" w:name="xdx_902_eus-gaap--FiniteLivedIntangibleA"/>
            <w:bookmarkEnd w:id="1526"/>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27" w:name="xdx_982_eus-gaap--FiniteLivedIntangibleA"/>
            <w:bookmarkEnd w:id="1527"/>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1528" w:name="xdx_98E_eus-gaap--FiniteLivedIntangibleA"/>
            <w:bookmarkEnd w:id="1528"/>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29" w:name="xdx_989_eus-gaap--FiniteLivedIntangibleA"/>
            <w:bookmarkEnd w:id="1529"/>
          </w:p>
        </w:tc>
        <w:tc>
          <w:tcPr>
            <w:tcW w:w="68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30" w:name="xdx_988_eus-gaap--FiniteLivedIntangibleA"/>
            <w:bookmarkEnd w:id="1530"/>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bookmarkStart w:id="1531" w:name="xdx_980_eus-gaap--FiniteLivedIntangibleA"/>
            <w:bookmarkEnd w:id="1531"/>
          </w:p>
        </w:tc>
        <w:tc>
          <w:tcPr>
            <w:tcW w:w="951"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532" w:name="xdx_98C_eus-gaap--FiniteLivedIntangibleA"/>
            <w:bookmarkEnd w:id="1532"/>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sz w:val="20"/>
              </w:rPr>
            </w:pPr>
            <w:bookmarkStart w:id="1533" w:name="xdx_901_eus-gaap--FiniteLivedIntangibleA"/>
            <w:bookmarkEnd w:id="1533"/>
            <w:r>
              <w:rPr>
                <w:rFonts w:ascii="Times New Roman;Times;Serif" w:hAnsi="Times New Roman;Times;Serif"/>
                <w:sz w:val="20"/>
              </w:rPr>
              <w:t xml:space="preserve">12 – </w:t>
            </w:r>
            <w:bookmarkStart w:id="1534" w:name="xdx_906_eus-gaap--FiniteLivedIntangibleA"/>
            <w:bookmarkEnd w:id="1534"/>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35" w:name="xdx_989_eus-gaap--FiniteLivedIntangibleA"/>
            <w:bookmarkEnd w:id="1535"/>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1536" w:name="xdx_98A_eus-gaap--FiniteLivedIntangibleA"/>
            <w:bookmarkEnd w:id="1536"/>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37" w:name="xdx_988_eus-gaap--FiniteLivedIntangibleA"/>
            <w:bookmarkEnd w:id="1537"/>
          </w:p>
        </w:tc>
        <w:tc>
          <w:tcPr>
            <w:tcW w:w="680" w:type="dxa"/>
            <w:tcBorders/>
            <w:shd w:fill="FFFFFF" w:val="clear"/>
            <w:vAlign w:val="center"/>
          </w:tcPr>
          <w:p>
            <w:pPr>
              <w:pStyle w:val="TableContents"/>
              <w:bidi w:val="0"/>
              <w:spacing w:before="0" w:after="283"/>
              <w:jc w:val="right"/>
              <w:rPr/>
            </w:pPr>
            <w:r>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38" w:name="xdx_983_eus-gaap--FiniteLivedIntangibleA"/>
            <w:bookmarkEnd w:id="1538"/>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1539" w:name="xdx_989_eus-gaap--FiniteLivedIntangibleA"/>
            <w:bookmarkEnd w:id="1539"/>
          </w:p>
        </w:tc>
        <w:tc>
          <w:tcPr>
            <w:tcW w:w="951"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540" w:name="xdx_986_eus-gaap--FiniteLivedIntangibleA"/>
            <w:bookmarkEnd w:id="1540"/>
          </w:p>
        </w:tc>
        <w:tc>
          <w:tcPr>
            <w:tcW w:w="680" w:type="dxa"/>
            <w:tcBorders/>
            <w:shd w:fill="FFFFFF" w:val="clear"/>
            <w:vAlign w:val="center"/>
          </w:tcPr>
          <w:p>
            <w:pPr>
              <w:pStyle w:val="TableContents"/>
              <w:bidi w:val="0"/>
              <w:spacing w:before="0" w:after="283"/>
              <w:jc w:val="right"/>
              <w:rPr/>
            </w:pPr>
            <w:r>
              <w:rPr/>
              <w:t>11,442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bookmarkStart w:id="1541" w:name="xdx_909_eus-gaap--FiniteLivedIntangibleA"/>
            <w:bookmarkEnd w:id="1541"/>
            <w:r>
              <w:rPr>
                <w:rFonts w:ascii="Times New Roman;Times;Serif" w:hAnsi="Times New Roman;Times;Serif"/>
                <w:sz w:val="20"/>
              </w:rPr>
              <w:t xml:space="preserve">2 – </w:t>
            </w:r>
            <w:bookmarkStart w:id="1542" w:name="xdx_908_eus-gaap--FiniteLivedIntangibleA"/>
            <w:bookmarkEnd w:id="1542"/>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43" w:name="xdx_98D_eus-gaap--FiniteLivedIntangibleA"/>
            <w:bookmarkEnd w:id="1543"/>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1544" w:name="xdx_983_eus-gaap--FiniteLivedIntangibleA"/>
            <w:bookmarkEnd w:id="1544"/>
          </w:p>
        </w:tc>
        <w:tc>
          <w:tcPr>
            <w:tcW w:w="951"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45" w:name="xdx_98B_eus-gaap--FiniteLivedIntangibleA"/>
            <w:bookmarkEnd w:id="1545"/>
          </w:p>
        </w:tc>
        <w:tc>
          <w:tcPr>
            <w:tcW w:w="680"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46" w:name="xdx_985_eus-gaap--FiniteLivedIntangibleA"/>
            <w:bookmarkEnd w:id="1546"/>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1547" w:name="xdx_986_eus-gaap--FiniteLivedIntangibleA"/>
            <w:bookmarkEnd w:id="1547"/>
          </w:p>
        </w:tc>
        <w:tc>
          <w:tcPr>
            <w:tcW w:w="951"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548" w:name="xdx_986_eus-gaap--FiniteLivedIntangibleA"/>
            <w:bookmarkEnd w:id="1548"/>
          </w:p>
        </w:tc>
        <w:tc>
          <w:tcPr>
            <w:tcW w:w="680" w:type="dxa"/>
            <w:tcBorders/>
            <w:shd w:fill="CCEEFF" w:val="cle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Backlog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bookmarkStart w:id="1549" w:name="xdx_900_eus-gaap--FiniteLivedIntangibleA"/>
            <w:bookmarkEnd w:id="1549"/>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0" w:name="xdx_983_eus-gaap--FiniteLivedIntangibleA"/>
            <w:bookmarkEnd w:id="1550"/>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1" w:name="xdx_98B_eus-gaap--FiniteLivedIntangibleA"/>
            <w:bookmarkEnd w:id="1551"/>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2" w:name="xdx_989_eus-gaap--FiniteLivedIntangibleA"/>
            <w:bookmarkEnd w:id="1552"/>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3" w:name="xdx_981_eus-gaap--FiniteLivedIntangibleA"/>
            <w:bookmarkEnd w:id="1553"/>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4" w:name="xdx_98A_eus-gaap--FiniteLivedIntangibleA"/>
            <w:bookmarkEnd w:id="1554"/>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55" w:name="xdx_981_eus-gaap--FiniteLivedIntangibleA"/>
            <w:bookmarkEnd w:id="1555"/>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6" w:name="xdx_982_eus-gaap--FiniteLivedIntangibleA"/>
            <w:bookmarkEnd w:id="1556"/>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7" w:name="xdx_989_eus-gaap--FiniteLivedIntangibleA"/>
            <w:bookmarkEnd w:id="1557"/>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(4,370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8" w:name="xdx_98D_eus-gaap--FiniteLivedIntangibleA"/>
            <w:bookmarkEnd w:id="1558"/>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59" w:name="xdx_981_eus-gaap--FiniteLivedIntangibleA"/>
            <w:bookmarkEnd w:id="1559"/>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0" w:name="xdx_982_eus-gaap--FiniteLivedIntangibleA"/>
            <w:bookmarkEnd w:id="1560"/>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(2,978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1561" w:name="xdx_989_eus-gaap--FiniteLivedIntangibleA"/>
            <w:bookmarkEnd w:id="1561"/>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62" w:name="xdx_8A0_zl6Hl6nflkE5"/>
      <w:bookmarkEnd w:id="15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related to intangible assets of $</w:t>
      </w:r>
      <w:bookmarkStart w:id="1563" w:name="xdx_909_eus-gaap--AmortizationOfIntangib"/>
      <w:bookmarkEnd w:id="1563"/>
      <w:r>
        <w:rPr>
          <w:rFonts w:ascii="Times New Roman;Times;Serif" w:hAnsi="Times New Roman;Times;Serif"/>
          <w:b w:val="false"/>
          <w:i w:val="false"/>
          <w:caps w:val="false"/>
          <w:smallCaps w:val="false"/>
          <w:sz w:val="20"/>
        </w:rPr>
        <w:t>1,692 and $</w:t>
      </w:r>
      <w:bookmarkStart w:id="1564" w:name="xdx_909_eus-gaap--AmortizationOfIntangib"/>
      <w:bookmarkEnd w:id="1564"/>
      <w:r>
        <w:rPr>
          <w:rFonts w:ascii="Times New Roman;Times;Serif" w:hAnsi="Times New Roman;Times;Serif"/>
          <w:b w:val="false"/>
          <w:i w:val="false"/>
          <w:caps w:val="false"/>
          <w:smallCaps w:val="false"/>
          <w:sz w:val="20"/>
        </w:rPr>
        <w:t xml:space="preserve">1,543 during the years ended September 30, 2025 and 2024, respectively. The weighted-average remaining lives of intangible assets as of September 30, 2025 were developed technology </w:t>
      </w:r>
      <w:bookmarkStart w:id="1565" w:name="xdx_904_eus-gaap--AcquiredFiniteLivedInt"/>
      <w:bookmarkEnd w:id="1565"/>
      <w:r>
        <w:rPr>
          <w:rFonts w:ascii="Times New Roman;Times;Serif" w:hAnsi="Times New Roman;Times;Serif"/>
          <w:b w:val="false"/>
          <w:i w:val="false"/>
          <w:caps w:val="false"/>
          <w:smallCaps w:val="false"/>
          <w:sz w:val="20"/>
        </w:rPr>
        <w:t xml:space="preserve">5.0 years; customer relationships </w:t>
      </w:r>
      <w:bookmarkStart w:id="1566" w:name="xdx_90B_eus-gaap--AcquiredFiniteLivedInt"/>
      <w:bookmarkEnd w:id="1566"/>
      <w:r>
        <w:rPr>
          <w:rFonts w:ascii="Times New Roman;Times;Serif" w:hAnsi="Times New Roman;Times;Serif"/>
          <w:b w:val="false"/>
          <w:i w:val="false"/>
          <w:caps w:val="false"/>
          <w:smallCaps w:val="false"/>
          <w:sz w:val="20"/>
        </w:rPr>
        <w:t xml:space="preserve">11.6 years; and trade names </w:t>
      </w:r>
      <w:bookmarkStart w:id="1567" w:name="xdx_90F_eus-gaap--AcquiredFiniteLivedInt"/>
      <w:bookmarkEnd w:id="1567"/>
      <w:r>
        <w:rPr>
          <w:rFonts w:ascii="Times New Roman;Times;Serif" w:hAnsi="Times New Roman;Times;Serif"/>
          <w:b w:val="false"/>
          <w:i w:val="false"/>
          <w:caps w:val="false"/>
          <w:smallCaps w:val="false"/>
          <w:sz w:val="20"/>
        </w:rPr>
        <w:t>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w:t>
      </w:r>
      <w:bookmarkStart w:id="1568" w:name="xdx_900_ecustom--ImpairmentChargesOfFini"/>
      <w:bookmarkEnd w:id="1568"/>
      <w:r>
        <w:rPr>
          <w:rFonts w:ascii="Times New Roman;Times;Serif" w:hAnsi="Times New Roman;Times;Serif"/>
          <w:b w:val="false"/>
          <w:i w:val="false"/>
          <w:caps w:val="false"/>
          <w:smallCaps w:val="false"/>
          <w:sz w:val="20"/>
        </w:rPr>
        <w:t>1,333 to write down the carrying value of the long-lived assets (consisting of developed technology and customer relationships). The Company estimated the fair value of the AOCs asset group using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69" w:name="xdx_89E_eus-gaap--ScheduleofFiniteLivedI"/>
      <w:bookmarkEnd w:id="1569"/>
      <w:r>
        <w:rPr>
          <w:rFonts w:ascii="Times New Roman;Times;Serif" w:hAnsi="Times New Roman;Times;Serif"/>
          <w:b w:val="false"/>
          <w:i w:val="false"/>
          <w:caps w:val="false"/>
          <w:smallCaps w:val="false"/>
          <w:sz w:val="20"/>
        </w:rPr>
        <w:t>Estimated future amortization expense for intangible assets by fiscal year as of September 30, 2025 is as follows:</w:t>
      </w:r>
    </w:p>
    <w:p>
      <w:pPr>
        <w:pStyle w:val="TextBody"/>
        <w:bidi w:val="0"/>
        <w:spacing w:before="0" w:after="0"/>
        <w:ind w:left="0" w:right="0" w:hanging="0"/>
        <w:jc w:val="left"/>
        <w:rPr>
          <w:caps w:val="false"/>
          <w:smallCaps w:val="false"/>
        </w:rPr>
      </w:pPr>
      <w:r>
        <w:rPr>
          <w:caps w:val="false"/>
          <w:smallCaps w:val="false"/>
        </w:rPr>
        <w:t> </w:t>
      </w:r>
      <w:bookmarkStart w:id="1570" w:name="xdx_8B5_zzQmMu1I4PT2"/>
      <w:bookmarkEnd w:id="1570"/>
      <w:r>
        <w:rPr>
          <w:rFonts w:ascii="Times New Roman;Times;Serif" w:hAnsi="Times New Roman;Times;Serif"/>
          <w:b w:val="false"/>
          <w:i w:val="false"/>
          <w:caps w:val="false"/>
          <w:smallCaps w:val="false"/>
          <w:sz w:val="20"/>
        </w:rPr>
        <w:t>Schedule of Estimated Future Amortization Expense for Intangible Assets </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bookmarkStart w:id="1571" w:name="xdx_49B_20250930_zm6HtvkAUcji"/>
            <w:bookmarkEnd w:id="1571"/>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1572" w:name="xdx_98D_eus-gaap--FiniteLivedIntangibleA"/>
            <w:bookmarkEnd w:id="1572"/>
          </w:p>
        </w:tc>
        <w:tc>
          <w:tcPr>
            <w:tcW w:w="680" w:type="dxa"/>
            <w:tcBorders/>
            <w:shd w:fill="CCEEFF" w:val="clear"/>
            <w:tcMar>
              <w:bottom w:w="0" w:type="dxa"/>
            </w:tcMar>
            <w:vAlign w:val="center"/>
          </w:tcPr>
          <w:p>
            <w:pPr>
              <w:pStyle w:val="TableContents"/>
              <w:bidi w:val="0"/>
              <w:spacing w:before="0" w:after="283"/>
              <w:jc w:val="right"/>
              <w:rPr/>
            </w:pPr>
            <w:r>
              <w:rPr/>
              <w:t>1,590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573" w:name="xdx_982_eus-gaap--FiniteLivedIntangibleA"/>
            <w:bookmarkEnd w:id="1573"/>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574" w:name="xdx_988_eus-gaap--FiniteLivedIntangibleA"/>
            <w:bookmarkEnd w:id="1574"/>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1575" w:name="xdx_984_eus-gaap--FiniteLivedIntangibleA"/>
            <w:bookmarkEnd w:id="1575"/>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1576" w:name="xdx_981_eus-gaap--FiniteLivedIntangibleA"/>
            <w:bookmarkEnd w:id="1576"/>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bookmarkStart w:id="1577" w:name="xdx_982_eus-gaap--FiniteLivedIntangibleA"/>
            <w:bookmarkEnd w:id="1577"/>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bookmarkStart w:id="1578" w:name="xdx_40C_eus-gaap--FiniteLivedIntangibleA"/>
            <w:bookmarkEnd w:id="1578"/>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79" w:name="xdx_8AF_zHVcHHc6Zm0d"/>
      <w:bookmarkEnd w:id="157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80" w:name="xdx_80E_eus-gaap--GoodwillDisclosureText"/>
      <w:bookmarkEnd w:id="1580"/>
      <w:r>
        <w:rPr>
          <w:rFonts w:ascii="Times New Roman;Times;Serif" w:hAnsi="Times New Roman;Times;Serif"/>
          <w:b/>
          <w:i w:val="false"/>
          <w:caps w:val="false"/>
          <w:smallCaps w:val="false"/>
          <w:sz w:val="20"/>
        </w:rPr>
        <w:t xml:space="preserve">Note 8 — </w:t>
      </w:r>
      <w:bookmarkStart w:id="1581" w:name="xdx_82D_zrlwCfxztYBd"/>
      <w:bookmarkEnd w:id="1581"/>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82" w:name="xdx_89C_eus-gaap--ScheduleOfGoodwillText"/>
      <w:bookmarkEnd w:id="1582"/>
      <w:r>
        <w:rPr>
          <w:rFonts w:ascii="Times New Roman;Times;Serif" w:hAnsi="Times New Roman;Times;Serif"/>
          <w:b w:val="false"/>
          <w:i w:val="false"/>
          <w:caps w:val="false"/>
          <w:smallCaps w:val="false"/>
          <w:sz w:val="20"/>
        </w:rPr>
        <w:t>The following table summarizes changes in the carrying amount of goodwill during the years ended September 30, 2024. There were no changes in the carrying amount of goodwill during the year ended September 30, 2025.</w:t>
      </w:r>
    </w:p>
    <w:p>
      <w:pPr>
        <w:pStyle w:val="TextBody"/>
        <w:bidi w:val="0"/>
        <w:spacing w:before="0" w:after="0"/>
        <w:ind w:left="0" w:right="0" w:hanging="0"/>
        <w:jc w:val="left"/>
        <w:rPr>
          <w:caps w:val="false"/>
          <w:smallCaps w:val="false"/>
        </w:rPr>
      </w:pPr>
      <w:r>
        <w:rPr>
          <w:caps w:val="false"/>
          <w:smallCaps w:val="false"/>
        </w:rPr>
        <w:t> </w:t>
      </w:r>
      <w:bookmarkStart w:id="1583" w:name="xdx_8BF_zZD48SJepRL6"/>
      <w:bookmarkEnd w:id="1583"/>
      <w:r>
        <w:rPr>
          <w:rFonts w:ascii="Times New Roman;Times;Serif" w:hAnsi="Times New Roman;Times;Serif"/>
          <w:b w:val="false"/>
          <w:i w:val="false"/>
          <w:caps w:val="false"/>
          <w:smallCaps w:val="false"/>
          <w:sz w:val="20"/>
        </w:rPr>
        <w:t>Schedule of Changes in Carrying Amount of Goodwill </w:t>
      </w:r>
    </w:p>
    <w:tbl>
      <w:tblPr>
        <w:tblW w:w="4890" w:type="dxa"/>
        <w:jc w:val="left"/>
        <w:tblInd w:w="0" w:type="dxa"/>
        <w:tblLayout w:type="fixed"/>
        <w:tblCellMar>
          <w:top w:w="0" w:type="dxa"/>
          <w:left w:w="0" w:type="dxa"/>
          <w:bottom w:w="0" w:type="dxa"/>
          <w:right w:w="0" w:type="dxa"/>
        </w:tblCellMar>
      </w:tblPr>
      <w:tblGrid>
        <w:gridCol w:w="3935"/>
        <w:gridCol w:w="60"/>
        <w:gridCol w:w="140"/>
        <w:gridCol w:w="680"/>
        <w:gridCol w:w="75"/>
      </w:tblGrid>
      <w:tr>
        <w:trPr/>
        <w:tc>
          <w:tcPr>
            <w:tcW w:w="39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bookmarkStart w:id="1584" w:name="xdx_49E_20231001__20240930_zeTW9yOcaD84"/>
            <w:bookmarkEnd w:id="1584"/>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1585" w:name="xdx_40E_eus-gaap--Goodwill_iS_zmVwhKVp9u"/>
            <w:bookmarkEnd w:id="1585"/>
          </w:p>
        </w:tc>
      </w:tr>
      <w:tr>
        <w:trPr/>
        <w:tc>
          <w:tcPr>
            <w:tcW w:w="3935"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bookmarkStart w:id="1586" w:name="xdx_40A_eus-gaap--Goodwill_iS_zxIhp74A7w"/>
            <w:bookmarkEnd w:id="1586"/>
          </w:p>
        </w:tc>
      </w:tr>
      <w:tr>
        <w:trPr/>
        <w:tc>
          <w:tcPr>
            <w:tcW w:w="3935"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bookmarkStart w:id="1587" w:name="xdx_40B_eus-gaap--GoodwillAcquiredDuring"/>
            <w:bookmarkEnd w:id="1587"/>
          </w:p>
        </w:tc>
      </w:tr>
      <w:tr>
        <w:trPr/>
        <w:tc>
          <w:tcPr>
            <w:tcW w:w="3935" w:type="dxa"/>
            <w:tcBorders/>
            <w:shd w:fill="FFFFFF" w:val="clear"/>
            <w:vAlign w:val="center"/>
          </w:tcPr>
          <w:p>
            <w:pPr>
              <w:pStyle w:val="TableContents"/>
              <w:bidi w:val="0"/>
              <w:spacing w:before="0" w:after="283"/>
              <w:jc w:val="left"/>
              <w:rPr/>
            </w:pPr>
            <w:r>
              <w:rPr/>
              <w:t>Acquisition of EMI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6,841</w:t>
            </w:r>
          </w:p>
        </w:tc>
        <w:tc>
          <w:tcPr>
            <w:tcW w:w="75" w:type="dxa"/>
            <w:tcBorders/>
            <w:shd w:fill="FFFFFF" w:val="clear"/>
            <w:vAlign w:val="center"/>
          </w:tcPr>
          <w:p>
            <w:pPr>
              <w:pStyle w:val="TableContents"/>
              <w:bidi w:val="0"/>
              <w:spacing w:before="0" w:after="283"/>
              <w:jc w:val="left"/>
              <w:rPr/>
            </w:pPr>
            <w:r>
              <w:rPr/>
              <w:t> </w:t>
            </w:r>
            <w:bookmarkStart w:id="1588" w:name="xdx_408_ecustom--GoodwillAcquiredDuringP"/>
            <w:bookmarkEnd w:id="1588"/>
          </w:p>
        </w:tc>
      </w:tr>
      <w:tr>
        <w:trPr/>
        <w:tc>
          <w:tcPr>
            <w:tcW w:w="3935" w:type="dxa"/>
            <w:tcBorders/>
            <w:shd w:fill="CCEEFF" w:val="clear"/>
            <w:vAlign w:val="center"/>
          </w:tcPr>
          <w:p>
            <w:pPr>
              <w:pStyle w:val="TableContents"/>
              <w:bidi w:val="0"/>
              <w:spacing w:before="0" w:after="283"/>
              <w:jc w:val="left"/>
              <w:rPr/>
            </w:pPr>
            <w:r>
              <w:rPr/>
              <w:t>Acquisition of RaGE Systems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75" w:type="dxa"/>
            <w:tcBorders/>
            <w:shd w:fill="CCEEFF" w:val="clear"/>
            <w:vAlign w:val="center"/>
          </w:tcPr>
          <w:p>
            <w:pPr>
              <w:pStyle w:val="TableContents"/>
              <w:bidi w:val="0"/>
              <w:spacing w:before="0" w:after="283"/>
              <w:jc w:val="left"/>
              <w:rPr/>
            </w:pPr>
            <w:r>
              <w:rPr/>
              <w:t> </w:t>
            </w:r>
            <w:bookmarkStart w:id="1589" w:name="xdx_409_eus-gaap--Goodwill_iE_zjDGAwLmpY"/>
            <w:bookmarkEnd w:id="1589"/>
          </w:p>
        </w:tc>
      </w:tr>
      <w:tr>
        <w:trPr/>
        <w:tc>
          <w:tcPr>
            <w:tcW w:w="3935" w:type="dxa"/>
            <w:tcBorders/>
            <w:shd w:fill="FFFFFF" w:val="clear"/>
            <w:vAlign w:val="center"/>
          </w:tcPr>
          <w:p>
            <w:pPr>
              <w:pStyle w:val="TableContents"/>
              <w:bidi w:val="0"/>
              <w:spacing w:before="0" w:after="283"/>
              <w:jc w:val="left"/>
              <w:rPr/>
            </w:pPr>
            <w:r>
              <w:rPr/>
              <w:t>Balance at September 30, 2024 and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90" w:name="xdx_988_eus-gaap--Goodwill_iE_c20250930_"/>
            <w:bookmarkEnd w:id="159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bookmarkStart w:id="1591" w:name="xdx_400_eus-gaap--Goodwill_iE_zICPccj6Gt"/>
            <w:bookmarkEnd w:id="1591"/>
          </w:p>
        </w:tc>
      </w:tr>
      <w:tr>
        <w:trPr/>
        <w:tc>
          <w:tcPr>
            <w:tcW w:w="3935"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592" w:name="xdx_8A7_zkjLwppgaEk7"/>
      <w:bookmarkEnd w:id="159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w:t>
      </w:r>
      <w:bookmarkStart w:id="1593" w:name="xdx_907_eus-gaap--GoodwillImpairmentLoss"/>
      <w:bookmarkStart w:id="1594" w:name="xdx_904_eus-gaap--GoodwillImpairmentLoss"/>
      <w:bookmarkEnd w:id="1593"/>
      <w:bookmarkEnd w:id="1594"/>
      <w:r>
        <w:rPr>
          <w:rFonts w:ascii="Times New Roman;Times;Serif" w:hAnsi="Times New Roman;Times;Serif"/>
          <w:b w:val="false"/>
          <w:i w:val="false"/>
          <w:caps w:val="false"/>
          <w:smallCaps w:val="false"/>
          <w:sz w:val="20"/>
        </w:rPr>
        <w:t>no impairment charges on goodwill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95" w:name="xdx_809_eus-gaap--AccountsPayableAccrued"/>
      <w:bookmarkEnd w:id="1595"/>
      <w:r>
        <w:rPr>
          <w:rFonts w:ascii="Times New Roman;Times;Serif" w:hAnsi="Times New Roman;Times;Serif"/>
          <w:b/>
          <w:i w:val="false"/>
          <w:caps w:val="false"/>
          <w:smallCaps w:val="false"/>
          <w:sz w:val="20"/>
        </w:rPr>
        <w:t xml:space="preserve">Note 9 — </w:t>
      </w:r>
      <w:bookmarkStart w:id="1596" w:name="xdx_82F_zARxr0yfi7Y1"/>
      <w:bookmarkEnd w:id="1596"/>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97" w:name="xdx_89D_eus-gaap--ScheduleOfAccruedLiabi"/>
      <w:bookmarkEnd w:id="1597"/>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bookmarkStart w:id="1598" w:name="xdx_8B9_zNC6hZ66Mj0c"/>
      <w:bookmarkEnd w:id="1598"/>
      <w:r>
        <w:rPr>
          <w:rFonts w:ascii="Times New Roman;Times;Serif" w:hAnsi="Times New Roman;Times;Serif"/>
          <w:b w:val="false"/>
          <w:i w:val="false"/>
          <w:caps w:val="false"/>
          <w:smallCaps w:val="false"/>
          <w:sz w:val="20"/>
        </w:rPr>
        <w:t>Schedule of Accrued Expenses and Other Current Liabilities </w:t>
      </w:r>
    </w:p>
    <w:tbl>
      <w:tblPr>
        <w:tblW w:w="6700" w:type="dxa"/>
        <w:jc w:val="left"/>
        <w:tblInd w:w="0" w:type="dxa"/>
        <w:tblLayout w:type="fixed"/>
        <w:tblCellMar>
          <w:top w:w="0" w:type="dxa"/>
          <w:left w:w="0" w:type="dxa"/>
          <w:bottom w:w="0" w:type="dxa"/>
          <w:right w:w="0" w:type="dxa"/>
        </w:tblCellMar>
      </w:tblPr>
      <w:tblGrid>
        <w:gridCol w:w="4805"/>
        <w:gridCol w:w="60"/>
        <w:gridCol w:w="140"/>
        <w:gridCol w:w="680"/>
        <w:gridCol w:w="60"/>
        <w:gridCol w:w="60"/>
        <w:gridCol w:w="140"/>
        <w:gridCol w:w="6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99" w:name="xdx_49E_20250930_zoSUA5Q54uQ4"/>
            <w:bookmarkEnd w:id="1599"/>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00" w:name="xdx_497_20240930_zGZryQ4tPJkb"/>
            <w:bookmarkEnd w:id="1600"/>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601" w:name="xdx_406_eus-gaap--WorkersCompensationLia"/>
            <w:bookmarkEnd w:id="1601"/>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w:t>
            </w:r>
          </w:p>
        </w:tc>
        <w:tc>
          <w:tcPr>
            <w:tcW w:w="75" w:type="dxa"/>
            <w:tcBorders/>
            <w:shd w:fill="CCEEFF" w:val="clear"/>
            <w:vAlign w:val="center"/>
          </w:tcPr>
          <w:p>
            <w:pPr>
              <w:pStyle w:val="TableContents"/>
              <w:bidi w:val="0"/>
              <w:spacing w:before="0" w:after="283"/>
              <w:jc w:val="left"/>
              <w:rPr/>
            </w:pPr>
            <w:r>
              <w:rPr/>
              <w:t> </w:t>
            </w:r>
            <w:bookmarkStart w:id="1602" w:name="xdx_404_eus-gaap--AccruedProfessionalFee"/>
            <w:bookmarkEnd w:id="1602"/>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bookmarkStart w:id="1603" w:name="xdx_406_eus-gaap--InterestPayableCurrent"/>
            <w:bookmarkEnd w:id="1603"/>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w:t>
            </w:r>
          </w:p>
        </w:tc>
        <w:tc>
          <w:tcPr>
            <w:tcW w:w="75" w:type="dxa"/>
            <w:tcBorders/>
            <w:shd w:fill="CCEEFF" w:val="clear"/>
            <w:vAlign w:val="center"/>
          </w:tcPr>
          <w:p>
            <w:pPr>
              <w:pStyle w:val="TableContents"/>
              <w:bidi w:val="0"/>
              <w:spacing w:before="0" w:after="283"/>
              <w:jc w:val="left"/>
              <w:rPr/>
            </w:pPr>
            <w:r>
              <w:rPr/>
              <w:t> </w:t>
            </w:r>
            <w:bookmarkStart w:id="1604" w:name="xdx_40E_eus-gaap--DeferredRevenueCurrent"/>
            <w:bookmarkEnd w:id="1604"/>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bookmarkStart w:id="1605" w:name="xdx_408_ecustom--CommittedEquityFacility"/>
            <w:bookmarkEnd w:id="1605"/>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1,553</w:t>
            </w:r>
          </w:p>
        </w:tc>
        <w:tc>
          <w:tcPr>
            <w:tcW w:w="75" w:type="dxa"/>
            <w:tcBorders/>
            <w:shd w:fill="CCEEFF" w:val="clear"/>
            <w:vAlign w:val="center"/>
          </w:tcPr>
          <w:p>
            <w:pPr>
              <w:pStyle w:val="TableContents"/>
              <w:bidi w:val="0"/>
              <w:spacing w:before="0" w:after="283"/>
              <w:jc w:val="left"/>
              <w:rPr/>
            </w:pPr>
            <w:r>
              <w:rPr/>
              <w:t> </w:t>
            </w:r>
            <w:bookmarkStart w:id="1606" w:name="xdx_400_ecustom--UnpaidMergerRelatedTran"/>
            <w:bookmarkEnd w:id="1606"/>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bookmarkStart w:id="1607" w:name="xdx_40A_ecustom--EarnoutCurrent_iI_pn3n3"/>
            <w:bookmarkEnd w:id="1607"/>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75" w:type="dxa"/>
            <w:tcBorders/>
            <w:shd w:fill="CCEEFF" w:val="clear"/>
            <w:vAlign w:val="center"/>
          </w:tcPr>
          <w:p>
            <w:pPr>
              <w:pStyle w:val="TableContents"/>
              <w:bidi w:val="0"/>
              <w:spacing w:before="0" w:after="283"/>
              <w:jc w:val="left"/>
              <w:rPr/>
            </w:pPr>
            <w:r>
              <w:rPr/>
              <w:t> </w:t>
            </w:r>
            <w:bookmarkStart w:id="1608" w:name="xdx_40C_eus-gaap--OtherAccruedLiabilitie"/>
            <w:bookmarkEnd w:id="1608"/>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2,221</w:t>
            </w:r>
          </w:p>
        </w:tc>
        <w:tc>
          <w:tcPr>
            <w:tcW w:w="75" w:type="dxa"/>
            <w:tcBorders/>
            <w:shd w:fill="FFFFFF" w:val="clear"/>
            <w:vAlign w:val="center"/>
          </w:tcPr>
          <w:p>
            <w:pPr>
              <w:pStyle w:val="TableContents"/>
              <w:bidi w:val="0"/>
              <w:spacing w:before="0" w:after="283"/>
              <w:jc w:val="left"/>
              <w:rPr/>
            </w:pPr>
            <w:r>
              <w:rPr/>
              <w:t> </w:t>
            </w:r>
            <w:bookmarkStart w:id="1609" w:name="xdx_406_eus-gaap--AccruedLiabilitiesCurr"/>
            <w:bookmarkEnd w:id="1609"/>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10" w:name="xdx_8A8_zpMkvrh4mpAg"/>
      <w:bookmarkEnd w:id="161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11" w:name="xdx_804_eus-gaap--DebtDisclosureTextBloc"/>
      <w:bookmarkEnd w:id="1611"/>
      <w:r>
        <w:rPr>
          <w:rFonts w:ascii="Times New Roman;Times;Serif" w:hAnsi="Times New Roman;Times;Serif"/>
          <w:b/>
          <w:i w:val="false"/>
          <w:caps w:val="false"/>
          <w:smallCaps w:val="false"/>
          <w:sz w:val="20"/>
        </w:rPr>
        <w:t xml:space="preserve">Note 10 — </w:t>
      </w:r>
      <w:bookmarkStart w:id="1612" w:name="xdx_82A_zfjByGOTWqwl"/>
      <w:bookmarkEnd w:id="1612"/>
      <w:r>
        <w:rPr>
          <w:rFonts w:ascii="Times New Roman;Times;Serif" w:hAnsi="Times New Roman;Times;Serif"/>
          <w:b/>
          <w:i w:val="false"/>
          <w:caps w:val="false"/>
          <w:smallCaps w:val="false"/>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613" w:name="xdx_895_eus-gaap--ScheduleOfDebtTableTex"/>
      <w:bookmarkEnd w:id="1613"/>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bookmarkStart w:id="1614" w:name="xdx_8BD_z1m0aUHj9Q84"/>
      <w:bookmarkEnd w:id="1614"/>
      <w:r>
        <w:rPr>
          <w:rFonts w:ascii="Times New Roman;Times;Serif" w:hAnsi="Times New Roman;Times;Serif"/>
          <w:b w:val="false"/>
          <w:i w:val="false"/>
          <w:caps w:val="false"/>
          <w:smallCaps w:val="false"/>
          <w:sz w:val="20"/>
        </w:rPr>
        <w:t>Schedule of Debt </w:t>
      </w:r>
    </w:p>
    <w:tbl>
      <w:tblPr>
        <w:tblW w:w="5435" w:type="dxa"/>
        <w:jc w:val="left"/>
        <w:tblInd w:w="0" w:type="dxa"/>
        <w:tblLayout w:type="fixed"/>
        <w:tblCellMar>
          <w:top w:w="0" w:type="dxa"/>
          <w:left w:w="0" w:type="dxa"/>
          <w:bottom w:w="0" w:type="dxa"/>
          <w:right w:w="0" w:type="dxa"/>
        </w:tblCellMar>
      </w:tblPr>
      <w:tblGrid>
        <w:gridCol w:w="3560"/>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5" w:name="xdx_49B_20250930_z6xid2gtRqT7"/>
            <w:bookmarkEnd w:id="1615"/>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16" w:name="xdx_492_20240930_zEoTqsFZjxkf"/>
            <w:bookmarkEnd w:id="1616"/>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617" w:name="xdx_405_eus-gaap--NotesPayable_iI_pn3n3_"/>
            <w:bookmarkEnd w:id="1617"/>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598</w:t>
            </w:r>
          </w:p>
        </w:tc>
        <w:tc>
          <w:tcPr>
            <w:tcW w:w="110" w:type="dxa"/>
            <w:tcBorders/>
            <w:shd w:fill="CCEEFF" w:val="clear"/>
            <w:vAlign w:val="center"/>
          </w:tcPr>
          <w:p>
            <w:pPr>
              <w:pStyle w:val="TableContents"/>
              <w:bidi w:val="0"/>
              <w:spacing w:before="0" w:after="283"/>
              <w:jc w:val="left"/>
              <w:rPr/>
            </w:pPr>
            <w:r>
              <w:rPr/>
              <w:t> </w:t>
            </w:r>
            <w:bookmarkStart w:id="1618" w:name="xdx_40A_eus-gaap--NotesPayable_iI_pn3n3_"/>
            <w:bookmarkEnd w:id="1618"/>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2,495</w:t>
            </w:r>
          </w:p>
        </w:tc>
        <w:tc>
          <w:tcPr>
            <w:tcW w:w="110" w:type="dxa"/>
            <w:tcBorders/>
            <w:shd w:fill="FFFFFF" w:val="clear"/>
            <w:vAlign w:val="center"/>
          </w:tcPr>
          <w:p>
            <w:pPr>
              <w:pStyle w:val="TableContents"/>
              <w:bidi w:val="0"/>
              <w:spacing w:before="0" w:after="283"/>
              <w:jc w:val="left"/>
              <w:rPr/>
            </w:pPr>
            <w:r>
              <w:rPr/>
              <w:t> </w:t>
            </w:r>
            <w:bookmarkStart w:id="1619" w:name="xdx_404_eus-gaap--NotesPayable_iI_pn3n3_"/>
            <w:bookmarkEnd w:id="1619"/>
          </w:p>
        </w:tc>
      </w:tr>
      <w:tr>
        <w:trPr/>
        <w:tc>
          <w:tcPr>
            <w:tcW w:w="3560"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0" w:type="dxa"/>
            <w:tcBorders/>
            <w:shd w:fill="CCEEFF" w:val="clear"/>
            <w:vAlign w:val="center"/>
          </w:tcPr>
          <w:p>
            <w:pPr>
              <w:pStyle w:val="TableContents"/>
              <w:bidi w:val="0"/>
              <w:spacing w:before="0" w:after="283"/>
              <w:jc w:val="left"/>
              <w:rPr/>
            </w:pPr>
            <w:r>
              <w:rPr/>
              <w:t> </w:t>
            </w:r>
            <w:bookmarkStart w:id="1620" w:name="xdx_40D_eus-gaap--NotesPayable_iI_pn3n3_"/>
            <w:bookmarkEnd w:id="1620"/>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110" w:type="dxa"/>
            <w:tcBorders/>
            <w:shd w:fill="CCEEFF" w:val="clear"/>
            <w:vAlign w:val="center"/>
          </w:tcPr>
          <w:p>
            <w:pPr>
              <w:pStyle w:val="TableContents"/>
              <w:bidi w:val="0"/>
              <w:spacing w:before="0" w:after="283"/>
              <w:jc w:val="left"/>
              <w:rPr/>
            </w:pPr>
            <w:r>
              <w:rPr/>
              <w:t> </w:t>
            </w:r>
            <w:bookmarkStart w:id="1621" w:name="xdx_400_eus-gaap--LongTermDebt_iI_pn3n3_"/>
            <w:bookmarkEnd w:id="1621"/>
          </w:p>
        </w:tc>
      </w:tr>
      <w:tr>
        <w:trPr/>
        <w:tc>
          <w:tcPr>
            <w:tcW w:w="356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3,423</w:t>
            </w:r>
          </w:p>
        </w:tc>
        <w:tc>
          <w:tcPr>
            <w:tcW w:w="110" w:type="dxa"/>
            <w:tcBorders/>
            <w:shd w:fill="FFFFFF" w:val="clear"/>
            <w:vAlign w:val="center"/>
          </w:tcPr>
          <w:p>
            <w:pPr>
              <w:pStyle w:val="TableContents"/>
              <w:bidi w:val="0"/>
              <w:spacing w:before="0" w:after="283"/>
              <w:jc w:val="left"/>
              <w:rPr/>
            </w:pPr>
            <w:r>
              <w:rPr/>
              <w:t> </w:t>
            </w:r>
            <w:bookmarkStart w:id="1622" w:name="xdx_402_eus-gaap--DebtCurrent_iNI_pn3n3_"/>
            <w:bookmarkEnd w:id="1622"/>
          </w:p>
        </w:tc>
      </w:tr>
      <w:tr>
        <w:trPr/>
        <w:tc>
          <w:tcPr>
            <w:tcW w:w="3560"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(2,141</w:t>
            </w:r>
          </w:p>
        </w:tc>
        <w:tc>
          <w:tcPr>
            <w:tcW w:w="110" w:type="dxa"/>
            <w:tcBorders/>
            <w:shd w:fill="CCEEFF" w:val="clear"/>
            <w:vAlign w:val="center"/>
          </w:tcPr>
          <w:p>
            <w:pPr>
              <w:pStyle w:val="TableContents"/>
              <w:bidi w:val="0"/>
              <w:spacing w:before="0" w:after="283"/>
              <w:jc w:val="left"/>
              <w:rPr/>
            </w:pPr>
            <w:r>
              <w:rPr/>
              <w:t>)</w:t>
            </w:r>
            <w:bookmarkStart w:id="1623" w:name="xdx_408_eus-gaap--LongTermDebtNoncurrent"/>
            <w:bookmarkEnd w:id="1623"/>
          </w:p>
        </w:tc>
      </w:tr>
      <w:tr>
        <w:trPr/>
        <w:tc>
          <w:tcPr>
            <w:tcW w:w="3560"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24" w:name="xdx_8A6_zOqRFgNMDSD6"/>
      <w:bookmarkEnd w:id="1624"/>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notes payable with financial institutions for net proceeds of $</w:t>
      </w:r>
      <w:bookmarkStart w:id="1625" w:name="xdx_90C_eus-gaap--ProceedsFromNotesPayab"/>
      <w:bookmarkEnd w:id="1625"/>
      <w:r>
        <w:rPr>
          <w:rFonts w:ascii="Times New Roman;Times;Serif" w:hAnsi="Times New Roman;Times;Serif"/>
          <w:b w:val="false"/>
          <w:i w:val="false"/>
          <w:caps w:val="false"/>
          <w:smallCaps w:val="false"/>
          <w:sz w:val="20"/>
        </w:rPr>
        <w:t>1,734. The notes have terms of seven to eighteen months and require weekly payments, including finance charges, totaling $</w:t>
      </w:r>
      <w:bookmarkStart w:id="1626" w:name="xdx_903_eus-gaap--NotesPayable_iI_pn3n3_"/>
      <w:bookmarkEnd w:id="1626"/>
      <w:r>
        <w:rPr>
          <w:rFonts w:ascii="Times New Roman;Times;Serif" w:hAnsi="Times New Roman;Times;Serif"/>
          <w:b w:val="false"/>
          <w:i w:val="false"/>
          <w:caps w:val="false"/>
          <w:smallCaps w:val="false"/>
          <w:sz w:val="20"/>
        </w:rPr>
        <w:t>2,791. The notes are secured by substantially all of the Company’s assets and one note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four additional notes payable having an aggregate principal amount of $</w:t>
      </w:r>
      <w:bookmarkStart w:id="1627" w:name="xdx_900_eus-gaap--DebtInstrumentFaceAmou"/>
      <w:bookmarkEnd w:id="1627"/>
      <w:r>
        <w:rPr>
          <w:rFonts w:ascii="Times New Roman;Times;Serif" w:hAnsi="Times New Roman;Times;Serif"/>
          <w:b w:val="false"/>
          <w:i w:val="false"/>
          <w:caps w:val="false"/>
          <w:smallCaps w:val="false"/>
          <w:sz w:val="20"/>
        </w:rPr>
        <w:t>1,275 with unrelated investors to meet its working capital needs. Net proceeds from the issuance of the notes were $</w:t>
      </w:r>
      <w:bookmarkStart w:id="1628" w:name="xdx_90F_eus-gaap--ProceedsFromNotesPayab"/>
      <w:bookmarkEnd w:id="1628"/>
      <w:r>
        <w:rPr>
          <w:rFonts w:ascii="Times New Roman;Times;Serif" w:hAnsi="Times New Roman;Times;Serif"/>
          <w:b w:val="false"/>
          <w:i w:val="false"/>
          <w:caps w:val="false"/>
          <w:smallCaps w:val="false"/>
          <w:sz w:val="20"/>
        </w:rPr>
        <w:t xml:space="preserve">1,152. Two of the notes bear interest at rates ranging from </w:t>
      </w:r>
      <w:bookmarkStart w:id="1629" w:name="xdx_90B_eus-gaap--DebtInstrumentInterest"/>
      <w:bookmarkEnd w:id="1629"/>
      <w:r>
        <w:rPr>
          <w:rFonts w:ascii="Times New Roman;Times;Serif" w:hAnsi="Times New Roman;Times;Serif"/>
          <w:b w:val="false"/>
          <w:i w:val="false"/>
          <w:caps w:val="false"/>
          <w:smallCaps w:val="false"/>
          <w:sz w:val="20"/>
        </w:rPr>
        <w:t xml:space="preserve">7% to </w:t>
      </w:r>
      <w:bookmarkStart w:id="1630" w:name="xdx_905_eus-gaap--DebtInstrumentInterest"/>
      <w:bookmarkEnd w:id="1630"/>
      <w:r>
        <w:rPr>
          <w:rFonts w:ascii="Times New Roman;Times;Serif" w:hAnsi="Times New Roman;Times;Serif"/>
          <w:b w:val="false"/>
          <w:i w:val="false"/>
          <w:caps w:val="false"/>
          <w:smallCaps w:val="false"/>
          <w:sz w:val="20"/>
        </w:rPr>
        <w:t xml:space="preserve">12% per annum; the remaining notes were issued at a discount and bear no interest. </w:t>
      </w:r>
      <w:bookmarkStart w:id="1631" w:name="xdx_904_eus-gaap--DebtInstrumentMaturity"/>
      <w:bookmarkEnd w:id="1631"/>
      <w:r>
        <w:rPr>
          <w:rFonts w:ascii="Times New Roman;Times;Serif" w:hAnsi="Times New Roman;Times;Serif"/>
          <w:b w:val="false"/>
          <w:i w:val="false"/>
          <w:caps w:val="false"/>
          <w:smallCaps w:val="false"/>
          <w:sz w:val="20"/>
        </w:rPr>
        <w:t>The notes mature at various dates from February 2025 to August 2026. One note requires monthly principal payments of $</w:t>
      </w:r>
      <w:bookmarkStart w:id="1632" w:name="xdx_907_eus-gaap--DebtInstrumentPeriodic"/>
      <w:bookmarkEnd w:id="1632"/>
      <w:r>
        <w:rPr>
          <w:rFonts w:ascii="Times New Roman;Times;Serif" w:hAnsi="Times New Roman;Times;Serif"/>
          <w:b w:val="false"/>
          <w:i w:val="false"/>
          <w:caps w:val="false"/>
          <w:smallCaps w:val="false"/>
          <w:sz w:val="20"/>
        </w:rPr>
        <w:t>103 commencing in March 2026; the remainder of the notes require payment of the principal balance upon maturity. One note, having a principal amount of $</w:t>
      </w:r>
      <w:bookmarkStart w:id="1633" w:name="xdx_90B_eus-gaap--DebtInstrumentAnnualPr"/>
      <w:bookmarkEnd w:id="1633"/>
      <w:r>
        <w:rPr>
          <w:rFonts w:ascii="Times New Roman;Times;Serif" w:hAnsi="Times New Roman;Times;Serif"/>
          <w:b w:val="false"/>
          <w:i w:val="false"/>
          <w:caps w:val="false"/>
          <w:smallCaps w:val="false"/>
          <w:sz w:val="20"/>
        </w:rPr>
        <w:t>550, provides that the principal and accrued interest thereon, totaling $</w:t>
      </w:r>
      <w:bookmarkStart w:id="1634" w:name="xdx_905_eus-gaap--DebtDefaultLongtermDeb"/>
      <w:bookmarkEnd w:id="1634"/>
      <w:r>
        <w:rPr>
          <w:rFonts w:ascii="Times New Roman;Times;Serif" w:hAnsi="Times New Roman;Times;Serif"/>
          <w:b w:val="false"/>
          <w:i w:val="false"/>
          <w:caps w:val="false"/>
          <w:smallCaps w:val="false"/>
          <w:sz w:val="20"/>
        </w:rPr>
        <w:t xml:space="preserve">616, may at the option of the investor be converted into shares of the Company’s Class A Common Stock at any time prior to maturity in August 2026. The Company also entered into a stock pledge agreement with an investor, pursuant to which the Company issued </w:t>
      </w:r>
      <w:bookmarkStart w:id="1635" w:name="xdx_90C_eus-gaap--SharesIssued_iI_pn3n3_"/>
      <w:bookmarkEnd w:id="1635"/>
      <w:r>
        <w:rPr>
          <w:rFonts w:ascii="Times New Roman;Times;Serif" w:hAnsi="Times New Roman;Times;Serif"/>
          <w:b w:val="false"/>
          <w:i w:val="false"/>
          <w:caps w:val="false"/>
          <w:smallCaps w:val="false"/>
          <w:sz w:val="20"/>
        </w:rPr>
        <w:t>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issuance of two notes payable, during the year ended September 30, 2025, the Company issued </w:t>
      </w:r>
      <w:bookmarkStart w:id="1636" w:name="xdx_902_eus-gaap--SharesIssued_iI_pn3n3_"/>
      <w:bookmarkEnd w:id="1636"/>
      <w:r>
        <w:rPr>
          <w:rFonts w:ascii="Times New Roman;Times;Serif" w:hAnsi="Times New Roman;Times;Serif"/>
          <w:b w:val="false"/>
          <w:i w:val="false"/>
          <w:caps w:val="false"/>
          <w:smallCaps w:val="false"/>
          <w:sz w:val="20"/>
        </w:rPr>
        <w:t>34,375 shares of its Class A Common Stock to the investors. The Company accounted for the shares at their fair value of $</w:t>
      </w:r>
      <w:bookmarkStart w:id="1637" w:name="xdx_905_eus-gaap--DebtInstrumentFairValu"/>
      <w:bookmarkEnd w:id="1637"/>
      <w:r>
        <w:rPr>
          <w:rFonts w:ascii="Times New Roman;Times;Serif" w:hAnsi="Times New Roman;Times;Serif"/>
          <w:b w:val="false"/>
          <w:i w:val="false"/>
          <w:caps w:val="false"/>
          <w:smallCaps w:val="false"/>
          <w:sz w:val="20"/>
        </w:rPr>
        <w:t>212 which was recorded as an increase to additional paid-in capital and as a discount to notes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agreements for the purchase and sale of future receipts with unrelated buyers, pursuant to which the Company agreed to sell to the buyers certain future trade receipts in the aggregate amount of $</w:t>
      </w:r>
      <w:bookmarkStart w:id="1638" w:name="xdx_900_ecustom--FutureReceiptsPurchased"/>
      <w:bookmarkEnd w:id="1638"/>
      <w:r>
        <w:rPr>
          <w:rFonts w:ascii="Times New Roman;Times;Serif" w:hAnsi="Times New Roman;Times;Serif"/>
          <w:b w:val="false"/>
          <w:i w:val="false"/>
          <w:caps w:val="false"/>
          <w:smallCaps w:val="false"/>
          <w:sz w:val="20"/>
        </w:rPr>
        <w:t>4,417 (the “Future Receipts Purchased Amount”) for net proceeds to the Company of $</w:t>
      </w:r>
      <w:bookmarkStart w:id="1639" w:name="xdx_90B_eus-gaap--ProceedsFromIssuanceOf"/>
      <w:bookmarkEnd w:id="1639"/>
      <w:r>
        <w:rPr>
          <w:rFonts w:ascii="Times New Roman;Times;Serif" w:hAnsi="Times New Roman;Times;Serif"/>
          <w:b w:val="false"/>
          <w:i w:val="false"/>
          <w:caps w:val="false"/>
          <w:smallCaps w:val="false"/>
          <w:sz w:val="20"/>
        </w:rPr>
        <w:t>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six promissory notes having an aggregate principal amount of $</w:t>
      </w:r>
      <w:bookmarkStart w:id="1640" w:name="xdx_900_eus-gaap--DebtInstrumentFaceAmou"/>
      <w:bookmarkEnd w:id="1640"/>
      <w:r>
        <w:rPr>
          <w:rFonts w:ascii="Times New Roman;Times;Serif" w:hAnsi="Times New Roman;Times;Serif"/>
          <w:b w:val="false"/>
          <w:i w:val="false"/>
          <w:caps w:val="false"/>
          <w:smallCaps w:val="false"/>
          <w:sz w:val="20"/>
        </w:rPr>
        <w:t>1,069 with unrelated investors to meet its working capital needs. The Company also issued convertible notes with an aggregate principal amount of $</w:t>
      </w:r>
      <w:bookmarkStart w:id="1641" w:name="xdx_904_eus-gaap--ConvertibleNotesPayabl"/>
      <w:bookmarkEnd w:id="1641"/>
      <w:r>
        <w:rPr>
          <w:rFonts w:ascii="Times New Roman;Times;Serif" w:hAnsi="Times New Roman;Times;Serif"/>
          <w:b w:val="false"/>
          <w:i w:val="false"/>
          <w:caps w:val="false"/>
          <w:smallCaps w:val="false"/>
          <w:sz w:val="20"/>
        </w:rPr>
        <w:t>200 to unrelated investors. Net proceeds from the issuance of the notes were $</w:t>
      </w:r>
      <w:bookmarkStart w:id="1642" w:name="xdx_903_eus-gaap--ProceedsFromNotesPayab"/>
      <w:bookmarkEnd w:id="1642"/>
      <w:r>
        <w:rPr>
          <w:rFonts w:ascii="Times New Roman;Times;Serif" w:hAnsi="Times New Roman;Times;Serif"/>
          <w:b w:val="false"/>
          <w:i w:val="false"/>
          <w:caps w:val="false"/>
          <w:smallCaps w:val="false"/>
          <w:sz w:val="20"/>
        </w:rPr>
        <w:t xml:space="preserve">1,198. The notes bear interest at rates ranging from </w:t>
      </w:r>
      <w:bookmarkStart w:id="1643" w:name="xdx_905_eus-gaap--DebtInstrumentInterest"/>
      <w:bookmarkEnd w:id="1643"/>
      <w:r>
        <w:rPr>
          <w:rFonts w:ascii="Times New Roman;Times;Serif" w:hAnsi="Times New Roman;Times;Serif"/>
          <w:b w:val="false"/>
          <w:i w:val="false"/>
          <w:caps w:val="false"/>
          <w:smallCaps w:val="false"/>
          <w:sz w:val="20"/>
        </w:rPr>
        <w:t xml:space="preserve">6% to </w:t>
      </w:r>
      <w:bookmarkStart w:id="1644" w:name="xdx_90F_eus-gaap--DebtInstrumentInterest"/>
      <w:bookmarkEnd w:id="1644"/>
      <w:r>
        <w:rPr>
          <w:rFonts w:ascii="Times New Roman;Times;Serif" w:hAnsi="Times New Roman;Times;Serif"/>
          <w:b w:val="false"/>
          <w:i w:val="false"/>
          <w:caps w:val="false"/>
          <w:smallCaps w:val="false"/>
          <w:sz w:val="20"/>
        </w:rPr>
        <w:t xml:space="preserve">76% per annum; one note was issued at a discount and bears no interest. </w:t>
      </w:r>
      <w:bookmarkStart w:id="1645" w:name="xdx_90E_eus-gaap--DebtInstrumentMaturity"/>
      <w:bookmarkEnd w:id="1645"/>
      <w:r>
        <w:rPr>
          <w:rFonts w:ascii="Times New Roman;Times;Serif" w:hAnsi="Times New Roman;Times;Serif"/>
          <w:b w:val="false"/>
          <w:i w:val="false"/>
          <w:caps w:val="false"/>
          <w:smallCaps w:val="false"/>
          <w:sz w:val="20"/>
        </w:rPr>
        <w:t>The notes mature at various dates through December 2024 and are unsecured. One note required weekly payments of $</w:t>
      </w:r>
      <w:bookmarkStart w:id="1646" w:name="xdx_90E_eus-gaap--DebtInstrumentPeriodic"/>
      <w:bookmarkEnd w:id="1646"/>
      <w:r>
        <w:rPr>
          <w:rFonts w:ascii="Times New Roman;Times;Serif" w:hAnsi="Times New Roman;Times;Serif"/>
          <w:b w:val="false"/>
          <w:i w:val="false"/>
          <w:caps w:val="false"/>
          <w:smallCaps w:val="false"/>
          <w:sz w:val="20"/>
        </w:rPr>
        <w:t xml:space="preserve">4. In connection with the Merger, all outstanding convertible notes were converted into </w:t>
      </w:r>
      <w:bookmarkStart w:id="1647" w:name="xdx_90A_eus-gaap--DebtConversionConverte"/>
      <w:bookmarkEnd w:id="1647"/>
      <w:r>
        <w:rPr>
          <w:rFonts w:ascii="Times New Roman;Times;Serif" w:hAnsi="Times New Roman;Times;Serif"/>
          <w:b w:val="false"/>
          <w:i w:val="false"/>
          <w:caps w:val="false"/>
          <w:smallCaps w:val="false"/>
          <w:sz w:val="20"/>
        </w:rPr>
        <w:t>3,004 shares of the Company’s Class A Common Stock and the $</w:t>
      </w:r>
      <w:bookmarkStart w:id="1648" w:name="xdx_90E_eus-gaap--DebtConversionConverte"/>
      <w:bookmarkEnd w:id="1648"/>
      <w:r>
        <w:rPr>
          <w:rFonts w:ascii="Times New Roman;Times;Serif" w:hAnsi="Times New Roman;Times;Serif"/>
          <w:b w:val="false"/>
          <w:i w:val="false"/>
          <w:caps w:val="false"/>
          <w:smallCaps w:val="false"/>
          <w:sz w:val="20"/>
        </w:rPr>
        <w:t>206 carrying amount of the notes and accrued interest thereon was credited to equity, with no gain or loss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immediately exercisable warrants to purchase an aggregate of </w:t>
      </w:r>
      <w:bookmarkStart w:id="1649" w:name="xdx_906_eus-gaap--ClassOfWarrantOrRightN"/>
      <w:bookmarkEnd w:id="1649"/>
      <w:r>
        <w:rPr>
          <w:rFonts w:ascii="Times New Roman;Times;Serif" w:hAnsi="Times New Roman;Times;Serif"/>
          <w:b w:val="false"/>
          <w:i w:val="false"/>
          <w:caps w:val="false"/>
          <w:smallCaps w:val="false"/>
          <w:sz w:val="20"/>
        </w:rPr>
        <w:t>20,196 shares of its common stock in connection with the issuance of certain notes. The warrants had exercise prices ranging from $</w:t>
      </w:r>
      <w:bookmarkStart w:id="1650" w:name="xdx_90C_eus-gaap--ClassOfWarrantOrRightE"/>
      <w:bookmarkEnd w:id="1650"/>
      <w:r>
        <w:rPr>
          <w:rFonts w:ascii="Times New Roman;Times;Serif" w:hAnsi="Times New Roman;Times;Serif"/>
          <w:b w:val="false"/>
          <w:i w:val="false"/>
          <w:caps w:val="false"/>
          <w:smallCaps w:val="false"/>
          <w:sz w:val="20"/>
        </w:rPr>
        <w:t>0.10 to $</w:t>
      </w:r>
      <w:bookmarkStart w:id="1651" w:name="xdx_90B_eus-gaap--ClassOfWarrantOrRightE"/>
      <w:bookmarkEnd w:id="1651"/>
      <w:r>
        <w:rPr>
          <w:rFonts w:ascii="Times New Roman;Times;Serif" w:hAnsi="Times New Roman;Times;Serif"/>
          <w:b w:val="false"/>
          <w:i w:val="false"/>
          <w:caps w:val="false"/>
          <w:smallCaps w:val="false"/>
          <w:sz w:val="20"/>
        </w:rPr>
        <w:t>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w:t>
      </w:r>
      <w:bookmarkStart w:id="1652" w:name="xdx_90F_eus-gaap--ProceedsFromIssuanceOf"/>
      <w:bookmarkEnd w:id="1652"/>
      <w:r>
        <w:rPr>
          <w:rFonts w:ascii="Times New Roman;Times;Serif" w:hAnsi="Times New Roman;Times;Serif"/>
          <w:b w:val="false"/>
          <w:i w:val="false"/>
          <w:caps w:val="false"/>
          <w:smallCaps w:val="false"/>
          <w:sz w:val="20"/>
        </w:rPr>
        <w:t xml:space="preserve">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w:t>
      </w:r>
      <w:bookmarkStart w:id="1653" w:name="xdx_900_eus-gaap--WarrantsAndRightsOutst"/>
      <w:bookmarkEnd w:id="1653"/>
      <w:r>
        <w:rPr>
          <w:rFonts w:ascii="Times New Roman;Times;Serif" w:hAnsi="Times New Roman;Times;Serif"/>
          <w:b w:val="false"/>
          <w:i w:val="false"/>
          <w:caps w:val="false"/>
          <w:smallCaps w:val="false"/>
          <w:sz w:val="20"/>
        </w:rPr>
        <w:t>55.0-</w:t>
      </w:r>
      <w:bookmarkStart w:id="1654" w:name="xdx_90A_eus-gaap--WarrantsAndRightsOutst"/>
      <w:bookmarkEnd w:id="1654"/>
      <w:r>
        <w:rPr>
          <w:rFonts w:ascii="Times New Roman;Times;Serif" w:hAnsi="Times New Roman;Times;Serif"/>
          <w:b w:val="false"/>
          <w:i w:val="false"/>
          <w:caps w:val="false"/>
          <w:smallCaps w:val="false"/>
          <w:sz w:val="20"/>
        </w:rPr>
        <w:t xml:space="preserve">55.6%; </w:t>
      </w:r>
      <w:bookmarkStart w:id="1655" w:name="xdx_90A_eus-gaap--WarrantsAndRightsOutst"/>
      <w:bookmarkEnd w:id="1655"/>
      <w:r>
        <w:rPr>
          <w:rFonts w:ascii="Times New Roman;Times;Serif" w:hAnsi="Times New Roman;Times;Serif"/>
          <w:b w:val="false"/>
          <w:i w:val="false"/>
          <w:caps w:val="false"/>
          <w:smallCaps w:val="false"/>
          <w:sz w:val="20"/>
        </w:rPr>
        <w:t xml:space="preserve">no expected dividend yield; risk-free interest rate of </w:t>
      </w:r>
      <w:bookmarkStart w:id="1656" w:name="xdx_90E_eus-gaap--WarrantsAndRightsOutst"/>
      <w:bookmarkEnd w:id="1656"/>
      <w:r>
        <w:rPr>
          <w:rFonts w:ascii="Times New Roman;Times;Serif" w:hAnsi="Times New Roman;Times;Serif"/>
          <w:b w:val="false"/>
          <w:i w:val="false"/>
          <w:caps w:val="false"/>
          <w:smallCaps w:val="false"/>
          <w:sz w:val="20"/>
        </w:rPr>
        <w:t>4.7-</w:t>
      </w:r>
      <w:bookmarkStart w:id="1657" w:name="xdx_90A_eus-gaap--WarrantsAndRightsOutst"/>
      <w:bookmarkEnd w:id="1657"/>
      <w:r>
        <w:rPr>
          <w:rFonts w:ascii="Times New Roman;Times;Serif" w:hAnsi="Times New Roman;Times;Serif"/>
          <w:b w:val="false"/>
          <w:i w:val="false"/>
          <w:caps w:val="false"/>
          <w:smallCaps w:val="false"/>
          <w:sz w:val="20"/>
        </w:rPr>
        <w:t>5.3%; and expected term of one</w:t>
      </w:r>
      <w:bookmarkStart w:id="1658" w:name="xdx_901_eus-gaap--WarrantsAndRightsOutst"/>
      <w:bookmarkEnd w:id="1658"/>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 to </w:t>
      </w:r>
      <w:bookmarkStart w:id="1659" w:name="xdx_90A_eus-gaap--WarrantsAndRightsOutst"/>
      <w:bookmarkEnd w:id="1659"/>
      <w:r>
        <w:rPr>
          <w:rFonts w:ascii="Times New Roman;Times;Serif" w:hAnsi="Times New Roman;Times;Serif"/>
          <w:b w:val="false"/>
          <w:i w:val="false"/>
          <w:caps w:val="false"/>
          <w:smallCaps w:val="false"/>
          <w:sz w:val="20"/>
        </w:rPr>
        <w:t>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the holders of three notes agreed to settle the outstanding principal and accrued interest, totaling $</w:t>
      </w:r>
      <w:bookmarkStart w:id="1660" w:name="xdx_905_eus-gaap--DebtConversionConverte"/>
      <w:bookmarkEnd w:id="1660"/>
      <w:r>
        <w:rPr>
          <w:rFonts w:ascii="Times New Roman;Times;Serif" w:hAnsi="Times New Roman;Times;Serif"/>
          <w:b w:val="false"/>
          <w:i w:val="false"/>
          <w:caps w:val="false"/>
          <w:smallCaps w:val="false"/>
          <w:sz w:val="20"/>
        </w:rPr>
        <w:t xml:space="preserve">661, in exchange for </w:t>
      </w:r>
      <w:bookmarkStart w:id="1661" w:name="xdx_904_eus-gaap--DebtConversionConverte"/>
      <w:bookmarkEnd w:id="1661"/>
      <w:r>
        <w:rPr>
          <w:rFonts w:ascii="Times New Roman;Times;Serif" w:hAnsi="Times New Roman;Times;Serif"/>
          <w:b w:val="false"/>
          <w:i w:val="false"/>
          <w:caps w:val="false"/>
          <w:smallCaps w:val="false"/>
          <w:sz w:val="20"/>
        </w:rPr>
        <w:t>79,868 shares of the Company’s Class A Common Stock. The Company recognized a loss on the extinguishment of debt of $</w:t>
      </w:r>
      <w:bookmarkStart w:id="1662" w:name="xdx_90B_eus-gaap--GainsLossesOnExtinguis"/>
      <w:bookmarkEnd w:id="1662"/>
      <w:r>
        <w:rPr>
          <w:rFonts w:ascii="Times New Roman;Times;Serif" w:hAnsi="Times New Roman;Times;Serif"/>
          <w:b w:val="false"/>
          <w:i w:val="false"/>
          <w:caps w:val="false"/>
          <w:smallCaps w:val="false"/>
          <w:sz w:val="20"/>
        </w:rPr>
        <w:t>300, which is included in “Other non-operating losses,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made principal payments of $</w:t>
      </w:r>
      <w:bookmarkStart w:id="1663" w:name="xdx_905_eus-gaap--DebtInstrumentAnnualPr"/>
      <w:bookmarkEnd w:id="1663"/>
      <w:r>
        <w:rPr>
          <w:rFonts w:ascii="Times New Roman;Times;Serif" w:hAnsi="Times New Roman;Times;Serif"/>
          <w:b w:val="false"/>
          <w:i w:val="false"/>
          <w:caps w:val="false"/>
          <w:smallCaps w:val="false"/>
          <w:sz w:val="20"/>
        </w:rPr>
        <w:t>1,215 and $</w:t>
      </w:r>
      <w:bookmarkStart w:id="1664" w:name="xdx_90E_eus-gaap--DebtInstrumentAnnualPr"/>
      <w:bookmarkEnd w:id="1664"/>
      <w:r>
        <w:rPr>
          <w:rFonts w:ascii="Times New Roman;Times;Serif" w:hAnsi="Times New Roman;Times;Serif"/>
          <w:b w:val="false"/>
          <w:i w:val="false"/>
          <w:caps w:val="false"/>
          <w:smallCaps w:val="false"/>
          <w:sz w:val="20"/>
        </w:rPr>
        <w:t>1,749, respectively, on notes payable. As of September 30, 2025, notes payable having a remaining principal balance of $</w:t>
      </w:r>
      <w:bookmarkStart w:id="1665" w:name="xdx_905_ecustom--DebtInstrumentRemaining"/>
      <w:bookmarkEnd w:id="1665"/>
      <w:r>
        <w:rPr>
          <w:rFonts w:ascii="Times New Roman;Times;Serif" w:hAnsi="Times New Roman;Times;Serif"/>
          <w:b w:val="false"/>
          <w:i w:val="false"/>
          <w:caps w:val="false"/>
          <w:smallCaps w:val="false"/>
          <w:sz w:val="20"/>
        </w:rPr>
        <w:t>4,264 were outstanding and are included in “Notes payable, current” at a carrying amount of $</w:t>
      </w:r>
      <w:bookmarkStart w:id="1666" w:name="xdx_90C_eus-gaap--DebtInstrumentCarrying"/>
      <w:bookmarkEnd w:id="1666"/>
      <w:r>
        <w:rPr>
          <w:rFonts w:ascii="Times New Roman;Times;Serif" w:hAnsi="Times New Roman;Times;Serif"/>
          <w:b w:val="false"/>
          <w:i w:val="false"/>
          <w:caps w:val="false"/>
          <w:smallCaps w:val="false"/>
          <w:sz w:val="20"/>
        </w:rPr>
        <w:t>3,934 (net of unamortized discount of $</w:t>
      </w:r>
      <w:bookmarkStart w:id="1667" w:name="xdx_907_eus-gaap--DebtInstrumentUnamorti"/>
      <w:bookmarkEnd w:id="1667"/>
      <w:r>
        <w:rPr>
          <w:rFonts w:ascii="Times New Roman;Times;Serif" w:hAnsi="Times New Roman;Times;Serif"/>
          <w:b w:val="false"/>
          <w:i w:val="false"/>
          <w:caps w:val="false"/>
          <w:smallCaps w:val="false"/>
          <w:sz w:val="20"/>
        </w:rPr>
        <w:t>330)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two outstanding promissory notes with related parties which the Company assumed in 2020 as part of an asset acquisition. The promissory notes bear interest at </w:t>
      </w:r>
      <w:bookmarkStart w:id="1668" w:name="xdx_909_eus-gaap--DebtInstrumentInterest"/>
      <w:bookmarkEnd w:id="1668"/>
      <w:r>
        <w:rPr>
          <w:rFonts w:ascii="Times New Roman;Times;Serif" w:hAnsi="Times New Roman;Times;Serif"/>
          <w:b w:val="false"/>
          <w:i w:val="false"/>
          <w:caps w:val="false"/>
          <w:smallCaps w:val="false"/>
          <w:sz w:val="20"/>
        </w:rPr>
        <w:t xml:space="preserve">7% per annum and are unsecured. During the year ended September 30, 2025, the Company and the holders of the </w:t>
      </w:r>
      <w:bookmarkStart w:id="1669" w:name="xdx_90B_eus-gaap--DebtInstrumentInterest"/>
      <w:bookmarkEnd w:id="1669"/>
      <w:r>
        <w:rPr>
          <w:rFonts w:ascii="Times New Roman;Times;Serif" w:hAnsi="Times New Roman;Times;Serif"/>
          <w:b w:val="false"/>
          <w:i w:val="false"/>
          <w:caps w:val="false"/>
          <w:smallCaps w:val="false"/>
          <w:sz w:val="20"/>
        </w:rPr>
        <w:t>7% promissory notes each agreed to extend the payment terms, such that the outstanding principal and accrued interest will be repaid in monthly payments of varying amounts through March 2027, with the remaining principal balance of $</w:t>
      </w:r>
      <w:bookmarkStart w:id="1670" w:name="xdx_903_eus-gaap--DebtInstrumentPeriodic"/>
      <w:bookmarkEnd w:id="1670"/>
      <w:r>
        <w:rPr>
          <w:rFonts w:ascii="Times New Roman;Times;Serif" w:hAnsi="Times New Roman;Times;Serif"/>
          <w:b w:val="false"/>
          <w:i w:val="false"/>
          <w:caps w:val="false"/>
          <w:smallCaps w:val="false"/>
          <w:sz w:val="20"/>
        </w:rPr>
        <w:t>979 payable on May 15, 2027. As a result of these agreements, the Company has reclassified $</w:t>
      </w:r>
      <w:bookmarkStart w:id="1671" w:name="xdx_903_eus-gaap--LongTermNotesPayable_i"/>
      <w:bookmarkEnd w:id="1671"/>
      <w:r>
        <w:rPr>
          <w:rFonts w:ascii="Times New Roman;Times;Serif" w:hAnsi="Times New Roman;Times;Serif"/>
          <w:b w:val="false"/>
          <w:i w:val="false"/>
          <w:caps w:val="false"/>
          <w:smallCaps w:val="false"/>
          <w:sz w:val="20"/>
        </w:rPr>
        <w:t xml:space="preserve">1,099 of the outstanding principal balance of the </w:t>
      </w:r>
      <w:bookmarkStart w:id="1672" w:name="xdx_905_eus-gaap--DebtInstrumentInterest"/>
      <w:bookmarkEnd w:id="1672"/>
      <w:r>
        <w:rPr>
          <w:rFonts w:ascii="Times New Roman;Times;Serif" w:hAnsi="Times New Roman;Times;Serif"/>
          <w:b w:val="false"/>
          <w:i w:val="false"/>
          <w:caps w:val="false"/>
          <w:smallCaps w:val="false"/>
          <w:sz w:val="20"/>
        </w:rPr>
        <w:t xml:space="preserve">7% promissory notes to “Notes payable — related parties, noncurrent” in the consolidated balance sheet as of September 30, 2025. The portion of the </w:t>
      </w:r>
      <w:bookmarkStart w:id="1673" w:name="xdx_906_eus-gaap--DebtInstrumentInterest"/>
      <w:bookmarkEnd w:id="1673"/>
      <w:r>
        <w:rPr>
          <w:rFonts w:ascii="Times New Roman;Times;Serif" w:hAnsi="Times New Roman;Times;Serif"/>
          <w:b w:val="false"/>
          <w:i w:val="false"/>
          <w:caps w:val="false"/>
          <w:smallCaps w:val="false"/>
          <w:sz w:val="20"/>
        </w:rPr>
        <w:t>7% promissory notes due within one year is included in “Notes payable — related parties, current” in the consolidated balance sheets. During the years ended September 30, 2025 and 2024, the Company made principal payments of $</w:t>
      </w:r>
      <w:bookmarkStart w:id="1674" w:name="xdx_908_eus-gaap--DebtInstrumentPeriodic"/>
      <w:bookmarkEnd w:id="1674"/>
      <w:r>
        <w:rPr>
          <w:rFonts w:ascii="Times New Roman;Times;Serif" w:hAnsi="Times New Roman;Times;Serif"/>
          <w:b w:val="false"/>
          <w:i w:val="false"/>
          <w:caps w:val="false"/>
          <w:smallCaps w:val="false"/>
          <w:sz w:val="20"/>
        </w:rPr>
        <w:t>244 and $</w:t>
      </w:r>
      <w:bookmarkStart w:id="1675" w:name="xdx_90C_eus-gaap--DebtInstrumentPeriodic"/>
      <w:bookmarkEnd w:id="1675"/>
      <w:r>
        <w:rPr>
          <w:rFonts w:ascii="Times New Roman;Times;Serif" w:hAnsi="Times New Roman;Times;Serif"/>
          <w:b w:val="false"/>
          <w:i w:val="false"/>
          <w:caps w:val="false"/>
          <w:smallCaps w:val="false"/>
          <w:sz w:val="20"/>
        </w:rPr>
        <w:t xml:space="preserve">854 on the </w:t>
      </w:r>
      <w:bookmarkStart w:id="1676" w:name="xdx_909_eus-gaap--DebtInstrumentInterest"/>
      <w:bookmarkEnd w:id="1676"/>
      <w:r>
        <w:rPr>
          <w:rFonts w:ascii="Times New Roman;Times;Serif" w:hAnsi="Times New Roman;Times;Serif"/>
          <w:b w:val="false"/>
          <w:i w:val="false"/>
          <w:caps w:val="false"/>
          <w:smallCaps w:val="false"/>
          <w:sz w:val="20"/>
        </w:rPr>
        <w:t>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two promissory notes having an aggregate principal amount of $</w:t>
      </w:r>
      <w:bookmarkStart w:id="1677" w:name="xdx_906_eus-gaap--DebtInstrumentFaceAmou"/>
      <w:bookmarkEnd w:id="1677"/>
      <w:r>
        <w:rPr>
          <w:rFonts w:ascii="Times New Roman;Times;Serif" w:hAnsi="Times New Roman;Times;Serif"/>
          <w:b w:val="false"/>
          <w:i w:val="false"/>
          <w:caps w:val="false"/>
          <w:smallCaps w:val="false"/>
          <w:sz w:val="20"/>
        </w:rPr>
        <w:t>495 with a related party to meet its working capital needs. Net proceeds from the issuance of the notes were $</w:t>
      </w:r>
      <w:bookmarkStart w:id="1678" w:name="xdx_903_eus-gaap--ProceedsFromNotesPayab"/>
      <w:bookmarkEnd w:id="1678"/>
      <w:r>
        <w:rPr>
          <w:rFonts w:ascii="Times New Roman;Times;Serif" w:hAnsi="Times New Roman;Times;Serif"/>
          <w:b w:val="false"/>
          <w:i w:val="false"/>
          <w:caps w:val="false"/>
          <w:smallCaps w:val="false"/>
          <w:sz w:val="20"/>
        </w:rPr>
        <w:t xml:space="preserve">450. </w:t>
      </w:r>
      <w:bookmarkStart w:id="1679" w:name="xdx_905_eus-gaap--DebtInstrumentMaturity"/>
      <w:bookmarkEnd w:id="1679"/>
      <w:r>
        <w:rPr>
          <w:rFonts w:ascii="Times New Roman;Times;Serif" w:hAnsi="Times New Roman;Times;Serif"/>
          <w:b w:val="false"/>
          <w:i w:val="false"/>
          <w:caps w:val="false"/>
          <w:smallCaps w:val="false"/>
          <w:sz w:val="20"/>
        </w:rPr>
        <w:t>The notes bear no interest, are unsecured and matured at various dates through November 2024. The Company repaid one of the notes, having a principal balance of $</w:t>
      </w:r>
      <w:bookmarkStart w:id="1680" w:name="xdx_90A_eus-gaap--RepaymentsOfNotesPayab"/>
      <w:bookmarkEnd w:id="1680"/>
      <w:r>
        <w:rPr>
          <w:rFonts w:ascii="Times New Roman;Times;Serif" w:hAnsi="Times New Roman;Times;Serif"/>
          <w:b w:val="false"/>
          <w:i w:val="false"/>
          <w:caps w:val="false"/>
          <w:smallCaps w:val="false"/>
          <w:sz w:val="20"/>
        </w:rPr>
        <w:t>165, during the year ended September 30, 2024 and repaid the remaining note, having a principal balance of $</w:t>
      </w:r>
      <w:bookmarkStart w:id="1681" w:name="xdx_908_eus-gaap--RepaymentsOfNotesPayab"/>
      <w:bookmarkEnd w:id="1681"/>
      <w:r>
        <w:rPr>
          <w:rFonts w:ascii="Times New Roman;Times;Serif" w:hAnsi="Times New Roman;Times;Serif"/>
          <w:b w:val="false"/>
          <w:i w:val="false"/>
          <w:caps w:val="false"/>
          <w:smallCaps w:val="false"/>
          <w:sz w:val="20"/>
        </w:rPr>
        <w:t>330,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82" w:name="xdx_80A_eus-gaap--LesseeOperatingLeasesT"/>
      <w:bookmarkEnd w:id="1682"/>
      <w:r>
        <w:rPr>
          <w:rFonts w:ascii="Times New Roman;Times;Serif" w:hAnsi="Times New Roman;Times;Serif"/>
          <w:b/>
          <w:i w:val="false"/>
          <w:caps w:val="false"/>
          <w:smallCaps w:val="false"/>
          <w:sz w:val="20"/>
        </w:rPr>
        <w:t xml:space="preserve">Note 11 — </w:t>
      </w:r>
      <w:bookmarkStart w:id="1683" w:name="xdx_82A_z90Voj1TlFw9"/>
      <w:bookmarkEnd w:id="1683"/>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entered into operating leases for office space. </w:t>
      </w:r>
      <w:bookmarkStart w:id="1684" w:name="xdx_904_eus-gaap--LesseeOperatingLeaseOp"/>
      <w:bookmarkEnd w:id="1684"/>
      <w:r>
        <w:rPr>
          <w:rFonts w:ascii="Times New Roman;Times;Serif" w:hAnsi="Times New Roman;Times;Serif"/>
          <w:b w:val="false"/>
          <w:i w:val="false"/>
          <w:caps w:val="false"/>
          <w:smallCaps w:val="false"/>
          <w:sz w:val="20"/>
        </w:rPr>
        <w:t>The leases have remaining terms ranging from three months to 1.8 years and expire at various dates through July 2027. The leases do not contain residual value guarantees or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new or amended leases relating to four properties. In connection with these leases, the Company recognized additional right-of-use assets and operating lease liabilities of $</w:t>
      </w:r>
      <w:bookmarkStart w:id="1685" w:name="xdx_908_eus-gaap--OperatingLeaseRightOfU"/>
      <w:bookmarkStart w:id="1686" w:name="xdx_905_eus-gaap--OperatingLeaseLiabilit"/>
      <w:bookmarkEnd w:id="1685"/>
      <w:bookmarkEnd w:id="1686"/>
      <w:r>
        <w:rPr>
          <w:rFonts w:ascii="Times New Roman;Times;Serif" w:hAnsi="Times New Roman;Times;Serif"/>
          <w:b w:val="false"/>
          <w:i w:val="false"/>
          <w:caps w:val="false"/>
          <w:smallCaps w:val="false"/>
          <w:sz w:val="20"/>
        </w:rPr>
        <w:t>528. The Company also modified the lease on one property it occupies in Lowell, Massachusetts to reduce the remaining lease term. As a result of the modification, the Company recognized an $</w:t>
      </w:r>
      <w:bookmarkStart w:id="1687" w:name="xdx_908_eus-gaap--OperatingLeaseLiabilit"/>
      <w:bookmarkStart w:id="1688" w:name="xdx_904_eus-gaap--OperatingLeaseRightOfU"/>
      <w:bookmarkEnd w:id="1687"/>
      <w:bookmarkEnd w:id="1688"/>
      <w:r>
        <w:rPr>
          <w:rFonts w:ascii="Times New Roman;Times;Serif" w:hAnsi="Times New Roman;Times;Serif"/>
          <w:b w:val="false"/>
          <w:i w:val="false"/>
          <w:caps w:val="false"/>
          <w:smallCaps w:val="false"/>
          <w:sz w:val="20"/>
        </w:rPr>
        <w:t>86 reduction in the related ROU asset and operating lease liability. There were no leases that had not yet commenced as of September 30, 2025 that will create significant additional rights and obligations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vacated a leased </w:t>
      </w:r>
      <w:bookmarkStart w:id="1689" w:name="xdx_905_eus-gaap--AreaOfLand_iI_uSqft_c2"/>
      <w:bookmarkEnd w:id="1689"/>
      <w:r>
        <w:rPr>
          <w:rFonts w:ascii="Times New Roman;Times;Serif" w:hAnsi="Times New Roman;Times;Serif"/>
          <w:b w:val="false"/>
          <w:i w:val="false"/>
          <w:caps w:val="false"/>
          <w:smallCaps w:val="false"/>
          <w:sz w:val="20"/>
        </w:rPr>
        <w:t xml:space="preserve">19,436 square foot office in Irvine, California, having a remaining lease term of </w:t>
      </w:r>
      <w:bookmarkStart w:id="1690" w:name="xdx_903_eus-gaap--LesseeOperatingLeaseRe"/>
      <w:bookmarkEnd w:id="1690"/>
      <w:r>
        <w:rPr>
          <w:rFonts w:ascii="Times New Roman;Times;Serif" w:hAnsi="Times New Roman;Times;Serif"/>
          <w:b w:val="false"/>
          <w:i w:val="false"/>
          <w:caps w:val="false"/>
          <w:smallCaps w:val="false"/>
          <w:sz w:val="20"/>
        </w:rPr>
        <w:t>2.4 years and in April 2025 the lease was terminated. As a result of the termination of the lease, the Company recognized an impairment loss of $</w:t>
      </w:r>
      <w:bookmarkStart w:id="1691" w:name="xdx_905_eus-gaap--OperatingLeaseImpairme"/>
      <w:bookmarkEnd w:id="1691"/>
      <w:r>
        <w:rPr>
          <w:rFonts w:ascii="Times New Roman;Times;Serif" w:hAnsi="Times New Roman;Times;Serif"/>
          <w:b w:val="false"/>
          <w:i w:val="false"/>
          <w:caps w:val="false"/>
          <w:smallCaps w:val="false"/>
          <w:sz w:val="20"/>
        </w:rPr>
        <w:t>725 to reduce the carrying value of this asset group to its estimated fair value. The resulting impairment loss is included in “Impairment of long-lived assets”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92" w:name="xdx_89F_eus-gaap--LeaseCostTableTextBloc"/>
      <w:bookmarkEnd w:id="1692"/>
      <w:r>
        <w:rPr>
          <w:rFonts w:ascii="Times New Roman;Times;Serif" w:hAnsi="Times New Roman;Times;Serif"/>
          <w:b w:val="false"/>
          <w:i w:val="false"/>
          <w:caps w:val="false"/>
          <w:smallCaps w:val="false"/>
          <w:sz w:val="20"/>
        </w:rPr>
        <w:t>The following lease costs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bookmarkStart w:id="1693" w:name="xdx_8B4_ztwj4aJ6QAsc"/>
      <w:bookmarkEnd w:id="1693"/>
      <w:r>
        <w:rPr>
          <w:rFonts w:ascii="Times New Roman;Times;Serif" w:hAnsi="Times New Roman;Times;Serif"/>
          <w:b w:val="false"/>
          <w:i w:val="false"/>
          <w:caps w:val="false"/>
          <w:smallCaps w:val="false"/>
          <w:sz w:val="20"/>
        </w:rPr>
        <w:t>Schedule of Lease Costs </w:t>
      </w:r>
    </w:p>
    <w:tbl>
      <w:tblPr>
        <w:tblW w:w="3609" w:type="dxa"/>
        <w:jc w:val="left"/>
        <w:tblInd w:w="0" w:type="dxa"/>
        <w:tblLayout w:type="fixed"/>
        <w:tblCellMar>
          <w:top w:w="0" w:type="dxa"/>
          <w:left w:w="0" w:type="dxa"/>
          <w:bottom w:w="0" w:type="dxa"/>
          <w:right w:w="0" w:type="dxa"/>
        </w:tblCellMar>
      </w:tblPr>
      <w:tblGrid>
        <w:gridCol w:w="2000"/>
        <w:gridCol w:w="60"/>
        <w:gridCol w:w="178"/>
        <w:gridCol w:w="483"/>
        <w:gridCol w:w="76"/>
        <w:gridCol w:w="76"/>
        <w:gridCol w:w="178"/>
        <w:gridCol w:w="4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4" w:name="xdx_49E_20241001__20250930_zGYiCohPX2Qb"/>
            <w:bookmarkEnd w:id="1694"/>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1695" w:name="xdx_49B_20231001__20240930_z7Ux0UzLqike"/>
            <w:bookmarkEnd w:id="1695"/>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696" w:name="xdx_40E_eus-gaap--OperatingLeaseCost_pn3"/>
            <w:bookmarkEnd w:id="1696"/>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546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bookmarkStart w:id="1697" w:name="xdx_405_eus-gaap--ShortTermLeaseCost_pn3"/>
            <w:bookmarkEnd w:id="1697"/>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bookmarkStart w:id="1698" w:name="xdx_40E_eus-gaap--LeaseCost_iT_pn3n3_mtL"/>
            <w:bookmarkEnd w:id="1698"/>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699" w:name="xdx_8A1_zriczbDSU4ob"/>
      <w:bookmarkEnd w:id="16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years ended September 30, 2025 and 2024 was $</w:t>
      </w:r>
      <w:bookmarkStart w:id="1700" w:name="xdx_90B_eus-gaap--OperatingLeasePayments"/>
      <w:bookmarkEnd w:id="1700"/>
      <w:r>
        <w:rPr>
          <w:rFonts w:ascii="Times New Roman;Times;Serif" w:hAnsi="Times New Roman;Times;Serif"/>
          <w:b w:val="false"/>
          <w:i w:val="false"/>
          <w:caps w:val="false"/>
          <w:smallCaps w:val="false"/>
          <w:sz w:val="20"/>
        </w:rPr>
        <w:t>549 and $</w:t>
      </w:r>
      <w:bookmarkStart w:id="1701" w:name="xdx_901_eus-gaap--OperatingLeasePayments"/>
      <w:bookmarkEnd w:id="1701"/>
      <w:r>
        <w:rPr>
          <w:rFonts w:ascii="Times New Roman;Times;Serif" w:hAnsi="Times New Roman;Times;Serif"/>
          <w:b w:val="false"/>
          <w:i w:val="false"/>
          <w:caps w:val="false"/>
          <w:smallCaps w:val="false"/>
          <w:sz w:val="20"/>
        </w:rPr>
        <w:t xml:space="preserve">563, respectively. As of September 30, 2025, the weighted-average remaining lease term was </w:t>
      </w:r>
      <w:bookmarkStart w:id="1702" w:name="xdx_90B_eus-gaap--OperatingLeaseWeighted"/>
      <w:bookmarkEnd w:id="1702"/>
      <w:r>
        <w:rPr>
          <w:rFonts w:ascii="Times New Roman;Times;Serif" w:hAnsi="Times New Roman;Times;Serif"/>
          <w:b w:val="false"/>
          <w:i w:val="false"/>
          <w:caps w:val="false"/>
          <w:smallCaps w:val="false"/>
          <w:sz w:val="20"/>
        </w:rPr>
        <w:t xml:space="preserve">1.3 years, and the weighted-average discount rate was </w:t>
      </w:r>
      <w:bookmarkStart w:id="1703" w:name="xdx_902_eus-gaap--OperatingLeaseWeighted"/>
      <w:bookmarkEnd w:id="1703"/>
      <w:r>
        <w:rPr>
          <w:rFonts w:ascii="Times New Roman;Times;Serif" w:hAnsi="Times New Roman;Times;Serif"/>
          <w:b w:val="false"/>
          <w:i w:val="false"/>
          <w:caps w:val="false"/>
          <w:smallCaps w:val="false"/>
          <w:sz w:val="20"/>
        </w:rPr>
        <w:t>15.6%.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04" w:name="xdx_897_eus-gaap--LesseeOperatingLeaseLi"/>
      <w:bookmarkEnd w:id="1704"/>
      <w:r>
        <w:rPr>
          <w:rFonts w:ascii="Times New Roman;Times;Serif" w:hAnsi="Times New Roman;Times;Serif"/>
          <w:b w:val="false"/>
          <w:i w:val="false"/>
          <w:caps w:val="false"/>
          <w:smallCaps w:val="false"/>
          <w:sz w:val="20"/>
        </w:rPr>
        <w:t>The following table reconciles the undiscounted cash flows to the operating lease liabilities recorded on the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bookmarkStart w:id="1705" w:name="xdx_8BA_zj9fUYSV9Gpj"/>
      <w:bookmarkEnd w:id="1705"/>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vAlign w:val="center"/>
          </w:tcPr>
          <w:p>
            <w:pPr>
              <w:pStyle w:val="TableContents"/>
              <w:bidi w:val="0"/>
              <w:spacing w:before="0" w:after="283"/>
              <w:jc w:val="left"/>
              <w:rPr>
                <w:b/>
              </w:rPr>
            </w:pPr>
            <w:r>
              <w:rPr>
                <w:b/>
              </w:rPr>
              <w:t>Years ending September 30,</w:t>
            </w:r>
          </w:p>
        </w:tc>
        <w:tc>
          <w:tcPr>
            <w:tcW w:w="60" w:type="dxa"/>
            <w:tcBorders/>
            <w:vAlign w:val="center"/>
          </w:tcPr>
          <w:p>
            <w:pPr>
              <w:pStyle w:val="TableContents"/>
              <w:bidi w:val="0"/>
              <w:spacing w:before="0" w:after="283"/>
              <w:jc w:val="left"/>
              <w:rPr/>
            </w:pPr>
            <w:r>
              <w:rPr/>
              <w:t> </w:t>
            </w:r>
            <w:bookmarkStart w:id="1706" w:name="xdx_49E_20250930_zMp84HabW0Xd"/>
            <w:bookmarkEnd w:id="1706"/>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1707" w:name="xdx_984_eus-gaap--LesseeOperatingLeaseLi"/>
            <w:bookmarkEnd w:id="1707"/>
          </w:p>
        </w:tc>
        <w:tc>
          <w:tcPr>
            <w:tcW w:w="455"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708" w:name="xdx_981_eus-gaap--LesseeOperatingLeaseLi"/>
            <w:bookmarkEnd w:id="1708"/>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bookmarkStart w:id="1709" w:name="xdx_407_eus-gaap--LesseeOperatingLeaseLi"/>
            <w:bookmarkEnd w:id="1709"/>
          </w:p>
        </w:tc>
      </w:tr>
      <w:tr>
        <w:trPr/>
        <w:tc>
          <w:tcPr>
            <w:tcW w:w="461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bookmarkStart w:id="1710" w:name="xdx_401_eus-gaap--LesseeOperatingLeaseLi"/>
            <w:bookmarkEnd w:id="1710"/>
          </w:p>
        </w:tc>
      </w:tr>
      <w:tr>
        <w:trPr/>
        <w:tc>
          <w:tcPr>
            <w:tcW w:w="461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bookmarkStart w:id="1711" w:name="xdx_40A_eus-gaap--OperatingLeaseLiabilit"/>
            <w:bookmarkEnd w:id="1711"/>
          </w:p>
        </w:tc>
      </w:tr>
      <w:tr>
        <w:trPr/>
        <w:tc>
          <w:tcPr>
            <w:tcW w:w="4610" w:type="dxa"/>
            <w:tcBorders/>
            <w:shd w:fill="CCEEFF" w:val="clear"/>
            <w:vAlign w:val="center"/>
          </w:tcPr>
          <w:p>
            <w:pPr>
              <w:pStyle w:val="TableContents"/>
              <w:bidi w:val="0"/>
              <w:spacing w:before="0" w:after="283"/>
              <w:jc w:val="left"/>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bookmarkStart w:id="1712" w:name="xdx_403_eus-gaap--OperatingLeaseLiabilit"/>
            <w:bookmarkEnd w:id="1712"/>
          </w:p>
        </w:tc>
      </w:tr>
      <w:tr>
        <w:trPr/>
        <w:tc>
          <w:tcPr>
            <w:tcW w:w="4610" w:type="dxa"/>
            <w:tcBorders/>
            <w:shd w:fill="FFFFFF" w:val="clear"/>
            <w:vAlign w:val="center"/>
          </w:tcPr>
          <w:p>
            <w:pPr>
              <w:pStyle w:val="TableContents"/>
              <w:bidi w:val="0"/>
              <w:spacing w:before="0" w:after="283"/>
              <w:jc w:val="left"/>
              <w:rPr/>
            </w:pPr>
            <w:r>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w:t>
            </w:r>
            <w:bookmarkStart w:id="1713" w:name="xdx_409_eus-gaap--OperatingLeaseLiabilit"/>
            <w:bookmarkEnd w:id="1713"/>
          </w:p>
        </w:tc>
      </w:tr>
      <w:tr>
        <w:trPr/>
        <w:tc>
          <w:tcPr>
            <w:tcW w:w="4610" w:type="dxa"/>
            <w:tcBorders/>
            <w:shd w:fill="CCEEFF" w:val="clear"/>
            <w:vAlign w:val="center"/>
          </w:tcPr>
          <w:p>
            <w:pPr>
              <w:pStyle w:val="TableContents"/>
              <w:bidi w:val="0"/>
              <w:spacing w:before="0" w:after="283"/>
              <w:jc w:val="left"/>
              <w:rPr/>
            </w:pPr>
            <w:r>
              <w:rPr/>
              <w:t>Long-term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714" w:name="xdx_8A1_zGSYj6DjT4ll"/>
      <w:bookmarkEnd w:id="171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15" w:name="xdx_808_eus-gaap--IncomeTaxDisclosureTex"/>
      <w:bookmarkEnd w:id="1715"/>
      <w:r>
        <w:rPr>
          <w:rFonts w:ascii="Times New Roman;Times;Serif" w:hAnsi="Times New Roman;Times;Serif"/>
          <w:b/>
          <w:i w:val="false"/>
          <w:caps w:val="false"/>
          <w:smallCaps w:val="false"/>
          <w:sz w:val="20"/>
        </w:rPr>
        <w:t xml:space="preserve">Note 12 — </w:t>
      </w:r>
      <w:bookmarkStart w:id="1716" w:name="xdx_82B_z33MHd3mBxc1"/>
      <w:bookmarkEnd w:id="1716"/>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17" w:name="xdx_89A_eus-gaap--ScheduleOfComponentsOf"/>
      <w:bookmarkEnd w:id="1717"/>
      <w:r>
        <w:rPr>
          <w:rFonts w:ascii="Times New Roman;Times;Serif" w:hAnsi="Times New Roman;Times;Serif"/>
          <w:b w:val="false"/>
          <w:i w:val="false"/>
          <w:caps w:val="false"/>
          <w:smallCaps w:val="false"/>
          <w:sz w:val="20"/>
        </w:rPr>
        <w:t>Substantially all of the Company’s pretax loss was generated in the United States. The provision (benefit) for income taxes consists of the following:</w:t>
      </w:r>
    </w:p>
    <w:p>
      <w:pPr>
        <w:pStyle w:val="TextBody"/>
        <w:bidi w:val="0"/>
        <w:spacing w:before="0" w:after="0"/>
        <w:ind w:left="0" w:right="0" w:hanging="0"/>
        <w:jc w:val="both"/>
        <w:rPr>
          <w:caps w:val="false"/>
          <w:smallCaps w:val="false"/>
        </w:rPr>
      </w:pPr>
      <w:r>
        <w:rPr>
          <w:caps w:val="false"/>
          <w:smallCaps w:val="false"/>
        </w:rPr>
        <w:t> </w:t>
      </w:r>
      <w:bookmarkStart w:id="1718" w:name="xdx_8B6_z8DBJi92tvqh"/>
      <w:bookmarkEnd w:id="1718"/>
      <w:r>
        <w:rPr>
          <w:rFonts w:ascii="Times New Roman;Times;Serif" w:hAnsi="Times New Roman;Times;Serif"/>
          <w:b w:val="false"/>
          <w:i w:val="false"/>
          <w:caps w:val="false"/>
          <w:smallCaps w:val="false"/>
          <w:sz w:val="20"/>
        </w:rPr>
        <w:t>Schedule of Provision for Income Taxes</w:t>
      </w:r>
    </w:p>
    <w:tbl>
      <w:tblPr>
        <w:tblW w:w="4975" w:type="dxa"/>
        <w:jc w:val="left"/>
        <w:tblInd w:w="0" w:type="dxa"/>
        <w:tblLayout w:type="fixed"/>
        <w:tblCellMar>
          <w:top w:w="0" w:type="dxa"/>
          <w:left w:w="0" w:type="dxa"/>
          <w:bottom w:w="0" w:type="dxa"/>
          <w:right w:w="0" w:type="dxa"/>
        </w:tblCellMar>
      </w:tblPr>
      <w:tblGrid>
        <w:gridCol w:w="3410"/>
        <w:gridCol w:w="60"/>
        <w:gridCol w:w="175"/>
        <w:gridCol w:w="325"/>
        <w:gridCol w:w="60"/>
        <w:gridCol w:w="60"/>
        <w:gridCol w:w="140"/>
        <w:gridCol w:w="63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9" w:name="xdx_493_20241001__20250930_z1xlmT2xXr2b"/>
            <w:bookmarkEnd w:id="1719"/>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0" w:name="xdx_49D_20231001__20240930_ztesAm6OTUBj"/>
            <w:bookmarkEnd w:id="1720"/>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21" w:name="xdx_401_eus-gaap--CurrentFederalStateAnd"/>
            <w:bookmarkEnd w:id="1721"/>
          </w:p>
        </w:tc>
      </w:tr>
      <w:tr>
        <w:trPr/>
        <w:tc>
          <w:tcPr>
            <w:tcW w:w="341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2" w:name="xdx_409_eus-gaap--CurrentFederalTaxExpen"/>
            <w:bookmarkEnd w:id="1722"/>
          </w:p>
        </w:tc>
      </w:tr>
      <w:tr>
        <w:trPr/>
        <w:tc>
          <w:tcPr>
            <w:tcW w:w="341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23" w:name="xdx_400_eus-gaap--CurrentStateAndLocalTa"/>
            <w:bookmarkEnd w:id="1723"/>
          </w:p>
        </w:tc>
      </w:tr>
      <w:tr>
        <w:trPr/>
        <w:tc>
          <w:tcPr>
            <w:tcW w:w="341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bookmarkStart w:id="1724" w:name="xdx_409_eus-gaap--CurrentIncomeTaxExpens"/>
            <w:bookmarkEnd w:id="1724"/>
          </w:p>
        </w:tc>
      </w:tr>
      <w:tr>
        <w:trPr/>
        <w:tc>
          <w:tcPr>
            <w:tcW w:w="341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25" w:name="xdx_408_eus-gaap--DeferredFederalStateAn"/>
            <w:bookmarkEnd w:id="1725"/>
          </w:p>
        </w:tc>
      </w:tr>
      <w:tr>
        <w:trPr/>
        <w:tc>
          <w:tcPr>
            <w:tcW w:w="341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26" w:name="xdx_400_eus-gaap--DeferredFederalIncomeT"/>
            <w:bookmarkEnd w:id="1726"/>
          </w:p>
        </w:tc>
      </w:tr>
      <w:tr>
        <w:trPr/>
        <w:tc>
          <w:tcPr>
            <w:tcW w:w="341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(2,198</w:t>
            </w:r>
          </w:p>
        </w:tc>
        <w:tc>
          <w:tcPr>
            <w:tcW w:w="110" w:type="dxa"/>
            <w:tcBorders/>
            <w:shd w:fill="CCEEFF" w:val="clear"/>
            <w:vAlign w:val="center"/>
          </w:tcPr>
          <w:p>
            <w:pPr>
              <w:pStyle w:val="TableContents"/>
              <w:bidi w:val="0"/>
              <w:spacing w:before="0" w:after="283"/>
              <w:jc w:val="left"/>
              <w:rPr/>
            </w:pPr>
            <w:r>
              <w:rPr/>
              <w:t>)</w:t>
            </w:r>
            <w:bookmarkStart w:id="1727" w:name="xdx_404_eus-gaap--DeferredStateAndLocalI"/>
            <w:bookmarkEnd w:id="1727"/>
          </w:p>
        </w:tc>
      </w:tr>
      <w:tr>
        <w:trPr/>
        <w:tc>
          <w:tcPr>
            <w:tcW w:w="341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(234</w:t>
            </w:r>
          </w:p>
        </w:tc>
        <w:tc>
          <w:tcPr>
            <w:tcW w:w="110" w:type="dxa"/>
            <w:tcBorders/>
            <w:shd w:fill="FFFFFF" w:val="clear"/>
            <w:vAlign w:val="center"/>
          </w:tcPr>
          <w:p>
            <w:pPr>
              <w:pStyle w:val="TableContents"/>
              <w:bidi w:val="0"/>
              <w:spacing w:before="0" w:after="283"/>
              <w:jc w:val="left"/>
              <w:rPr/>
            </w:pPr>
            <w:r>
              <w:rPr/>
              <w:t>)</w:t>
            </w:r>
            <w:bookmarkStart w:id="1728" w:name="xdx_40C_eus-gaap--DeferredIncomeTaxExpen"/>
            <w:bookmarkEnd w:id="1728"/>
          </w:p>
        </w:tc>
      </w:tr>
      <w:tr>
        <w:trPr/>
        <w:tc>
          <w:tcPr>
            <w:tcW w:w="341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w:t>
            </w:r>
            <w:bookmarkStart w:id="1729" w:name="xdx_40C_eus-gaap--IncomeTaxExpenseBenefi"/>
            <w:bookmarkEnd w:id="1729"/>
          </w:p>
        </w:tc>
      </w:tr>
      <w:tr>
        <w:trPr/>
        <w:tc>
          <w:tcPr>
            <w:tcW w:w="341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730" w:name="xdx_8AF_zGuM5rdgumEl"/>
      <w:bookmarkEnd w:id="173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31" w:name="xdx_897_eus-gaap--ScheduleOfEffectiveInc"/>
      <w:bookmarkEnd w:id="1731"/>
      <w:r>
        <w:rPr>
          <w:rFonts w:ascii="Times New Roman;Times;Serif" w:hAnsi="Times New Roman;Times;Serif"/>
          <w:b w:val="false"/>
          <w:i w:val="false"/>
          <w:caps w:val="false"/>
          <w:smallCaps w:val="false"/>
          <w:sz w:val="20"/>
        </w:rPr>
        <w:t>The provision (benefit) for income taxes differs from the amount computed by applying the U.S. federal statutory rate of 21% to the Company’s loss before income taxes as follows:</w:t>
      </w:r>
    </w:p>
    <w:p>
      <w:pPr>
        <w:pStyle w:val="TextBody"/>
        <w:bidi w:val="0"/>
        <w:spacing w:before="0" w:after="0"/>
        <w:ind w:left="0" w:right="0" w:hanging="0"/>
        <w:jc w:val="left"/>
        <w:rPr>
          <w:caps w:val="false"/>
          <w:smallCaps w:val="false"/>
        </w:rPr>
      </w:pPr>
      <w:r>
        <w:rPr>
          <w:caps w:val="false"/>
          <w:smallCaps w:val="false"/>
        </w:rPr>
        <w:t> </w:t>
      </w:r>
      <w:bookmarkStart w:id="1732" w:name="xdx_8BF_znTpU6vY8hg5"/>
      <w:bookmarkEnd w:id="1732"/>
      <w:r>
        <w:rPr>
          <w:rFonts w:ascii="Times New Roman;Times;Serif" w:hAnsi="Times New Roman;Times;Serif"/>
          <w:b w:val="false"/>
          <w:i w:val="false"/>
          <w:caps w:val="false"/>
          <w:smallCaps w:val="false"/>
          <w:sz w:val="20"/>
        </w:rPr>
        <w:t>Schedule of Loss Before Income Tax</w:t>
      </w:r>
    </w:p>
    <w:tbl>
      <w:tblPr>
        <w:tblW w:w="7700" w:type="dxa"/>
        <w:jc w:val="left"/>
        <w:tblInd w:w="0" w:type="dxa"/>
        <w:tblLayout w:type="fixed"/>
        <w:tblCellMar>
          <w:top w:w="0" w:type="dxa"/>
          <w:left w:w="0" w:type="dxa"/>
          <w:bottom w:w="0" w:type="dxa"/>
          <w:right w:w="0" w:type="dxa"/>
        </w:tblCellMar>
      </w:tblPr>
      <w:tblGrid>
        <w:gridCol w:w="5825"/>
        <w:gridCol w:w="60"/>
        <w:gridCol w:w="140"/>
        <w:gridCol w:w="635"/>
        <w:gridCol w:w="95"/>
        <w:gridCol w:w="60"/>
        <w:gridCol w:w="140"/>
        <w:gridCol w:w="635"/>
        <w:gridCol w:w="11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3" w:name="xdx_495_20241001__20250930_zLxoBwzKJ5e1"/>
            <w:bookmarkEnd w:id="1733"/>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4" w:name="xdx_493_20231001__20240930_z3dlSxUSofHj"/>
            <w:bookmarkEnd w:id="1734"/>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35" w:name="xdx_408_eus-gaap--IncomeTaxReconciliatio"/>
            <w:bookmarkEnd w:id="1735"/>
          </w:p>
        </w:tc>
      </w:tr>
      <w:tr>
        <w:trPr/>
        <w:tc>
          <w:tcPr>
            <w:tcW w:w="5825" w:type="dxa"/>
            <w:tcBorders/>
            <w:shd w:fill="CCEEFF" w:val="clear"/>
            <w:vAlign w:val="center"/>
          </w:tcPr>
          <w:p>
            <w:pPr>
              <w:pStyle w:val="TableContents"/>
              <w:bidi w:val="0"/>
              <w:spacing w:before="0" w:after="283"/>
              <w:jc w:val="left"/>
              <w:rPr/>
            </w:pPr>
            <w:r>
              <w:rPr/>
              <w:t>Income tax benefit computed at the U.S.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(4,717</w:t>
            </w:r>
          </w:p>
        </w:tc>
        <w:tc>
          <w:tcPr>
            <w:tcW w:w="110" w:type="dxa"/>
            <w:tcBorders/>
            <w:shd w:fill="CCEEFF" w:val="clear"/>
            <w:vAlign w:val="center"/>
          </w:tcPr>
          <w:p>
            <w:pPr>
              <w:pStyle w:val="TableContents"/>
              <w:bidi w:val="0"/>
              <w:spacing w:before="0" w:after="283"/>
              <w:jc w:val="left"/>
              <w:rPr/>
            </w:pPr>
            <w:r>
              <w:rPr/>
              <w:t>)</w:t>
            </w:r>
            <w:bookmarkStart w:id="1736" w:name="xdx_405_eus-gaap--IncomeTaxReconciliatio"/>
            <w:bookmarkEnd w:id="1736"/>
          </w:p>
        </w:tc>
      </w:tr>
      <w:tr>
        <w:trPr/>
        <w:tc>
          <w:tcPr>
            <w:tcW w:w="5825" w:type="dxa"/>
            <w:tcBorders/>
            <w:shd w:fill="FFFFFF" w:val="clear"/>
            <w:vAlign w:val="center"/>
          </w:tcPr>
          <w:p>
            <w:pPr>
              <w:pStyle w:val="TableContents"/>
              <w:bidi w:val="0"/>
              <w:spacing w:before="0" w:after="283"/>
              <w:jc w:val="left"/>
              <w:rPr/>
            </w:pPr>
            <w:r>
              <w:rPr/>
              <w:t>State and local income tax benefits, net of federal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w:t>
            </w:r>
            <w:bookmarkStart w:id="1737" w:name="xdx_404_eus-gaap--IncomeTaxReconciliatio"/>
            <w:bookmarkEnd w:id="1737"/>
          </w:p>
        </w:tc>
      </w:tr>
      <w:tr>
        <w:trPr/>
        <w:tc>
          <w:tcPr>
            <w:tcW w:w="58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4,865</w:t>
            </w:r>
          </w:p>
        </w:tc>
        <w:tc>
          <w:tcPr>
            <w:tcW w:w="110" w:type="dxa"/>
            <w:tcBorders/>
            <w:shd w:fill="CCEEFF" w:val="clear"/>
            <w:vAlign w:val="center"/>
          </w:tcPr>
          <w:p>
            <w:pPr>
              <w:pStyle w:val="TableContents"/>
              <w:bidi w:val="0"/>
              <w:spacing w:before="0" w:after="283"/>
              <w:jc w:val="left"/>
              <w:rPr/>
            </w:pPr>
            <w:r>
              <w:rPr/>
              <w:t> </w:t>
            </w:r>
            <w:bookmarkStart w:id="1738" w:name="xdx_406_eus-gaap--IncomeTaxReconciliatio"/>
            <w:bookmarkEnd w:id="1738"/>
          </w:p>
        </w:tc>
      </w:tr>
      <w:tr>
        <w:trPr/>
        <w:tc>
          <w:tcPr>
            <w:tcW w:w="5825"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jc w:val="left"/>
              <w:rPr/>
            </w:pPr>
            <w:r>
              <w:rPr/>
              <w:t> </w:t>
            </w:r>
            <w:bookmarkStart w:id="1739" w:name="xdx_40F_ecustom--IncomeTaxReconciliation"/>
            <w:bookmarkEnd w:id="1739"/>
          </w:p>
        </w:tc>
      </w:tr>
      <w:tr>
        <w:trPr/>
        <w:tc>
          <w:tcPr>
            <w:tcW w:w="5825" w:type="dxa"/>
            <w:tcBorders/>
            <w:shd w:fill="CCEEFF" w:val="clear"/>
            <w:vAlign w:val="center"/>
          </w:tcPr>
          <w:p>
            <w:pPr>
              <w:pStyle w:val="TableContents"/>
              <w:bidi w:val="0"/>
              <w:spacing w:before="0" w:after="283"/>
              <w:jc w:val="left"/>
              <w:rPr/>
            </w:pPr>
            <w:r>
              <w:rPr/>
              <w:t>Fair value of warrants issued to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bookmarkStart w:id="1740" w:name="xdx_408_eus-gaap--IncomeTaxReconciliatio"/>
            <w:bookmarkEnd w:id="1740"/>
          </w:p>
        </w:tc>
      </w:tr>
      <w:tr>
        <w:trPr/>
        <w:tc>
          <w:tcPr>
            <w:tcW w:w="5825" w:type="dxa"/>
            <w:tcBorders/>
            <w:shd w:fill="FFFFFF" w:val="clear"/>
            <w:vAlign w:val="center"/>
          </w:tcPr>
          <w:p>
            <w:pPr>
              <w:pStyle w:val="TableContents"/>
              <w:bidi w:val="0"/>
              <w:spacing w:before="0" w:after="283"/>
              <w:jc w:val="left"/>
              <w:rPr/>
            </w:pPr>
            <w:r>
              <w:rPr/>
              <w:t>State tax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bookmarkStart w:id="1741" w:name="xdx_40D_ecustom--DeferredTaxesChangeInFa"/>
            <w:bookmarkEnd w:id="1741"/>
          </w:p>
        </w:tc>
      </w:tr>
      <w:tr>
        <w:trPr/>
        <w:tc>
          <w:tcPr>
            <w:tcW w:w="582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w:t>
            </w:r>
            <w:bookmarkStart w:id="1742" w:name="xdx_40F_eus-gaap--IncomeTaxReconciliatio"/>
            <w:bookmarkEnd w:id="1742"/>
          </w:p>
        </w:tc>
      </w:tr>
      <w:tr>
        <w:trPr/>
        <w:tc>
          <w:tcPr>
            <w:tcW w:w="582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1,107</w:t>
            </w:r>
          </w:p>
        </w:tc>
        <w:tc>
          <w:tcPr>
            <w:tcW w:w="110" w:type="dxa"/>
            <w:tcBorders/>
            <w:shd w:fill="FFFFFF" w:val="clear"/>
            <w:vAlign w:val="center"/>
          </w:tcPr>
          <w:p>
            <w:pPr>
              <w:pStyle w:val="TableContents"/>
              <w:bidi w:val="0"/>
              <w:spacing w:before="0" w:after="283"/>
              <w:jc w:val="left"/>
              <w:rPr/>
            </w:pPr>
            <w:r>
              <w:rPr/>
              <w:t> </w:t>
            </w:r>
            <w:bookmarkStart w:id="1743" w:name="xdx_40D_ecustom--IncomeTaxReconciliation"/>
            <w:bookmarkEnd w:id="1743"/>
          </w:p>
        </w:tc>
      </w:tr>
      <w:tr>
        <w:trPr/>
        <w:tc>
          <w:tcPr>
            <w:tcW w:w="5825"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 </w:t>
            </w:r>
            <w:bookmarkStart w:id="1744" w:name="xdx_405_eus-gaap--IncomeTaxReconciliatio"/>
            <w:bookmarkEnd w:id="1744"/>
          </w:p>
        </w:tc>
      </w:tr>
      <w:tr>
        <w:trPr/>
        <w:tc>
          <w:tcPr>
            <w:tcW w:w="58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0" w:type="dxa"/>
            <w:tcBorders/>
            <w:shd w:fill="FFFFFF" w:val="clear"/>
            <w:vAlign w:val="center"/>
          </w:tcPr>
          <w:p>
            <w:pPr>
              <w:pStyle w:val="TableContents"/>
              <w:bidi w:val="0"/>
              <w:spacing w:before="0" w:after="283"/>
              <w:jc w:val="left"/>
              <w:rPr/>
            </w:pPr>
            <w:r>
              <w:rPr/>
              <w:t> </w:t>
            </w:r>
            <w:bookmarkStart w:id="1745" w:name="xdx_409_eus-gaap--IncomeTaxExpenseBenefi"/>
            <w:bookmarkEnd w:id="1745"/>
          </w:p>
        </w:tc>
      </w:tr>
      <w:tr>
        <w:trPr/>
        <w:tc>
          <w:tcPr>
            <w:tcW w:w="582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(2,429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746" w:name="xdx_8A9_zMzDSfLzhcsj"/>
      <w:bookmarkEnd w:id="174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747" w:name="xdx_89E_eus-gaap--ScheduleOfDeferredTaxA"/>
      <w:bookmarkEnd w:id="1747"/>
      <w:r>
        <w:rPr>
          <w:rFonts w:ascii="Times New Roman;Times;Serif" w:hAnsi="Times New Roman;Times;Serif"/>
          <w:b w:val="false"/>
          <w:i w:val="false"/>
          <w:caps w:val="false"/>
          <w:smallCaps w:val="false"/>
          <w:sz w:val="20"/>
        </w:rPr>
        <w:t>Deferred tax liabilities, net consist of the following:</w:t>
      </w:r>
    </w:p>
    <w:p>
      <w:pPr>
        <w:pStyle w:val="TextBody"/>
        <w:bidi w:val="0"/>
        <w:spacing w:before="0" w:after="0"/>
        <w:ind w:left="0" w:right="0" w:hanging="0"/>
        <w:jc w:val="left"/>
        <w:rPr>
          <w:caps w:val="false"/>
          <w:smallCaps w:val="false"/>
        </w:rPr>
      </w:pPr>
      <w:r>
        <w:rPr>
          <w:caps w:val="false"/>
          <w:smallCaps w:val="false"/>
        </w:rPr>
        <w:t> </w:t>
      </w:r>
      <w:bookmarkStart w:id="1748" w:name="xdx_8B4_zSsstshcrgNf"/>
      <w:bookmarkEnd w:id="1748"/>
      <w:r>
        <w:rPr>
          <w:rFonts w:ascii="Times New Roman;Times;Serif" w:hAnsi="Times New Roman;Times;Serif"/>
          <w:b w:val="false"/>
          <w:i w:val="false"/>
          <w:caps w:val="false"/>
          <w:smallCaps w:val="false"/>
          <w:sz w:val="20"/>
        </w:rPr>
        <w:t>Schedule of Deferred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9" w:name="xdx_49B_20250930_z8JtOhhh15bc"/>
            <w:bookmarkEnd w:id="174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0" w:name="xdx_492_20240930_zdybmUZ7HU37"/>
            <w:bookmarkEnd w:id="175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51" w:name="xdx_404_eus-gaap--DeferredTaxAssetsGross"/>
            <w:bookmarkEnd w:id="1751"/>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52" w:name="xdx_40E_eus-gaap--DeferredTaxAssetsOpera"/>
            <w:bookmarkEnd w:id="1752"/>
          </w:p>
        </w:tc>
      </w:tr>
      <w:tr>
        <w:trPr/>
        <w:tc>
          <w:tcPr>
            <w:tcW w:w="3170"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14,312</w:t>
            </w:r>
          </w:p>
        </w:tc>
        <w:tc>
          <w:tcPr>
            <w:tcW w:w="110" w:type="dxa"/>
            <w:tcBorders/>
            <w:shd w:fill="FFFFFF" w:val="clear"/>
            <w:vAlign w:val="center"/>
          </w:tcPr>
          <w:p>
            <w:pPr>
              <w:pStyle w:val="TableContents"/>
              <w:bidi w:val="0"/>
              <w:spacing w:before="0" w:after="283"/>
              <w:jc w:val="left"/>
              <w:rPr/>
            </w:pPr>
            <w:r>
              <w:rPr/>
              <w:t> </w:t>
            </w:r>
            <w:bookmarkStart w:id="1753" w:name="xdx_401_eus-gaap--DeferredTaxAssetsTaxDe"/>
            <w:bookmarkEnd w:id="1753"/>
          </w:p>
        </w:tc>
      </w:tr>
      <w:tr>
        <w:trPr/>
        <w:tc>
          <w:tcPr>
            <w:tcW w:w="317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4,190</w:t>
            </w:r>
          </w:p>
        </w:tc>
        <w:tc>
          <w:tcPr>
            <w:tcW w:w="110" w:type="dxa"/>
            <w:tcBorders/>
            <w:shd w:fill="CCEEFF" w:val="clear"/>
            <w:vAlign w:val="center"/>
          </w:tcPr>
          <w:p>
            <w:pPr>
              <w:pStyle w:val="TableContents"/>
              <w:bidi w:val="0"/>
              <w:spacing w:before="0" w:after="283"/>
              <w:jc w:val="left"/>
              <w:rPr/>
            </w:pPr>
            <w:r>
              <w:rPr/>
              <w:t> </w:t>
            </w:r>
            <w:bookmarkStart w:id="1754" w:name="xdx_401_ecustom--DeferredTaxAssetsCapita"/>
            <w:bookmarkEnd w:id="1754"/>
          </w:p>
        </w:tc>
      </w:tr>
      <w:tr>
        <w:trPr/>
        <w:tc>
          <w:tcPr>
            <w:tcW w:w="3170" w:type="dxa"/>
            <w:tcBorders/>
            <w:shd w:fill="FFFFFF" w:val="clear"/>
            <w:vAlign w:val="center"/>
          </w:tcPr>
          <w:p>
            <w:pPr>
              <w:pStyle w:val="TableContents"/>
              <w:bidi w:val="0"/>
              <w:spacing w:before="0" w:after="283"/>
              <w:jc w:val="left"/>
              <w:rPr/>
            </w:pPr>
            <w:r>
              <w:rPr/>
              <w:t>Section 174 capitalized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w:t>
            </w:r>
          </w:p>
        </w:tc>
        <w:tc>
          <w:tcPr>
            <w:tcW w:w="110" w:type="dxa"/>
            <w:tcBorders/>
            <w:shd w:fill="FFFFFF" w:val="clear"/>
            <w:vAlign w:val="center"/>
          </w:tcPr>
          <w:p>
            <w:pPr>
              <w:pStyle w:val="TableContents"/>
              <w:bidi w:val="0"/>
              <w:spacing w:before="0" w:after="283"/>
              <w:jc w:val="left"/>
              <w:rPr/>
            </w:pPr>
            <w:r>
              <w:rPr/>
              <w:t> </w:t>
            </w:r>
            <w:bookmarkStart w:id="1755" w:name="xdx_405_eus-gaap--DeferredTaxAssetsTaxDe"/>
            <w:bookmarkEnd w:id="1755"/>
          </w:p>
        </w:tc>
      </w:tr>
      <w:tr>
        <w:trPr/>
        <w:tc>
          <w:tcPr>
            <w:tcW w:w="317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bookmarkStart w:id="1756" w:name="xdx_406_ecustom--DeferredTaxAssetsTaxDef"/>
            <w:bookmarkEnd w:id="1756"/>
          </w:p>
        </w:tc>
      </w:tr>
      <w:tr>
        <w:trPr/>
        <w:tc>
          <w:tcPr>
            <w:tcW w:w="317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 </w:t>
            </w:r>
            <w:bookmarkStart w:id="1757" w:name="xdx_402_eus-gaap--DeferredTaxAssetsOther"/>
            <w:bookmarkEnd w:id="1757"/>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10" w:type="dxa"/>
            <w:tcBorders/>
            <w:shd w:fill="CCEEFF" w:val="clear"/>
            <w:vAlign w:val="center"/>
          </w:tcPr>
          <w:p>
            <w:pPr>
              <w:pStyle w:val="TableContents"/>
              <w:bidi w:val="0"/>
              <w:spacing w:before="0" w:after="283"/>
              <w:jc w:val="left"/>
              <w:rPr/>
            </w:pPr>
            <w:r>
              <w:rPr/>
              <w:t> </w:t>
            </w:r>
            <w:bookmarkStart w:id="1758" w:name="xdx_403_eus-gaap--DeferredTaxAssetsGross"/>
            <w:bookmarkEnd w:id="1758"/>
          </w:p>
        </w:tc>
      </w:tr>
      <w:tr>
        <w:trPr/>
        <w:tc>
          <w:tcPr>
            <w:tcW w:w="317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22,794</w:t>
            </w:r>
          </w:p>
        </w:tc>
        <w:tc>
          <w:tcPr>
            <w:tcW w:w="110" w:type="dxa"/>
            <w:tcBorders/>
            <w:shd w:fill="FFFFFF" w:val="clear"/>
            <w:vAlign w:val="center"/>
          </w:tcPr>
          <w:p>
            <w:pPr>
              <w:pStyle w:val="TableContents"/>
              <w:bidi w:val="0"/>
              <w:spacing w:before="0" w:after="283"/>
              <w:jc w:val="left"/>
              <w:rPr/>
            </w:pPr>
            <w:r>
              <w:rPr/>
              <w:t> </w:t>
            </w:r>
            <w:bookmarkStart w:id="1759" w:name="xdx_40D_eus-gaap--DeferredTaxAssetsValua"/>
            <w:bookmarkEnd w:id="1759"/>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(19,152</w:t>
            </w:r>
          </w:p>
        </w:tc>
        <w:tc>
          <w:tcPr>
            <w:tcW w:w="110" w:type="dxa"/>
            <w:tcBorders/>
            <w:shd w:fill="CCEEFF" w:val="clear"/>
            <w:vAlign w:val="center"/>
          </w:tcPr>
          <w:p>
            <w:pPr>
              <w:pStyle w:val="TableContents"/>
              <w:bidi w:val="0"/>
              <w:spacing w:before="0" w:after="283"/>
              <w:jc w:val="left"/>
              <w:rPr/>
            </w:pPr>
            <w:r>
              <w:rPr/>
              <w:t>)</w:t>
            </w:r>
            <w:bookmarkStart w:id="1760" w:name="xdx_405_eus-gaap--DeferredTaxAssetsLiabi"/>
            <w:bookmarkEnd w:id="1760"/>
          </w:p>
        </w:tc>
      </w:tr>
      <w:tr>
        <w:trPr/>
        <w:tc>
          <w:tcPr>
            <w:tcW w:w="317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1" w:name="xdx_402_eus-gaap--DeferredTaxLiabilities"/>
            <w:bookmarkEnd w:id="1761"/>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62" w:name="xdx_40F_eus-gaap--DeferredTaxLiabilities"/>
            <w:bookmarkEnd w:id="1762"/>
          </w:p>
        </w:tc>
      </w:tr>
      <w:tr>
        <w:trPr/>
        <w:tc>
          <w:tcPr>
            <w:tcW w:w="3170" w:type="dxa"/>
            <w:tcBorders/>
            <w:shd w:fill="CCEEFF" w:val="clear"/>
            <w:vAlign w:val="center"/>
          </w:tcPr>
          <w:p>
            <w:pPr>
              <w:pStyle w:val="TableContents"/>
              <w:bidi w:val="0"/>
              <w:spacing w:before="0" w:after="283"/>
              <w:jc w:val="left"/>
              <w:rPr/>
            </w:pPr>
            <w:r>
              <w:rPr/>
              <w:t>Intangible asset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(3,566</w:t>
            </w:r>
          </w:p>
        </w:tc>
        <w:tc>
          <w:tcPr>
            <w:tcW w:w="110" w:type="dxa"/>
            <w:tcBorders/>
            <w:shd w:fill="CCEEFF" w:val="clear"/>
            <w:vAlign w:val="center"/>
          </w:tcPr>
          <w:p>
            <w:pPr>
              <w:pStyle w:val="TableContents"/>
              <w:bidi w:val="0"/>
              <w:spacing w:before="0" w:after="283"/>
              <w:jc w:val="left"/>
              <w:rPr/>
            </w:pPr>
            <w:r>
              <w:rPr/>
              <w:t>)</w:t>
            </w:r>
            <w:bookmarkStart w:id="1763" w:name="xdx_40E_ecustom--DeferredTaxLiabilitiesF"/>
            <w:bookmarkEnd w:id="1763"/>
          </w:p>
        </w:tc>
      </w:tr>
      <w:tr>
        <w:trPr/>
        <w:tc>
          <w:tcPr>
            <w:tcW w:w="3170" w:type="dxa"/>
            <w:tcBorders/>
            <w:shd w:fill="FFFFFF" w:val="clear"/>
            <w:vAlign w:val="center"/>
          </w:tcPr>
          <w:p>
            <w:pPr>
              <w:pStyle w:val="TableContents"/>
              <w:bidi w:val="0"/>
              <w:spacing w:before="0" w:after="283"/>
              <w:jc w:val="left"/>
              <w:rPr/>
            </w:pPr>
            <w:r>
              <w:rPr/>
              <w:t>Fixed asset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bookmarkStart w:id="1764" w:name="xdx_40B_eus-gaap--DeferredTaxLiabilities"/>
            <w:bookmarkEnd w:id="1764"/>
          </w:p>
        </w:tc>
      </w:tr>
      <w:tr>
        <w:trPr/>
        <w:tc>
          <w:tcPr>
            <w:tcW w:w="317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bookmarkStart w:id="1765" w:name="xdx_404_eus-gaap--DeferredIncomeTaxLiabi"/>
            <w:bookmarkEnd w:id="1765"/>
          </w:p>
        </w:tc>
      </w:tr>
      <w:tr>
        <w:trPr/>
        <w:tc>
          <w:tcPr>
            <w:tcW w:w="3170" w:type="dxa"/>
            <w:tcBorders/>
            <w:shd w:fill="FFFFFF" w:val="clear"/>
            <w:vAlign w:val="center"/>
          </w:tcPr>
          <w:p>
            <w:pPr>
              <w:pStyle w:val="TableContents"/>
              <w:bidi w:val="0"/>
              <w:spacing w:before="0" w:after="283"/>
              <w:jc w:val="left"/>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(3,962</w:t>
            </w:r>
          </w:p>
        </w:tc>
        <w:tc>
          <w:tcPr>
            <w:tcW w:w="110" w:type="dxa"/>
            <w:tcBorders/>
            <w:shd w:fill="FFFFFF" w:val="clear"/>
            <w:vAlign w:val="center"/>
          </w:tcPr>
          <w:p>
            <w:pPr>
              <w:pStyle w:val="TableContents"/>
              <w:bidi w:val="0"/>
              <w:spacing w:before="0" w:after="283"/>
              <w:jc w:val="left"/>
              <w:rPr/>
            </w:pPr>
            <w:r>
              <w:rPr/>
              <w:t>)</w:t>
            </w:r>
            <w:bookmarkStart w:id="1766" w:name="xdx_40F_eus-gaap--DeferredTaxLiabilities"/>
            <w:bookmarkEnd w:id="1766"/>
          </w:p>
        </w:tc>
      </w:tr>
      <w:tr>
        <w:trPr/>
        <w:tc>
          <w:tcPr>
            <w:tcW w:w="3170"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1767" w:name="xdx_8A7_zaZliNbW5cZk"/>
      <w:bookmarkEnd w:id="17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acquisitions of EMI Solutions and RaGE Systems, the Company recognized additional deferred tax liabilities totaling $</w:t>
      </w:r>
      <w:bookmarkStart w:id="1768" w:name="xdx_90E_eus-gaap--DeferredTaxLiabilities"/>
      <w:bookmarkEnd w:id="1768"/>
      <w:r>
        <w:rPr>
          <w:rFonts w:ascii="Times New Roman;Times;Serif" w:hAnsi="Times New Roman;Times;Serif"/>
          <w:b w:val="false"/>
          <w:i w:val="false"/>
          <w:caps w:val="false"/>
          <w:smallCaps w:val="false"/>
          <w:sz w:val="20"/>
        </w:rPr>
        <w:t>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w:t>
      </w:r>
      <w:bookmarkStart w:id="1769" w:name="xdx_902_eus-gaap--DeferredIncomeTaxExpen"/>
      <w:bookmarkEnd w:id="1769"/>
      <w:r>
        <w:rPr>
          <w:rFonts w:ascii="Times New Roman;Times;Serif" w:hAnsi="Times New Roman;Times;Serif"/>
          <w:b w:val="false"/>
          <w:i w:val="false"/>
          <w:caps w:val="false"/>
          <w:smallCaps w:val="false"/>
          <w:sz w:val="20"/>
        </w:rPr>
        <w:t>2,432, principally resulting from reductions of the valuation allowance on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increased the valuation allowance against its deferred tax assets by $</w:t>
      </w:r>
      <w:bookmarkStart w:id="1770" w:name="xdx_906_eus-gaap--ValuationAllowanceDefe"/>
      <w:bookmarkEnd w:id="1770"/>
      <w:r>
        <w:rPr>
          <w:rFonts w:ascii="Times New Roman;Times;Serif" w:hAnsi="Times New Roman;Times;Serif"/>
          <w:b w:val="false"/>
          <w:i w:val="false"/>
          <w:caps w:val="false"/>
          <w:smallCaps w:val="false"/>
          <w:sz w:val="20"/>
        </w:rPr>
        <w:t>5,943 and $</w:t>
      </w:r>
      <w:bookmarkStart w:id="1771" w:name="xdx_905_eus-gaap--ValuationAllowanceDefe"/>
      <w:bookmarkEnd w:id="1771"/>
      <w:r>
        <w:rPr>
          <w:rFonts w:ascii="Times New Roman;Times;Serif" w:hAnsi="Times New Roman;Times;Serif"/>
          <w:b w:val="false"/>
          <w:i w:val="false"/>
          <w:caps w:val="false"/>
          <w:smallCaps w:val="false"/>
          <w:sz w:val="20"/>
        </w:rPr>
        <w:t>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w:t>
      </w:r>
      <w:bookmarkStart w:id="1772" w:name="xdx_902_eus-gaap--DeferredIncomeTaxExpen"/>
      <w:bookmarkEnd w:id="1772"/>
      <w:r>
        <w:rPr>
          <w:rFonts w:ascii="Times New Roman;Times;Serif" w:hAnsi="Times New Roman;Times;Serif"/>
          <w:b w:val="false"/>
          <w:i w:val="false"/>
          <w:caps w:val="false"/>
          <w:smallCaps w:val="false"/>
          <w:sz w:val="20"/>
        </w:rPr>
        <w:t>2,432 as a result of the deferred tax liabilities it recognized in connection with the acquisitions of EMI Solutions and RaGE Systems. As of September 30, 2025, the Company has accumulated federal and state net operating losses (“NOLs”) of $</w:t>
      </w:r>
      <w:bookmarkStart w:id="1773" w:name="xdx_900_eus-gaap--DeferredTaxAssetsOpera"/>
      <w:bookmarkEnd w:id="1773"/>
      <w:r>
        <w:rPr>
          <w:rFonts w:ascii="Times New Roman;Times;Serif" w:hAnsi="Times New Roman;Times;Serif"/>
          <w:b w:val="false"/>
          <w:i w:val="false"/>
          <w:caps w:val="false"/>
          <w:smallCaps w:val="false"/>
          <w:sz w:val="20"/>
        </w:rPr>
        <w:t>74,090 and $</w:t>
      </w:r>
      <w:bookmarkStart w:id="1774" w:name="xdx_900_eus-gaap--DeferredTaxAssetsOpera"/>
      <w:bookmarkEnd w:id="1774"/>
      <w:r>
        <w:rPr>
          <w:rFonts w:ascii="Times New Roman;Times;Serif" w:hAnsi="Times New Roman;Times;Serif"/>
          <w:b w:val="false"/>
          <w:i w:val="false"/>
          <w:caps w:val="false"/>
          <w:smallCaps w:val="false"/>
          <w:sz w:val="20"/>
        </w:rPr>
        <w:t>48,943, respectively. The federal NOLs may be carried forward indefinitely and the state NOLs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w:t>
      </w:r>
      <w:bookmarkStart w:id="1775" w:name="xdx_907_ecustom--EffectiveIncomeTaxRateR"/>
      <w:bookmarkEnd w:id="1775"/>
      <w:r>
        <w:rPr>
          <w:rFonts w:ascii="Times New Roman;Times;Serif" w:hAnsi="Times New Roman;Times;Serif"/>
          <w:b w:val="false"/>
          <w:i w:val="false"/>
          <w:caps w:val="false"/>
          <w:smallCaps w:val="false"/>
          <w:sz w:val="20"/>
        </w:rPr>
        <w:t>80% of future taxable income. The Company’s ability to use its federal NOL carryforwards may be further limited if it experiences an “ownership change” as defined in Section 382.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unrecognized tax benefits of $</w:t>
      </w:r>
      <w:bookmarkStart w:id="1776" w:name="xdx_908_eus-gaap--UnrecognizedTaxBenefit"/>
      <w:bookmarkStart w:id="1777" w:name="xdx_908_eus-gaap--UnrecognizedTaxBenefit"/>
      <w:bookmarkEnd w:id="1776"/>
      <w:bookmarkEnd w:id="1777"/>
      <w:r>
        <w:rPr>
          <w:rFonts w:ascii="Times New Roman;Times;Serif" w:hAnsi="Times New Roman;Times;Serif"/>
          <w:b w:val="false"/>
          <w:i w:val="false"/>
          <w:caps w:val="false"/>
          <w:smallCaps w:val="false"/>
          <w:sz w:val="20"/>
        </w:rPr>
        <w:t>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federal and various state income tax returns. As of September 30, 2025, the U.S. federal and state tax returns are open to examination for calendar years 2021 through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w:t>
      </w:r>
      <w:bookmarkStart w:id="1778" w:name="xdx_904_eus-gaap--TaxCreditCarryforwardA"/>
      <w:bookmarkEnd w:id="1778"/>
      <w:r>
        <w:rPr>
          <w:rFonts w:ascii="Times New Roman;Times;Serif" w:hAnsi="Times New Roman;Times;Serif"/>
          <w:b w:val="false"/>
          <w:i w:val="false"/>
          <w:caps w:val="false"/>
          <w:smallCaps w:val="false"/>
          <w:sz w:val="20"/>
        </w:rPr>
        <w:t>20,958 of costs under this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79" w:name="xdx_803_eus-gaap--CommitmentsAndContinge"/>
      <w:bookmarkEnd w:id="1779"/>
      <w:r>
        <w:rPr>
          <w:rFonts w:ascii="Times New Roman;Times;Serif" w:hAnsi="Times New Roman;Times;Serif"/>
          <w:b/>
          <w:i w:val="false"/>
          <w:caps w:val="false"/>
          <w:smallCaps w:val="false"/>
          <w:sz w:val="20"/>
        </w:rPr>
        <w:t xml:space="preserve">Note 13 — </w:t>
      </w:r>
      <w:bookmarkStart w:id="1780" w:name="xdx_82B_zyqBkK5Z9URi"/>
      <w:bookmarkEnd w:id="178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81" w:name="xdx_801_eus-gaap--StockholdersEquityNote"/>
      <w:bookmarkEnd w:id="1781"/>
      <w:r>
        <w:rPr>
          <w:rFonts w:ascii="Times New Roman;Times;Serif" w:hAnsi="Times New Roman;Times;Serif"/>
          <w:b/>
          <w:i w:val="false"/>
          <w:caps w:val="false"/>
          <w:smallCaps w:val="false"/>
          <w:sz w:val="20"/>
        </w:rPr>
        <w:t xml:space="preserve">Note 14 — </w:t>
      </w:r>
      <w:bookmarkStart w:id="1782" w:name="xdx_825_zB33uuT9ZDi"/>
      <w:bookmarkEnd w:id="1782"/>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outstanding shares of Legacy Mobix Founders Redeemable Convertible Preferred Stock and Series A Redeemable Convertible Preferred Stock were cancelled and converted into </w:t>
      </w:r>
      <w:bookmarkStart w:id="1783" w:name="xdx_90F_eus-gaap--ConvertiblePreferredSt"/>
      <w:bookmarkEnd w:id="1783"/>
      <w:r>
        <w:rPr>
          <w:rFonts w:ascii="Times New Roman;Times;Serif" w:hAnsi="Times New Roman;Times;Serif"/>
          <w:b w:val="false"/>
          <w:i w:val="false"/>
          <w:caps w:val="false"/>
          <w:smallCaps w:val="false"/>
          <w:sz w:val="20"/>
        </w:rPr>
        <w:t>225,490 shares of the Company’s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amended and restated certificate of incorporation authorizes the Company to issue </w:t>
      </w:r>
      <w:bookmarkStart w:id="1784" w:name="xdx_90A_eus-gaap--PreferredStockSharesAu"/>
      <w:bookmarkEnd w:id="1784"/>
      <w:r>
        <w:rPr>
          <w:rFonts w:ascii="Times New Roman;Times;Serif" w:hAnsi="Times New Roman;Times;Serif"/>
          <w:b w:val="false"/>
          <w:i w:val="false"/>
          <w:caps w:val="false"/>
          <w:smallCaps w:val="false"/>
          <w:sz w:val="20"/>
        </w:rPr>
        <w:t>10,000,000 shares of preferred stock, par value $</w:t>
      </w:r>
      <w:bookmarkStart w:id="1785" w:name="xdx_90C_eus-gaap--PreferredStockParOrSta"/>
      <w:bookmarkEnd w:id="1785"/>
      <w:r>
        <w:rPr>
          <w:rFonts w:ascii="Times New Roman;Times;Serif" w:hAnsi="Times New Roman;Times;Serif"/>
          <w:b w:val="false"/>
          <w:i w:val="false"/>
          <w:caps w:val="false"/>
          <w:smallCaps w:val="false"/>
          <w:sz w:val="20"/>
        </w:rPr>
        <w:t xml:space="preserve">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w:t>
      </w:r>
      <w:bookmarkStart w:id="1786" w:name="xdx_905_eus-gaap--PreferredStockSharesOu"/>
      <w:bookmarkStart w:id="1787" w:name="xdx_90A_eus-gaap--PreferredStockSharesIs"/>
      <w:bookmarkEnd w:id="1786"/>
      <w:bookmarkEnd w:id="1787"/>
      <w:r>
        <w:rPr>
          <w:rFonts w:ascii="Times New Roman;Times;Serif" w:hAnsi="Times New Roman;Times;Serif"/>
          <w:b w:val="false"/>
          <w:i w:val="false"/>
          <w:caps w:val="false"/>
          <w:smallCaps w:val="false"/>
          <w:sz w:val="20"/>
        </w:rPr>
        <w:t>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w:t>
      </w:r>
      <w:bookmarkStart w:id="1788" w:name="xdx_90D_eus-gaap--CommonStockSharesAutho"/>
      <w:bookmarkEnd w:id="1788"/>
      <w:r>
        <w:rPr>
          <w:rFonts w:ascii="Times New Roman;Times;Serif" w:hAnsi="Times New Roman;Times;Serif"/>
          <w:b w:val="false"/>
          <w:i w:val="false"/>
          <w:caps w:val="false"/>
          <w:smallCaps w:val="false"/>
          <w:sz w:val="20"/>
        </w:rPr>
        <w:t xml:space="preserve">285,000,000 shares of Class A Common Stock and </w:t>
      </w:r>
      <w:bookmarkStart w:id="1789" w:name="xdx_90C_eus-gaap--CommonStockSharesAutho"/>
      <w:bookmarkEnd w:id="1789"/>
      <w:r>
        <w:rPr>
          <w:rFonts w:ascii="Times New Roman;Times;Serif" w:hAnsi="Times New Roman;Times;Serif"/>
          <w:b w:val="false"/>
          <w:i w:val="false"/>
          <w:caps w:val="false"/>
          <w:smallCaps w:val="false"/>
          <w:sz w:val="20"/>
        </w:rPr>
        <w:t>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sold </w:t>
      </w:r>
      <w:bookmarkStart w:id="1790" w:name="xdx_907_eus-gaap--SaleOfStockNumberOfSha"/>
      <w:bookmarkEnd w:id="1790"/>
      <w:r>
        <w:rPr>
          <w:rFonts w:ascii="Times New Roman;Times;Serif" w:hAnsi="Times New Roman;Times;Serif"/>
          <w:b w:val="false"/>
          <w:i w:val="false"/>
          <w:caps w:val="false"/>
          <w:smallCaps w:val="false"/>
          <w:sz w:val="20"/>
        </w:rPr>
        <w:t>157,446 shares of its Class A Common Stock in private placements for net proceeds of $</w:t>
      </w:r>
      <w:bookmarkStart w:id="1791" w:name="xdx_90E_eus-gaap--ProceedsFromIssuanceOf"/>
      <w:bookmarkEnd w:id="1791"/>
      <w:r>
        <w:rPr>
          <w:rFonts w:ascii="Times New Roman;Times;Serif" w:hAnsi="Times New Roman;Times;Serif"/>
          <w:b w:val="false"/>
          <w:i w:val="false"/>
          <w:caps w:val="false"/>
          <w:smallCaps w:val="false"/>
          <w:sz w:val="20"/>
        </w:rPr>
        <w:t xml:space="preserve">1,600. In connection with the issuance of these shares, the Company also granted one investor a warrant to purchase </w:t>
      </w:r>
      <w:bookmarkStart w:id="1792" w:name="xdx_90A_eus-gaap--ClassOfWarrantOrRightN"/>
      <w:bookmarkEnd w:id="1792"/>
      <w:r>
        <w:rPr>
          <w:rFonts w:ascii="Times New Roman;Times;Serif" w:hAnsi="Times New Roman;Times;Serif"/>
          <w:b w:val="false"/>
          <w:i w:val="false"/>
          <w:caps w:val="false"/>
          <w:smallCaps w:val="false"/>
          <w:sz w:val="20"/>
        </w:rPr>
        <w:t>50,004 shares of common stock at a price of $</w:t>
      </w:r>
      <w:bookmarkStart w:id="1793" w:name="xdx_90F_eus-gaap--SharePrice_iI_pid_c202"/>
      <w:bookmarkEnd w:id="1793"/>
      <w:r>
        <w:rPr>
          <w:rFonts w:ascii="Times New Roman;Times;Serif" w:hAnsi="Times New Roman;Times;Serif"/>
          <w:b w:val="false"/>
          <w:i w:val="false"/>
          <w:caps w:val="false"/>
          <w:smallCaps w:val="false"/>
          <w:sz w:val="20"/>
        </w:rPr>
        <w:t xml:space="preserve">9.60 per share. The warrant is immediately exercisable and has a term of </w:t>
      </w:r>
      <w:bookmarkStart w:id="1794" w:name="xdx_906_eus-gaap--WarrantsAndRightsOutst"/>
      <w:bookmarkEnd w:id="1794"/>
      <w:r>
        <w:rPr>
          <w:rFonts w:ascii="Times New Roman;Times;Serif" w:hAnsi="Times New Roman;Times;Serif"/>
          <w:b w:val="false"/>
          <w:i w:val="false"/>
          <w:caps w:val="false"/>
          <w:smallCaps w:val="false"/>
          <w:sz w:val="20"/>
        </w:rPr>
        <w:t xml:space="preserve">three years. The Company determined the warrant to be a freestanding equity instrument with no subsequent remeasurement. The Company also issued </w:t>
      </w:r>
      <w:bookmarkStart w:id="1795" w:name="xdx_90D_eus-gaap--StockIssuedDuringPerio"/>
      <w:bookmarkEnd w:id="1795"/>
      <w:r>
        <w:rPr>
          <w:rFonts w:ascii="Times New Roman;Times;Serif" w:hAnsi="Times New Roman;Times;Serif"/>
          <w:b w:val="false"/>
          <w:i w:val="false"/>
          <w:caps w:val="false"/>
          <w:smallCaps w:val="false"/>
          <w:sz w:val="20"/>
        </w:rPr>
        <w:t xml:space="preserve">385,000 shares of its Class A Common Stock in connection with the April 2025 Offering.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Legacy Mobix sold </w:t>
      </w:r>
      <w:bookmarkStart w:id="1796" w:name="xdx_90E_eus-gaap--SaleOfStockNumberOfSha"/>
      <w:bookmarkEnd w:id="1796"/>
      <w:r>
        <w:rPr>
          <w:rFonts w:ascii="Times New Roman;Times;Serif" w:hAnsi="Times New Roman;Times;Serif"/>
          <w:b w:val="false"/>
          <w:i w:val="false"/>
          <w:caps w:val="false"/>
          <w:smallCaps w:val="false"/>
          <w:sz w:val="20"/>
        </w:rPr>
        <w:t>48,217 shares of its common stock at various dates in private placements for net proceeds of $</w:t>
      </w:r>
      <w:bookmarkStart w:id="1797" w:name="xdx_901_eus-gaap--ProceedsFromIssuanceOf"/>
      <w:bookmarkEnd w:id="1797"/>
      <w:r>
        <w:rPr>
          <w:rFonts w:ascii="Times New Roman;Times;Serif" w:hAnsi="Times New Roman;Times;Serif"/>
          <w:b w:val="false"/>
          <w:i w:val="false"/>
          <w:caps w:val="false"/>
          <w:smallCaps w:val="false"/>
          <w:sz w:val="20"/>
        </w:rPr>
        <w:t xml:space="preserve">3,286. In connection with the issuance of these shares, Legacy Mobix also granted one investor a warrant to purchase </w:t>
      </w:r>
      <w:bookmarkStart w:id="1798" w:name="xdx_909_eus-gaap--ClassOfWarrantOrRightN"/>
      <w:bookmarkEnd w:id="1798"/>
      <w:r>
        <w:rPr>
          <w:rFonts w:ascii="Times New Roman;Times;Serif" w:hAnsi="Times New Roman;Times;Serif"/>
          <w:b w:val="false"/>
          <w:i w:val="false"/>
          <w:caps w:val="false"/>
          <w:smallCaps w:val="false"/>
          <w:sz w:val="20"/>
        </w:rPr>
        <w:t>2,741 shares of common stock at a price of $</w:t>
      </w:r>
      <w:bookmarkStart w:id="1799" w:name="xdx_909_eus-gaap--SharePrice_iI_pid_c202"/>
      <w:bookmarkEnd w:id="1799"/>
      <w:r>
        <w:rPr>
          <w:rFonts w:ascii="Times New Roman;Times;Serif" w:hAnsi="Times New Roman;Times;Serif"/>
          <w:b w:val="false"/>
          <w:i w:val="false"/>
          <w:caps w:val="false"/>
          <w:smallCaps w:val="false"/>
          <w:sz w:val="20"/>
        </w:rPr>
        <w:t xml:space="preserve">0.10 per share. The warrant is immediately exercisable and has a term of </w:t>
      </w:r>
      <w:bookmarkStart w:id="1800" w:name="xdx_90F_eus-gaap--WarrantsAndRightsOutst"/>
      <w:bookmarkEnd w:id="1800"/>
      <w:r>
        <w:rPr>
          <w:rFonts w:ascii="Times New Roman;Times;Serif" w:hAnsi="Times New Roman;Times;Serif"/>
          <w:b w:val="false"/>
          <w:i w:val="false"/>
          <w:caps w:val="false"/>
          <w:smallCaps w:val="false"/>
          <w:sz w:val="20"/>
        </w:rPr>
        <w:t xml:space="preserve">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w:t>
      </w:r>
      <w:bookmarkStart w:id="1801" w:name="xdx_908_eus-gaap--StockIssuedDuringPerio"/>
      <w:bookmarkEnd w:id="1801"/>
      <w:r>
        <w:rPr>
          <w:rFonts w:ascii="Times New Roman;Times;Serif" w:hAnsi="Times New Roman;Times;Serif"/>
          <w:b w:val="false"/>
          <w:i w:val="false"/>
          <w:caps w:val="false"/>
          <w:smallCaps w:val="false"/>
          <w:sz w:val="20"/>
        </w:rPr>
        <w:t>37,000 shares of its Class A Common Stock to an unaffiliated investor for proceeds of $</w:t>
      </w:r>
      <w:bookmarkStart w:id="1802" w:name="xdx_905_eus-gaap--ProceedsFromIssuanceOf"/>
      <w:bookmarkEnd w:id="1802"/>
      <w:r>
        <w:rPr>
          <w:rFonts w:ascii="Times New Roman;Times;Serif" w:hAnsi="Times New Roman;Times;Serif"/>
          <w:b w:val="false"/>
          <w:i w:val="false"/>
          <w:caps w:val="false"/>
          <w:smallCaps w:val="false"/>
          <w:sz w:val="20"/>
        </w:rPr>
        <w:t xml:space="preserve">192. The Company also issued the investor a warrant to purchase an aggregate of </w:t>
      </w:r>
      <w:bookmarkStart w:id="1803" w:name="xdx_90B_eus-gaap--ClassOfWarrantOrRightN"/>
      <w:bookmarkEnd w:id="1803"/>
      <w:r>
        <w:rPr>
          <w:rFonts w:ascii="Times New Roman;Times;Serif" w:hAnsi="Times New Roman;Times;Serif"/>
          <w:b w:val="false"/>
          <w:i w:val="false"/>
          <w:caps w:val="false"/>
          <w:smallCaps w:val="false"/>
          <w:sz w:val="20"/>
        </w:rPr>
        <w:t>40,700 shares of its Class A Common Stock at a price of $</w:t>
      </w:r>
      <w:bookmarkStart w:id="1804" w:name="xdx_909_eus-gaap--SharePrice_iI_pid_c202"/>
      <w:bookmarkEnd w:id="1804"/>
      <w:r>
        <w:rPr>
          <w:rFonts w:ascii="Times New Roman;Times;Serif" w:hAnsi="Times New Roman;Times;Serif"/>
          <w:b w:val="false"/>
          <w:i w:val="false"/>
          <w:caps w:val="false"/>
          <w:smallCaps w:val="false"/>
          <w:sz w:val="20"/>
        </w:rPr>
        <w:t xml:space="preserve">11.80 per share. The warrant is immediately exercisable and has a </w:t>
      </w:r>
      <w:bookmarkStart w:id="1805" w:name="xdx_90A_eus-gaap--WarrantsAndRightsOutst"/>
      <w:bookmarkEnd w:id="1805"/>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06" w:name="xdx_892_eus-gaap--ScheduleOfStockholders"/>
      <w:bookmarkEnd w:id="1806"/>
      <w:r>
        <w:rPr>
          <w:rFonts w:ascii="Times New Roman;Times;Serif" w:hAnsi="Times New Roman;Times;Serif"/>
          <w:b w:val="false"/>
          <w:i w:val="false"/>
          <w:caps w:val="false"/>
          <w:smallCaps w:val="false"/>
          <w:sz w:val="20"/>
        </w:rPr>
        <w:t>As of September 30, 2025, the number of shares of Class A Common Stock available for issuance under the Company’s amended and restated articles of incorporation were as follows:</w:t>
      </w:r>
    </w:p>
    <w:p>
      <w:pPr>
        <w:pStyle w:val="TextBody"/>
        <w:bidi w:val="0"/>
        <w:spacing w:before="0" w:after="0"/>
        <w:ind w:left="0" w:right="0" w:hanging="0"/>
        <w:jc w:val="left"/>
        <w:rPr>
          <w:caps w:val="false"/>
          <w:smallCaps w:val="false"/>
        </w:rPr>
      </w:pPr>
      <w:r>
        <w:rPr>
          <w:caps w:val="false"/>
          <w:smallCaps w:val="false"/>
        </w:rPr>
        <w:t> </w:t>
      </w:r>
      <w:bookmarkStart w:id="1807" w:name="xdx_8B5_zK4dr02jCh53"/>
      <w:bookmarkEnd w:id="1807"/>
      <w:r>
        <w:rPr>
          <w:rFonts w:ascii="Times New Roman;Times;Serif" w:hAnsi="Times New Roman;Times;Serif"/>
          <w:b w:val="false"/>
          <w:i w:val="false"/>
          <w:caps w:val="false"/>
          <w:smallCaps w:val="false"/>
          <w:sz w:val="20"/>
        </w:rPr>
        <w:t>Schedule of Common Stock Available for Issuance</w:t>
      </w:r>
    </w:p>
    <w:tbl>
      <w:tblPr>
        <w:tblW w:w="7555" w:type="dxa"/>
        <w:jc w:val="left"/>
        <w:tblInd w:w="0" w:type="dxa"/>
        <w:tblLayout w:type="fixed"/>
        <w:tblCellMar>
          <w:top w:w="0" w:type="dxa"/>
          <w:left w:w="0" w:type="dxa"/>
          <w:bottom w:w="0" w:type="dxa"/>
          <w:right w:w="0" w:type="dxa"/>
        </w:tblCellMar>
      </w:tblPr>
      <w:tblGrid>
        <w:gridCol w:w="6140"/>
        <w:gridCol w:w="60"/>
        <w:gridCol w:w="60"/>
        <w:gridCol w:w="1220"/>
        <w:gridCol w:w="75"/>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8" w:name="xdx_496_20250930__us-gaap--StatementClas"/>
            <w:bookmarkEnd w:id="1808"/>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09" w:name="xdx_400_eus-gaap--CommonStockSharesAutho"/>
            <w:bookmarkEnd w:id="1809"/>
          </w:p>
        </w:tc>
      </w:tr>
      <w:tr>
        <w:trPr/>
        <w:tc>
          <w:tcPr>
            <w:tcW w:w="614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810" w:name="xdx_40A_eus-gaap--CommonStockSharesOutst"/>
            <w:bookmarkEnd w:id="1810"/>
          </w:p>
        </w:tc>
      </w:tr>
      <w:tr>
        <w:trPr/>
        <w:tc>
          <w:tcPr>
            <w:tcW w:w="614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5,883,842</w:t>
            </w:r>
          </w:p>
        </w:tc>
        <w:tc>
          <w:tcPr>
            <w:tcW w:w="75" w:type="dxa"/>
            <w:tcBorders/>
            <w:shd w:fill="CCEEFF" w:val="clear"/>
            <w:vAlign w:val="center"/>
          </w:tcPr>
          <w:p>
            <w:pPr>
              <w:pStyle w:val="TableContents"/>
              <w:bidi w:val="0"/>
              <w:spacing w:before="0" w:after="283"/>
              <w:jc w:val="left"/>
              <w:rPr/>
            </w:pPr>
            <w:r>
              <w:rPr/>
              <w:t> </w:t>
            </w:r>
            <w:bookmarkStart w:id="1811" w:name="xdx_40F_ecustom--ReserveForConversionOfC"/>
            <w:bookmarkEnd w:id="1811"/>
          </w:p>
        </w:tc>
      </w:tr>
      <w:tr>
        <w:trPr/>
        <w:tc>
          <w:tcPr>
            <w:tcW w:w="614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bookmarkStart w:id="1812" w:name="xdx_401_ecustom--ReserveForExerciseOfCom"/>
            <w:bookmarkEnd w:id="1812"/>
          </w:p>
        </w:tc>
      </w:tr>
      <w:tr>
        <w:trPr/>
        <w:tc>
          <w:tcPr>
            <w:tcW w:w="614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2,508,573</w:t>
            </w:r>
          </w:p>
        </w:tc>
        <w:tc>
          <w:tcPr>
            <w:tcW w:w="75" w:type="dxa"/>
            <w:tcBorders/>
            <w:shd w:fill="CCEEFF" w:val="clear"/>
            <w:vAlign w:val="center"/>
          </w:tcPr>
          <w:p>
            <w:pPr>
              <w:pStyle w:val="TableContents"/>
              <w:bidi w:val="0"/>
              <w:spacing w:before="0" w:after="283"/>
              <w:jc w:val="left"/>
              <w:rPr/>
            </w:pPr>
            <w:r>
              <w:rPr/>
              <w:t> </w:t>
            </w:r>
            <w:bookmarkStart w:id="1813" w:name="xdx_404_ecustom--ReserveForEarnoutShares"/>
            <w:bookmarkEnd w:id="1813"/>
          </w:p>
        </w:tc>
      </w:tr>
      <w:tr>
        <w:trPr/>
        <w:tc>
          <w:tcPr>
            <w:tcW w:w="614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bookmarkStart w:id="1814" w:name="xdx_406_ecustom--ReserveForRageEarnout_i"/>
            <w:bookmarkEnd w:id="1814"/>
          </w:p>
        </w:tc>
      </w:tr>
      <w:tr>
        <w:trPr/>
        <w:tc>
          <w:tcPr>
            <w:tcW w:w="6140" w:type="dxa"/>
            <w:tcBorders/>
            <w:shd w:fill="CCEEFF" w:val="clear"/>
            <w:vAlign w:val="center"/>
          </w:tcPr>
          <w:p>
            <w:pPr>
              <w:pStyle w:val="TableContents"/>
              <w:bidi w:val="0"/>
              <w:spacing w:before="0" w:after="283"/>
              <w:jc w:val="left"/>
              <w:rPr/>
            </w:pPr>
            <w:r>
              <w:rPr/>
              <w:t>Reserve for RaGE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64,280</w:t>
            </w:r>
          </w:p>
        </w:tc>
        <w:tc>
          <w:tcPr>
            <w:tcW w:w="75" w:type="dxa"/>
            <w:tcBorders/>
            <w:shd w:fill="CCEEFF" w:val="clear"/>
            <w:vAlign w:val="center"/>
          </w:tcPr>
          <w:p>
            <w:pPr>
              <w:pStyle w:val="TableContents"/>
              <w:bidi w:val="0"/>
              <w:spacing w:before="0" w:after="283"/>
              <w:jc w:val="left"/>
              <w:rPr/>
            </w:pPr>
            <w:r>
              <w:rPr/>
              <w:t> </w:t>
            </w:r>
            <w:bookmarkStart w:id="1815" w:name="xdx_409_ecustom--StockOptionsAndRSUsOuts"/>
            <w:bookmarkEnd w:id="1815"/>
          </w:p>
        </w:tc>
      </w:tr>
      <w:tr>
        <w:trPr/>
        <w:tc>
          <w:tcPr>
            <w:tcW w:w="614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1,564,028</w:t>
            </w:r>
          </w:p>
        </w:tc>
        <w:tc>
          <w:tcPr>
            <w:tcW w:w="75" w:type="dxa"/>
            <w:tcBorders/>
            <w:shd w:fill="FFFFFF" w:val="clear"/>
            <w:vAlign w:val="center"/>
          </w:tcPr>
          <w:p>
            <w:pPr>
              <w:pStyle w:val="TableContents"/>
              <w:bidi w:val="0"/>
              <w:spacing w:before="0" w:after="283"/>
              <w:jc w:val="left"/>
              <w:rPr/>
            </w:pPr>
            <w:r>
              <w:rPr/>
              <w:t> </w:t>
            </w:r>
            <w:bookmarkStart w:id="1816" w:name="xdx_409_eus-gaap--ShareBasedCompensation"/>
            <w:bookmarkEnd w:id="1816"/>
          </w:p>
        </w:tc>
      </w:tr>
      <w:tr>
        <w:trPr/>
        <w:tc>
          <w:tcPr>
            <w:tcW w:w="614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256,089</w:t>
            </w:r>
          </w:p>
        </w:tc>
        <w:tc>
          <w:tcPr>
            <w:tcW w:w="75" w:type="dxa"/>
            <w:tcBorders/>
            <w:shd w:fill="CCEEFF" w:val="clear"/>
            <w:vAlign w:val="center"/>
          </w:tcPr>
          <w:p>
            <w:pPr>
              <w:pStyle w:val="TableContents"/>
              <w:bidi w:val="0"/>
              <w:spacing w:before="0" w:after="283"/>
              <w:jc w:val="left"/>
              <w:rPr/>
            </w:pPr>
            <w:r>
              <w:rPr/>
              <w:t> </w:t>
            </w:r>
            <w:bookmarkStart w:id="1817" w:name="xdx_406_ecustom--AwardsAvailableForGrant"/>
            <w:bookmarkEnd w:id="1817"/>
          </w:p>
        </w:tc>
      </w:tr>
      <w:tr>
        <w:trPr/>
        <w:tc>
          <w:tcPr>
            <w:tcW w:w="6140" w:type="dxa"/>
            <w:tcBorders/>
            <w:shd w:fill="FFFFFF" w:val="clear"/>
            <w:vAlign w:val="center"/>
          </w:tcPr>
          <w:p>
            <w:pPr>
              <w:pStyle w:val="TableContents"/>
              <w:bidi w:val="0"/>
              <w:spacing w:before="0" w:after="283"/>
              <w:jc w:val="left"/>
              <w:rPr/>
            </w:pPr>
            <w:r>
              <w:rPr/>
              <w:t>Reserve for issuance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bookmarkStart w:id="1818" w:name="xdx_40F_eus-gaap--CommonStockCapitalShar"/>
            <w:bookmarkEnd w:id="1818"/>
          </w:p>
        </w:tc>
      </w:tr>
      <w:tr>
        <w:trPr/>
        <w:tc>
          <w:tcPr>
            <w:tcW w:w="6140" w:type="dxa"/>
            <w:tcBorders/>
            <w:shd w:fill="CCEEFF" w:val="clear"/>
            <w:vAlign w:val="center"/>
          </w:tcPr>
          <w:p>
            <w:pPr>
              <w:pStyle w:val="TableContents"/>
              <w:bidi w:val="0"/>
              <w:spacing w:before="0" w:after="283"/>
              <w:jc w:val="left"/>
              <w:rPr/>
            </w:pPr>
            <w:r>
              <w:rPr/>
              <w:t>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274,103,993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19" w:name="xdx_8A1_zhafcTCZ9BT1"/>
      <w:bookmarkEnd w:id="1819"/>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w:t>
      </w:r>
      <w:bookmarkStart w:id="1820" w:name="xdx_90B_eus-gaap--StockIssuedDuringPerio"/>
      <w:bookmarkEnd w:id="1820"/>
      <w:r>
        <w:rPr>
          <w:rFonts w:ascii="Times New Roman;Times;Serif" w:hAnsi="Times New Roman;Times;Serif"/>
          <w:b w:val="false"/>
          <w:i w:val="false"/>
          <w:caps w:val="false"/>
          <w:smallCaps w:val="false"/>
          <w:sz w:val="20"/>
        </w:rPr>
        <w:t>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B. Riley’s commitment to purchase shares of the Company’s Class A Common Stock, the Company agreed to pay a cash commitment fee in the amount of $</w:t>
      </w:r>
      <w:bookmarkStart w:id="1821" w:name="xdx_90C_eus-gaap--OtherCommitment_iI_pn3"/>
      <w:bookmarkEnd w:id="1821"/>
      <w:r>
        <w:rPr>
          <w:rFonts w:ascii="Times New Roman;Times;Serif" w:hAnsi="Times New Roman;Times;Serif"/>
          <w:b w:val="false"/>
          <w:i w:val="false"/>
          <w:caps w:val="false"/>
          <w:smallCaps w:val="false"/>
          <w:sz w:val="20"/>
        </w:rPr>
        <w:t xml:space="preserve">1,500 and reimburse certain legal fees. B. Riley will withhold </w:t>
      </w:r>
      <w:bookmarkStart w:id="1822" w:name="xdx_909_ecustom--CashFromAggregatePurcha"/>
      <w:bookmarkEnd w:id="1822"/>
      <w:r>
        <w:rPr>
          <w:rFonts w:ascii="Times New Roman;Times;Serif" w:hAnsi="Times New Roman;Times;Serif"/>
          <w:b w:val="false"/>
          <w:i w:val="false"/>
          <w:caps w:val="false"/>
          <w:smallCaps w:val="false"/>
          <w:sz w:val="20"/>
        </w:rPr>
        <w:t>30% in cash from the total aggregate purchase price until B. Riley has received the entire cash commitment fee. As of September 30, 2025, $</w:t>
      </w:r>
      <w:bookmarkStart w:id="1823" w:name="xdx_90C_ecustom--CommitmentFeeUnpaid_c20"/>
      <w:bookmarkEnd w:id="1823"/>
      <w:r>
        <w:rPr>
          <w:rFonts w:ascii="Times New Roman;Times;Serif" w:hAnsi="Times New Roman;Times;Serif"/>
          <w:b w:val="false"/>
          <w:i w:val="false"/>
          <w:caps w:val="false"/>
          <w:smallCaps w:val="false"/>
          <w:sz w:val="20"/>
        </w:rPr>
        <w:t xml:space="preserve">1,478 of the commitment fee remains unpaid, and is currently due. In April 2024, the Company filed a registration statement with the Securities and Exchange Commission to register under the Securities Act, the offer and resale by B. Riley of up to </w:t>
      </w:r>
      <w:bookmarkStart w:id="1824" w:name="xdx_90D_eus-gaap--StockIssuedDuringPerio"/>
      <w:bookmarkEnd w:id="1824"/>
      <w:r>
        <w:rPr>
          <w:rFonts w:ascii="Times New Roman;Times;Serif" w:hAnsi="Times New Roman;Times;Serif"/>
          <w:b w:val="false"/>
          <w:i w:val="false"/>
          <w:caps w:val="false"/>
          <w:smallCaps w:val="false"/>
          <w:sz w:val="20"/>
        </w:rPr>
        <w:t>950,000 shares of Class A Common Stock that the Company may elect to sell to B. Riley pursuant to the Purchase Agreement. The registration statement was declared effective on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sold </w:t>
      </w:r>
      <w:bookmarkStart w:id="1825" w:name="xdx_909_eus-gaap--StockIssuedDuringPerio"/>
      <w:bookmarkEnd w:id="1825"/>
      <w:r>
        <w:rPr>
          <w:rFonts w:ascii="Times New Roman;Times;Serif" w:hAnsi="Times New Roman;Times;Serif"/>
          <w:b w:val="false"/>
          <w:i w:val="false"/>
          <w:caps w:val="false"/>
          <w:smallCaps w:val="false"/>
          <w:sz w:val="20"/>
        </w:rPr>
        <w:t>3,636 shares of its Class A Common Stock to B. Riley under the Purchase Agreement for gross proceeds of $</w:t>
      </w:r>
      <w:bookmarkStart w:id="1826" w:name="xdx_904_eus-gaap--ProceedsFromIssuanceIn"/>
      <w:bookmarkEnd w:id="1826"/>
      <w:r>
        <w:rPr>
          <w:rFonts w:ascii="Times New Roman;Times;Serif" w:hAnsi="Times New Roman;Times;Serif"/>
          <w:b w:val="false"/>
          <w:i w:val="false"/>
          <w:caps w:val="false"/>
          <w:smallCaps w:val="false"/>
          <w:sz w:val="20"/>
        </w:rPr>
        <w:t>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w:t>
      </w:r>
      <w:bookmarkStart w:id="1827" w:name="xdx_900_eus-gaap--PaymentsForFees_pn3n3_"/>
      <w:bookmarkEnd w:id="1827"/>
      <w:r>
        <w:rPr>
          <w:rFonts w:ascii="Times New Roman;Times;Serif" w:hAnsi="Times New Roman;Times;Serif"/>
          <w:b w:val="false"/>
          <w:i w:val="false"/>
          <w:caps w:val="false"/>
          <w:smallCaps w:val="false"/>
          <w:sz w:val="20"/>
        </w:rPr>
        <w:t>1,577 are included in “Other non-operating losses, net”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28" w:name="xdx_804_ecustom--WarrantsTextBlock_zf9CC"/>
      <w:bookmarkEnd w:id="1828"/>
      <w:r>
        <w:rPr>
          <w:rFonts w:ascii="Times New Roman;Times;Serif" w:hAnsi="Times New Roman;Times;Serif"/>
          <w:b/>
          <w:i w:val="false"/>
          <w:caps w:val="false"/>
          <w:smallCaps w:val="false"/>
          <w:sz w:val="20"/>
        </w:rPr>
        <w:t xml:space="preserve">Note 15 — </w:t>
      </w:r>
      <w:bookmarkStart w:id="1829" w:name="xdx_826_zKE9Y9Hb7Hmg"/>
      <w:bookmarkEnd w:id="1829"/>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830" w:name="xdx_898_ecustom--ScheduleOfOutstandingWa"/>
      <w:bookmarkEnd w:id="1830"/>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bookmarkStart w:id="1831" w:name="xdx_8BC_zbRPnfEUevke"/>
      <w:bookmarkEnd w:id="1831"/>
      <w:r>
        <w:rPr>
          <w:rFonts w:ascii="Times New Roman;Times;Serif" w:hAnsi="Times New Roman;Times;Serif"/>
          <w:b w:val="false"/>
          <w:i w:val="false"/>
          <w:caps w:val="false"/>
          <w:smallCaps w:val="false"/>
          <w:sz w:val="20"/>
        </w:rPr>
        <w:t>Schedule of Outstanding Warrants</w:t>
      </w:r>
    </w:p>
    <w:tbl>
      <w:tblPr>
        <w:tblW w:w="7860" w:type="dxa"/>
        <w:jc w:val="left"/>
        <w:tblInd w:w="0" w:type="dxa"/>
        <w:tblLayout w:type="fixed"/>
        <w:tblCellMar>
          <w:top w:w="0" w:type="dxa"/>
          <w:left w:w="0" w:type="dxa"/>
          <w:bottom w:w="0" w:type="dxa"/>
          <w:right w:w="0" w:type="dxa"/>
        </w:tblCellMar>
      </w:tblPr>
      <w:tblGrid>
        <w:gridCol w:w="5285"/>
        <w:gridCol w:w="60"/>
        <w:gridCol w:w="60"/>
        <w:gridCol w:w="1100"/>
        <w:gridCol w:w="60"/>
        <w:gridCol w:w="60"/>
        <w:gridCol w:w="60"/>
        <w:gridCol w:w="110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2" w:name="xdx_493_20250930_z3svHSjBqJFj"/>
            <w:bookmarkEnd w:id="183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33" w:name="xdx_49F_20240930_z6a859Kiqdfk"/>
            <w:bookmarkEnd w:id="1833"/>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1834" w:name="xdx_405_eus-gaap--ClassOfWarrantOrRightO"/>
            <w:bookmarkEnd w:id="1834"/>
          </w:p>
        </w:tc>
      </w:tr>
      <w:tr>
        <w:trPr/>
        <w:tc>
          <w:tcPr>
            <w:tcW w:w="528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bookmarkStart w:id="1835" w:name="xdx_401_eus-gaap--ClassOfWarrantOrRightO"/>
            <w:bookmarkEnd w:id="1835"/>
          </w:p>
        </w:tc>
      </w:tr>
      <w:tr>
        <w:trPr/>
        <w:tc>
          <w:tcPr>
            <w:tcW w:w="5285"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bookmarkStart w:id="1836" w:name="xdx_400_eus-gaap--ClassOfWarrantOrRightO"/>
            <w:bookmarkEnd w:id="1836"/>
          </w:p>
        </w:tc>
      </w:tr>
      <w:tr>
        <w:trPr/>
        <w:tc>
          <w:tcPr>
            <w:tcW w:w="5285" w:type="dxa"/>
            <w:tcBorders/>
            <w:shd w:fill="CCEEFF" w:val="clear"/>
            <w:vAlign w:val="center"/>
          </w:tcPr>
          <w:p>
            <w:pPr>
              <w:pStyle w:val="TableContents"/>
              <w:bidi w:val="0"/>
              <w:spacing w:before="0" w:after="283"/>
              <w:jc w:val="left"/>
              <w:rPr/>
            </w:pPr>
            <w:r>
              <w:rPr/>
              <w:t>PIPE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bookmarkStart w:id="1837" w:name="xdx_400_eus-gaap--ClassOfWarrantOrRightO"/>
            <w:bookmarkEnd w:id="1837"/>
          </w:p>
        </w:tc>
      </w:tr>
      <w:tr>
        <w:trPr/>
        <w:tc>
          <w:tcPr>
            <w:tcW w:w="5285" w:type="dxa"/>
            <w:tcBorders/>
            <w:shd w:fill="FFFFFF" w:val="clear"/>
            <w:vAlign w:val="center"/>
          </w:tcPr>
          <w:p>
            <w:pPr>
              <w:pStyle w:val="TableContents"/>
              <w:bidi w:val="0"/>
              <w:spacing w:before="0" w:after="283"/>
              <w:jc w:val="left"/>
              <w:rPr/>
            </w:pPr>
            <w:r>
              <w:rPr/>
              <w:t>PIPE Common Warrants (July 2024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5,755,396</w:t>
            </w:r>
          </w:p>
        </w:tc>
        <w:tc>
          <w:tcPr>
            <w:tcW w:w="75" w:type="dxa"/>
            <w:tcBorders/>
            <w:shd w:fill="FFFFFF" w:val="clear"/>
            <w:vAlign w:val="center"/>
          </w:tcPr>
          <w:p>
            <w:pPr>
              <w:pStyle w:val="TableContents"/>
              <w:bidi w:val="0"/>
              <w:spacing w:before="0" w:after="283"/>
              <w:jc w:val="left"/>
              <w:rPr/>
            </w:pPr>
            <w:r>
              <w:rPr/>
              <w:t> </w:t>
            </w:r>
            <w:bookmarkStart w:id="1838" w:name="xdx_404_eus-gaap--ClassOfWarrantOrRightO"/>
            <w:bookmarkEnd w:id="1838"/>
          </w:p>
        </w:tc>
      </w:tr>
      <w:tr>
        <w:trPr/>
        <w:tc>
          <w:tcPr>
            <w:tcW w:w="5285" w:type="dxa"/>
            <w:tcBorders/>
            <w:shd w:fill="CCEEFF" w:val="clear"/>
            <w:vAlign w:val="center"/>
          </w:tcPr>
          <w:p>
            <w:pPr>
              <w:pStyle w:val="TableContents"/>
              <w:bidi w:val="0"/>
              <w:spacing w:before="0" w:after="283"/>
              <w:jc w:val="left"/>
              <w:rPr/>
            </w:pPr>
            <w:r>
              <w:rPr/>
              <w:t>Common Warrants (April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839" w:name="xdx_40D_eus-gaap--ClassOfWarrantOrRightO"/>
            <w:bookmarkEnd w:id="1839"/>
          </w:p>
        </w:tc>
      </w:tr>
      <w:tr>
        <w:trPr/>
        <w:tc>
          <w:tcPr>
            <w:tcW w:w="5285" w:type="dxa"/>
            <w:tcBorders/>
            <w:shd w:fill="FFFFFF" w:val="clear"/>
            <w:vAlign w:val="center"/>
          </w:tcPr>
          <w:p>
            <w:pPr>
              <w:pStyle w:val="TableContents"/>
              <w:bidi w:val="0"/>
              <w:spacing w:before="0" w:after="283"/>
              <w:jc w:val="left"/>
              <w:rPr/>
            </w:pPr>
            <w:r>
              <w:rPr/>
              <w:t>Inducement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8,229,701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840" w:name="xdx_400_eus-gaap--ClassOfWarrantOrRightO"/>
            <w:bookmarkEnd w:id="1840"/>
          </w:p>
        </w:tc>
      </w:tr>
      <w:tr>
        <w:trPr/>
        <w:tc>
          <w:tcPr>
            <w:tcW w:w="5285" w:type="dxa"/>
            <w:tcBorders/>
            <w:shd w:fill="CCEEFF" w:val="clear"/>
            <w:vAlign w:val="center"/>
          </w:tcPr>
          <w:p>
            <w:pPr>
              <w:pStyle w:val="TableContents"/>
              <w:bidi w:val="0"/>
              <w:spacing w:before="0" w:after="283"/>
              <w:jc w:val="left"/>
              <w:rPr/>
            </w:pPr>
            <w:r>
              <w:rPr/>
              <w:t>Other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2,170,403</w:t>
            </w:r>
          </w:p>
        </w:tc>
        <w:tc>
          <w:tcPr>
            <w:tcW w:w="75" w:type="dxa"/>
            <w:tcBorders/>
            <w:shd w:fill="CCEEFF" w:val="clear"/>
            <w:vAlign w:val="center"/>
          </w:tcPr>
          <w:p>
            <w:pPr>
              <w:pStyle w:val="TableContents"/>
              <w:bidi w:val="0"/>
              <w:spacing w:before="0" w:after="283"/>
              <w:jc w:val="left"/>
              <w:rPr/>
            </w:pPr>
            <w:r>
              <w:rPr/>
              <w:t> </w:t>
            </w:r>
            <w:bookmarkStart w:id="1841" w:name="xdx_40B_eus-gaap--ClassOfWarrantOrRightO"/>
            <w:bookmarkEnd w:id="1841"/>
          </w:p>
        </w:tc>
      </w:tr>
      <w:tr>
        <w:trPr/>
        <w:tc>
          <w:tcPr>
            <w:tcW w:w="52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25,085,732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18,675,799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842" w:name="xdx_8A6_zBt1cwQh9Tw"/>
      <w:bookmarkEnd w:id="1842"/>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2025, the Company entered into a securities purchase agreement (the “2025 Securities Purchase Agreement”) with an institutional accredited investor, pursuant to which it issued </w:t>
      </w:r>
      <w:bookmarkStart w:id="1843" w:name="xdx_90F_eus-gaap--CommonStockSharesIssue"/>
      <w:bookmarkEnd w:id="1843"/>
      <w:r>
        <w:rPr>
          <w:rFonts w:ascii="Times New Roman;Times;Serif" w:hAnsi="Times New Roman;Times;Serif"/>
          <w:b w:val="false"/>
          <w:i w:val="false"/>
          <w:caps w:val="false"/>
          <w:smallCaps w:val="false"/>
          <w:sz w:val="20"/>
        </w:rPr>
        <w:t xml:space="preserve">385,000 shares of Class A Common Stock, a pre-funded warrant to purchase up to </w:t>
      </w:r>
      <w:bookmarkStart w:id="1844" w:name="xdx_909_eus-gaap--ClassOfWarrantOrRightN"/>
      <w:bookmarkEnd w:id="1844"/>
      <w:r>
        <w:rPr>
          <w:rFonts w:ascii="Times New Roman;Times;Serif" w:hAnsi="Times New Roman;Times;Serif"/>
          <w:b w:val="false"/>
          <w:i w:val="false"/>
          <w:caps w:val="false"/>
          <w:smallCaps w:val="false"/>
          <w:sz w:val="20"/>
        </w:rPr>
        <w:t xml:space="preserve">102,686 shares of Class A Common Stock and common stock warrants (the “Common Warrants”) to purchase up to </w:t>
      </w:r>
      <w:bookmarkStart w:id="1845" w:name="xdx_90D_eus-gaap--ClassOfWarrantOrRightN"/>
      <w:bookmarkEnd w:id="1845"/>
      <w:r>
        <w:rPr>
          <w:rFonts w:ascii="Times New Roman;Times;Serif" w:hAnsi="Times New Roman;Times;Serif"/>
          <w:b w:val="false"/>
          <w:i w:val="false"/>
          <w:caps w:val="false"/>
          <w:smallCaps w:val="false"/>
          <w:sz w:val="20"/>
        </w:rPr>
        <w:t>487,686 shares of the Company’s Class A Common Stock (together, the “April 2025 Offering”). The pre-funded warrant has an exercise price of $</w:t>
      </w:r>
      <w:bookmarkStart w:id="1846" w:name="xdx_903_eus-gaap--ClassOfWarrantOrRightE"/>
      <w:bookmarkEnd w:id="1846"/>
      <w:r>
        <w:rPr>
          <w:rFonts w:ascii="Times New Roman;Times;Serif" w:hAnsi="Times New Roman;Times;Serif"/>
          <w:b w:val="false"/>
          <w:i w:val="false"/>
          <w:caps w:val="false"/>
          <w:smallCaps w:val="false"/>
          <w:sz w:val="20"/>
        </w:rPr>
        <w:t>0.0001 per share and was immediately exercisable. The Common Warrants have an exercise price of $</w:t>
      </w:r>
      <w:bookmarkStart w:id="1847" w:name="xdx_908_eus-gaap--ClassOfWarrantOrRightE"/>
      <w:bookmarkEnd w:id="1847"/>
      <w:r>
        <w:rPr>
          <w:rFonts w:ascii="Times New Roman;Times;Serif" w:hAnsi="Times New Roman;Times;Serif"/>
          <w:b w:val="false"/>
          <w:i w:val="false"/>
          <w:caps w:val="false"/>
          <w:smallCaps w:val="false"/>
          <w:sz w:val="20"/>
        </w:rPr>
        <w:t>8.20, are currently exercisable and will expire on May 30, 2030. The net proceeds to the Company from the April 2025 Offering were $</w:t>
      </w:r>
      <w:bookmarkStart w:id="1848" w:name="xdx_903_eus-gaap--ProceedsFromIssuanceIn"/>
      <w:bookmarkEnd w:id="1848"/>
      <w:r>
        <w:rPr>
          <w:rFonts w:ascii="Times New Roman;Times;Serif" w:hAnsi="Times New Roman;Times;Serif"/>
          <w:b w:val="false"/>
          <w:i w:val="false"/>
          <w:caps w:val="false"/>
          <w:smallCaps w:val="false"/>
          <w:sz w:val="20"/>
        </w:rPr>
        <w:t>3,645, after payment of the placement agent’s fees of $</w:t>
      </w:r>
      <w:bookmarkStart w:id="1849" w:name="xdx_901_eus-gaap--ProceedsFromIssuanceOf"/>
      <w:bookmarkEnd w:id="1849"/>
      <w:r>
        <w:rPr>
          <w:rFonts w:ascii="Times New Roman;Times;Serif" w:hAnsi="Times New Roman;Times;Serif"/>
          <w:b w:val="false"/>
          <w:i w:val="false"/>
          <w:caps w:val="false"/>
          <w:smallCaps w:val="false"/>
          <w:sz w:val="20"/>
        </w:rPr>
        <w:t>355. During the year ended September 30, 2025, the investor fully exercised the pre-funded warrant for net proceeds to the Company of $</w:t>
      </w:r>
      <w:bookmarkStart w:id="1850" w:name="xdx_904_eus-gaap--ProceedsFromWarrantExe"/>
      <w:bookmarkEnd w:id="1850"/>
      <w:r>
        <w:rPr>
          <w:rFonts w:ascii="Times New Roman;Times;Serif" w:hAnsi="Times New Roman;Times;Serif"/>
          <w:b w:val="false"/>
          <w:i w:val="false"/>
          <w:caps w:val="false"/>
          <w:smallCaps w:val="false"/>
          <w:sz w:val="20"/>
        </w:rPr>
        <w:t>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2025 Offering, the Company also amended the PIPE Common Warrants (see “</w:t>
      </w:r>
      <w:r>
        <w:rPr>
          <w:rFonts w:ascii="Times New Roman;Times;Serif" w:hAnsi="Times New Roman;Times;Serif"/>
          <w:b w:val="false"/>
          <w:i/>
          <w:caps w:val="false"/>
          <w:smallCaps w:val="false"/>
          <w:sz w:val="20"/>
        </w:rPr>
        <w:t>July 2024 Private Placement</w:t>
      </w:r>
      <w:r>
        <w:rPr>
          <w:rFonts w:ascii="Times New Roman;Times;Serif" w:hAnsi="Times New Roman;Times;Serif"/>
          <w:b w:val="false"/>
          <w:i w:val="false"/>
          <w:caps w:val="false"/>
          <w:smallCaps w:val="false"/>
          <w:sz w:val="20"/>
        </w:rPr>
        <w:t>,” below). The Company allocated the proceeds of the April 2025 Offering among the liability-classified warrants issued and amended based on their estimated fair values, with the remainder of the proceeds allocated to the shares of Class A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issued the placement agent warrants to purchase an aggregate of </w:t>
      </w:r>
      <w:bookmarkStart w:id="1851" w:name="xdx_908_eus-gaap--ClassOfWarrantOrRightN"/>
      <w:bookmarkEnd w:id="1851"/>
      <w:r>
        <w:rPr>
          <w:rFonts w:ascii="Times New Roman;Times;Serif" w:hAnsi="Times New Roman;Times;Serif"/>
          <w:b w:val="false"/>
          <w:i w:val="false"/>
          <w:caps w:val="false"/>
          <w:smallCaps w:val="false"/>
          <w:sz w:val="20"/>
        </w:rPr>
        <w:t>68,276 shares of Class A Common Stock. These warrants have an exercise price of $</w:t>
      </w:r>
      <w:bookmarkStart w:id="1852" w:name="xdx_901_eus-gaap--ClassOfWarrantOrRightE"/>
      <w:bookmarkEnd w:id="1852"/>
      <w:r>
        <w:rPr>
          <w:rFonts w:ascii="Times New Roman;Times;Serif" w:hAnsi="Times New Roman;Times;Serif"/>
          <w:b w:val="false"/>
          <w:i w:val="false"/>
          <w:caps w:val="false"/>
          <w:smallCaps w:val="false"/>
          <w:sz w:val="20"/>
        </w:rPr>
        <w:t xml:space="preserve">8.202 per share, are currently exercisable and will expire on </w:t>
      </w:r>
      <w:bookmarkStart w:id="1853" w:name="xdx_90D_eus-gaap--WarrantsAndRightsOutst"/>
      <w:bookmarkEnd w:id="1853"/>
      <w:r>
        <w:rPr>
          <w:rFonts w:ascii="Times New Roman;Times;Serif" w:hAnsi="Times New Roman;Times;Serif"/>
          <w:b w:val="false"/>
          <w:i w:val="false"/>
          <w:caps w:val="false"/>
          <w:smallCaps w:val="false"/>
          <w:sz w:val="20"/>
        </w:rPr>
        <w:t>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w:t>
      </w:r>
      <w:bookmarkStart w:id="1854" w:name="xdx_909_eus-gaap--PaymentsOfFinancingCos"/>
      <w:bookmarkEnd w:id="1854"/>
      <w:r>
        <w:rPr>
          <w:rFonts w:ascii="Times New Roman;Times;Serif" w:hAnsi="Times New Roman;Times;Serif"/>
          <w:b w:val="false"/>
          <w:i w:val="false"/>
          <w:caps w:val="false"/>
          <w:smallCaps w:val="false"/>
          <w:sz w:val="20"/>
        </w:rPr>
        <w:t>443 is included in “Financing costs expensed”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entered into a securities purchase agreement (the “Securities Purchase Agreement”) with an institutional accredited investor, pursuant to which it issued a pre-funded warrant to purchase up to </w:t>
      </w:r>
      <w:bookmarkStart w:id="1855" w:name="xdx_904_eus-gaap--ClassOfWarrantOrRightN"/>
      <w:bookmarkEnd w:id="1855"/>
      <w:r>
        <w:rPr>
          <w:rFonts w:ascii="Times New Roman;Times;Serif" w:hAnsi="Times New Roman;Times;Serif"/>
          <w:b w:val="false"/>
          <w:i w:val="false"/>
          <w:caps w:val="false"/>
          <w:smallCaps w:val="false"/>
          <w:sz w:val="20"/>
        </w:rPr>
        <w:t xml:space="preserve">287,769 shares of the Company’s Class A Common Stock and warrants to purchase an aggregate of </w:t>
      </w:r>
      <w:bookmarkStart w:id="1856" w:name="xdx_908_eus-gaap--ClassOfWarrantOrRightN"/>
      <w:bookmarkEnd w:id="1856"/>
      <w:r>
        <w:rPr>
          <w:rFonts w:ascii="Times New Roman;Times;Serif" w:hAnsi="Times New Roman;Times;Serif"/>
          <w:b w:val="false"/>
          <w:i w:val="false"/>
          <w:caps w:val="false"/>
          <w:smallCaps w:val="false"/>
          <w:sz w:val="20"/>
        </w:rPr>
        <w:t>575,538 shares of the Company’s Class A Common Stock (“PIPE Common Warrants”). The Pre-Funded Warrant has an exercise price of $</w:t>
      </w:r>
      <w:bookmarkStart w:id="1857" w:name="xdx_905_eus-gaap--ClassOfWarrantOrRightE"/>
      <w:bookmarkEnd w:id="1857"/>
      <w:r>
        <w:rPr>
          <w:rFonts w:ascii="Times New Roman;Times;Serif" w:hAnsi="Times New Roman;Times;Serif"/>
          <w:b w:val="false"/>
          <w:i w:val="false"/>
          <w:caps w:val="false"/>
          <w:smallCaps w:val="false"/>
          <w:sz w:val="20"/>
        </w:rPr>
        <w:t xml:space="preserve">0.10 per share, is immediately exercisable upon issuance and will expire when exercised in full. The PIPE Common Warrants are comprised of Series A warrants to purchase up to </w:t>
      </w:r>
      <w:bookmarkStart w:id="1858" w:name="xdx_903_eus-gaap--ClassOfWarrantOrRightN"/>
      <w:bookmarkEnd w:id="1858"/>
      <w:r>
        <w:rPr>
          <w:rFonts w:ascii="Times New Roman;Times;Serif" w:hAnsi="Times New Roman;Times;Serif"/>
          <w:b w:val="false"/>
          <w:i w:val="false"/>
          <w:caps w:val="false"/>
          <w:smallCaps w:val="false"/>
          <w:sz w:val="20"/>
        </w:rPr>
        <w:t xml:space="preserve">287,769 shares of Class A Common Stock (the “Series A Warrants”) and Series B warrants to purchase up to </w:t>
      </w:r>
      <w:bookmarkStart w:id="1859" w:name="xdx_90F_eus-gaap--ClassOfWarrantOrRightN"/>
      <w:bookmarkEnd w:id="1859"/>
      <w:r>
        <w:rPr>
          <w:rFonts w:ascii="Times New Roman;Times;Serif" w:hAnsi="Times New Roman;Times;Serif"/>
          <w:b w:val="false"/>
          <w:i w:val="false"/>
          <w:caps w:val="false"/>
          <w:smallCaps w:val="false"/>
          <w:sz w:val="20"/>
        </w:rPr>
        <w:t>287,769 shares of Class A Common Stock (the “Series B Warrants”). The PIPE Common Warrants initially had an exercise price of $</w:t>
      </w:r>
      <w:bookmarkStart w:id="1860" w:name="xdx_90A_eus-gaap--ClassOfWarrantOrRightE"/>
      <w:bookmarkEnd w:id="1860"/>
      <w:r>
        <w:rPr>
          <w:rFonts w:ascii="Times New Roman;Times;Serif" w:hAnsi="Times New Roman;Times;Serif"/>
          <w:b w:val="false"/>
          <w:i w:val="false"/>
          <w:caps w:val="false"/>
          <w:smallCaps w:val="false"/>
          <w:sz w:val="20"/>
        </w:rPr>
        <w:t>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w:t>
      </w:r>
      <w:bookmarkStart w:id="1861" w:name="xdx_901_eus-gaap--ProceedsFromIssuanceOf"/>
      <w:bookmarkEnd w:id="1861"/>
      <w:r>
        <w:rPr>
          <w:rFonts w:ascii="Times New Roman;Times;Serif" w:hAnsi="Times New Roman;Times;Serif"/>
          <w:b w:val="false"/>
          <w:i w:val="false"/>
          <w:caps w:val="false"/>
          <w:smallCaps w:val="false"/>
          <w:sz w:val="20"/>
        </w:rPr>
        <w:t>4,000, before payment of fees and expenses to the placement agent of $</w:t>
      </w:r>
      <w:bookmarkStart w:id="1862" w:name="xdx_906_eus-gaap--PaymentsForFees_pn3n3_"/>
      <w:bookmarkEnd w:id="1862"/>
      <w:r>
        <w:rPr>
          <w:rFonts w:ascii="Times New Roman;Times;Serif" w:hAnsi="Times New Roman;Times;Serif"/>
          <w:b w:val="false"/>
          <w:i w:val="false"/>
          <w:caps w:val="false"/>
          <w:smallCaps w:val="false"/>
          <w:sz w:val="20"/>
        </w:rPr>
        <w:t>415. During the year ended September 30, 2024, the investor fully exercised the pre-funded warrant, for net proceeds to the Company of $</w:t>
      </w:r>
      <w:bookmarkStart w:id="1863" w:name="xdx_902_eus-gaap--ProceedsFromWarrantExe"/>
      <w:bookmarkEnd w:id="1863"/>
      <w:r>
        <w:rPr>
          <w:rFonts w:ascii="Times New Roman;Times;Serif" w:hAnsi="Times New Roman;Times;Serif"/>
          <w:b w:val="false"/>
          <w:i w:val="false"/>
          <w:caps w:val="false"/>
          <w:smallCaps w:val="false"/>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Private Placement, the Company issued the placement agent warrants to purchase an aggregate of </w:t>
      </w:r>
      <w:bookmarkStart w:id="1864" w:name="xdx_90A_eus-gaap--ClassOfWarrantOrRightN"/>
      <w:bookmarkEnd w:id="1864"/>
      <w:r>
        <w:rPr>
          <w:rFonts w:ascii="Times New Roman;Times;Serif" w:hAnsi="Times New Roman;Times;Serif"/>
          <w:b w:val="false"/>
          <w:i w:val="false"/>
          <w:caps w:val="false"/>
          <w:smallCaps w:val="false"/>
          <w:sz w:val="20"/>
        </w:rPr>
        <w:t>20,143 shares of its Class A Common Stock. The placement agent warrants have an exercise price of $</w:t>
      </w:r>
      <w:bookmarkStart w:id="1865" w:name="xdx_90B_eus-gaap--ClassOfWarrantOrRightE"/>
      <w:bookmarkEnd w:id="1865"/>
      <w:r>
        <w:rPr>
          <w:rFonts w:ascii="Times New Roman;Times;Serif" w:hAnsi="Times New Roman;Times;Serif"/>
          <w:b w:val="false"/>
          <w:i w:val="false"/>
          <w:caps w:val="false"/>
          <w:smallCaps w:val="false"/>
          <w:sz w:val="20"/>
        </w:rPr>
        <w:t xml:space="preserve">17.375 per share, are exercisable upon stockholder approval and expire five years thereafter. Moreover, upon any exercise for cash of the PIPE Common Warrants, the Company is obligated to pay the placement agent cash fees aggregating </w:t>
      </w:r>
      <w:bookmarkStart w:id="1866" w:name="xdx_902_ecustom--PercentageOfPlacementAg"/>
      <w:bookmarkEnd w:id="1866"/>
      <w:r>
        <w:rPr>
          <w:rFonts w:ascii="Times New Roman;Times;Serif" w:hAnsi="Times New Roman;Times;Serif"/>
          <w:b w:val="false"/>
          <w:i w:val="false"/>
          <w:caps w:val="false"/>
          <w:smallCaps w:val="false"/>
          <w:sz w:val="20"/>
        </w:rPr>
        <w:t xml:space="preserve">8% of the gross exercise price and issue to the placement agent warrants to purchase a number of shares of Common Stock equal to </w:t>
      </w:r>
      <w:bookmarkStart w:id="1867" w:name="xdx_90B_ecustom--PercentageOfPurchaseOfS"/>
      <w:bookmarkEnd w:id="1867"/>
      <w:r>
        <w:rPr>
          <w:rFonts w:ascii="Times New Roman;Times;Serif" w:hAnsi="Times New Roman;Times;Serif"/>
          <w:b w:val="false"/>
          <w:i w:val="false"/>
          <w:caps w:val="false"/>
          <w:smallCaps w:val="false"/>
          <w:sz w:val="20"/>
        </w:rPr>
        <w:t>7.0% of the aggregate number of such shares of Class A Common Stock underlying the PIPE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during the year ended September 30, 2024 the Company recognized a loss of $</w:t>
      </w:r>
      <w:bookmarkStart w:id="1868" w:name="xdx_900_ecustom--FinancingCostsExpensed_"/>
      <w:bookmarkEnd w:id="1868"/>
      <w:r>
        <w:rPr>
          <w:rFonts w:ascii="Times New Roman;Times;Serif" w:hAnsi="Times New Roman;Times;Serif"/>
          <w:b w:val="false"/>
          <w:i w:val="false"/>
          <w:caps w:val="false"/>
          <w:smallCaps w:val="false"/>
          <w:sz w:val="20"/>
        </w:rPr>
        <w:t xml:space="preserve">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w:t>
      </w:r>
      <w:bookmarkStart w:id="1869" w:name="xdx_901_eus-gaap--ClassOfWarrantOrRightO"/>
      <w:bookmarkEnd w:id="1869"/>
      <w:r>
        <w:rPr>
          <w:rFonts w:ascii="Times New Roman;Times;Serif" w:hAnsi="Times New Roman;Times;Serif"/>
          <w:b w:val="false"/>
          <w:i w:val="false"/>
          <w:caps w:val="false"/>
          <w:smallCaps w:val="false"/>
          <w:sz w:val="20"/>
        </w:rPr>
        <w:t>575,538 then outstanding PIPE Common Warrants to reduce the exercise price from $</w:t>
      </w:r>
      <w:bookmarkStart w:id="1870" w:name="xdx_901_eus-gaap--ClassOfWarrantOrRightE"/>
      <w:bookmarkEnd w:id="1870"/>
      <w:r>
        <w:rPr>
          <w:rFonts w:ascii="Times New Roman;Times;Serif" w:hAnsi="Times New Roman;Times;Serif"/>
          <w:b w:val="false"/>
          <w:i w:val="false"/>
          <w:caps w:val="false"/>
          <w:smallCaps w:val="false"/>
          <w:sz w:val="20"/>
        </w:rPr>
        <w:t>13.90 per share to $</w:t>
      </w:r>
      <w:bookmarkStart w:id="1871" w:name="xdx_903_eus-gaap--ClassOfWarrantOrRightE"/>
      <w:bookmarkEnd w:id="1871"/>
      <w:r>
        <w:rPr>
          <w:rFonts w:ascii="Times New Roman;Times;Serif" w:hAnsi="Times New Roman;Times;Serif"/>
          <w:b w:val="false"/>
          <w:i w:val="false"/>
          <w:caps w:val="false"/>
          <w:smallCaps w:val="false"/>
          <w:sz w:val="20"/>
        </w:rPr>
        <w:t>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Times;Serif" w:hAnsi="Times New Roman;Times;Serif"/>
          <w:b w:val="false"/>
          <w:i/>
          <w:caps w:val="false"/>
          <w:smallCaps w:val="false"/>
          <w:sz w:val="20"/>
        </w:rPr>
        <w:t>Warrant Exercise Inducement</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w:t>
      </w:r>
      <w:bookmarkStart w:id="1872" w:name="xdx_902_eus-gaap--ClassOfWarrantOrRightN"/>
      <w:bookmarkEnd w:id="1872"/>
      <w:r>
        <w:rPr>
          <w:rFonts w:ascii="Times New Roman;Times;Serif" w:hAnsi="Times New Roman;Times;Serif"/>
          <w:b w:val="false"/>
          <w:i w:val="false"/>
          <w:caps w:val="false"/>
          <w:smallCaps w:val="false"/>
          <w:sz w:val="20"/>
        </w:rPr>
        <w:t xml:space="preserve">548,646 shares of Class A Common Stock, consisting of (i) </w:t>
      </w:r>
      <w:bookmarkStart w:id="1873" w:name="xdx_902_eus-gaap--DerivativeUnderlyingIn"/>
      <w:bookmarkEnd w:id="1873"/>
      <w:r>
        <w:rPr>
          <w:rFonts w:ascii="Times New Roman;Times;Serif" w:hAnsi="Times New Roman;Times;Serif"/>
          <w:b w:val="false"/>
          <w:i w:val="false"/>
          <w:caps w:val="false"/>
          <w:smallCaps w:val="false"/>
          <w:sz w:val="20"/>
        </w:rPr>
        <w:t xml:space="preserve">148,495 shares underlying Series A Warrants, (ii) </w:t>
      </w:r>
      <w:bookmarkStart w:id="1874" w:name="xdx_907_eus-gaap--DerivativeUnderlyingIn"/>
      <w:bookmarkEnd w:id="1874"/>
      <w:r>
        <w:rPr>
          <w:rFonts w:ascii="Times New Roman;Times;Serif" w:hAnsi="Times New Roman;Times;Serif"/>
          <w:b w:val="false"/>
          <w:i w:val="false"/>
          <w:caps w:val="false"/>
          <w:smallCaps w:val="false"/>
          <w:sz w:val="20"/>
        </w:rPr>
        <w:t xml:space="preserve">148,495 shares underlying Series B Warrants and (iii) </w:t>
      </w:r>
      <w:bookmarkStart w:id="1875" w:name="xdx_900_eus-gaap--DerivativeUnderlyingIn"/>
      <w:bookmarkEnd w:id="1875"/>
      <w:r>
        <w:rPr>
          <w:rFonts w:ascii="Times New Roman;Times;Serif" w:hAnsi="Times New Roman;Times;Serif"/>
          <w:b w:val="false"/>
          <w:i w:val="false"/>
          <w:caps w:val="false"/>
          <w:smallCaps w:val="false"/>
          <w:sz w:val="20"/>
        </w:rPr>
        <w:t>251,656 shares underlying Common Warrants, each at the current exercise price of $</w:t>
      </w:r>
      <w:bookmarkStart w:id="1876" w:name="xdx_900_eus-gaap--ClassOfWarrantOrRightE"/>
      <w:bookmarkStart w:id="1877" w:name="xdx_901_eus-gaap--ClassOfWarrantOrRightE"/>
      <w:bookmarkStart w:id="1878" w:name="xdx_90F_eus-gaap--ClassOfWarrantOrRightE"/>
      <w:bookmarkEnd w:id="1876"/>
      <w:bookmarkEnd w:id="1877"/>
      <w:bookmarkEnd w:id="1878"/>
      <w:r>
        <w:rPr>
          <w:rFonts w:ascii="Times New Roman;Times;Serif" w:hAnsi="Times New Roman;Times;Serif"/>
          <w:b w:val="false"/>
          <w:i w:val="false"/>
          <w:caps w:val="false"/>
          <w:smallCaps w:val="false"/>
          <w:sz w:val="20"/>
        </w:rPr>
        <w:t>8.202 per share. The Company received gross proceeds of approximately $</w:t>
      </w:r>
      <w:bookmarkStart w:id="1879" w:name="xdx_906_eus-gaap--ProceedsFromWarrantExe"/>
      <w:bookmarkEnd w:id="1879"/>
      <w:r>
        <w:rPr>
          <w:rFonts w:ascii="Times New Roman;Times;Serif" w:hAnsi="Times New Roman;Times;Serif"/>
          <w:b w:val="false"/>
          <w:i w:val="false"/>
          <w:caps w:val="false"/>
          <w:smallCaps w:val="false"/>
          <w:sz w:val="20"/>
        </w:rPr>
        <w:t>4,500 from the exercise of these warrants. In connection with the warrant exercise inducement, the Company paid its financial advisor a cash placement fee of $</w:t>
      </w:r>
      <w:bookmarkStart w:id="1880" w:name="xdx_90C_ecustom--CashPlacementFee_c20250"/>
      <w:bookmarkEnd w:id="1880"/>
      <w:r>
        <w:rPr>
          <w:rFonts w:ascii="Times New Roman;Times;Serif" w:hAnsi="Times New Roman;Times;Serif"/>
          <w:b w:val="false"/>
          <w:i w:val="false"/>
          <w:caps w:val="false"/>
          <w:smallCaps w:val="false"/>
          <w:sz w:val="20"/>
        </w:rPr>
        <w:t xml:space="preserve">315 and issued the financial advisor warrants to purchase up to </w:t>
      </w:r>
      <w:bookmarkStart w:id="1881" w:name="xdx_90C_eus-gaap--ClassOfWarrantOrRightN"/>
      <w:bookmarkEnd w:id="1881"/>
      <w:r>
        <w:rPr>
          <w:rFonts w:ascii="Times New Roman;Times;Serif" w:hAnsi="Times New Roman;Times;Serif"/>
          <w:b w:val="false"/>
          <w:i w:val="false"/>
          <w:caps w:val="false"/>
          <w:smallCaps w:val="false"/>
          <w:sz w:val="20"/>
        </w:rPr>
        <w:t>38,405 shares of its Class A Common Stock at an exercise price of $</w:t>
      </w:r>
      <w:bookmarkStart w:id="1882" w:name="xdx_906_eus-gaap--ClassOfWarrantOrRightE"/>
      <w:bookmarkEnd w:id="1882"/>
      <w:r>
        <w:rPr>
          <w:rFonts w:ascii="Times New Roman;Times;Serif" w:hAnsi="Times New Roman;Times;Serif"/>
          <w:b w:val="false"/>
          <w:i w:val="false"/>
          <w:caps w:val="false"/>
          <w:smallCaps w:val="false"/>
          <w:sz w:val="20"/>
        </w:rPr>
        <w:t>10.80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consideration for the holder’s agreement to exercise the warrants for cash, the Company agreed to issue to the holder new warrants (the “Inducement Warrants”) to purchase up to an aggregate of </w:t>
      </w:r>
      <w:bookmarkStart w:id="1883" w:name="xdx_901_eus-gaap--ClassOfWarrantOrRightN"/>
      <w:bookmarkEnd w:id="1883"/>
      <w:r>
        <w:rPr>
          <w:rFonts w:ascii="Times New Roman;Times;Serif" w:hAnsi="Times New Roman;Times;Serif"/>
          <w:b w:val="false"/>
          <w:i w:val="false"/>
          <w:caps w:val="false"/>
          <w:smallCaps w:val="false"/>
          <w:sz w:val="20"/>
        </w:rPr>
        <w:t>822,970 shares of its Class A Common Stock at an exercise price of $</w:t>
      </w:r>
      <w:bookmarkStart w:id="1884" w:name="xdx_90D_eus-gaap--ClassOfWarrantOrRightE"/>
      <w:bookmarkEnd w:id="1884"/>
      <w:r>
        <w:rPr>
          <w:rFonts w:ascii="Times New Roman;Times;Serif" w:hAnsi="Times New Roman;Times;Serif"/>
          <w:b w:val="false"/>
          <w:i w:val="false"/>
          <w:caps w:val="false"/>
          <w:smallCaps w:val="false"/>
          <w:sz w:val="20"/>
        </w:rPr>
        <w:t>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w:t>
      </w:r>
      <w:bookmarkStart w:id="1885" w:name="xdx_907_eus-gaap--IssuanceOfStockAndWarr"/>
      <w:bookmarkEnd w:id="1885"/>
      <w:r>
        <w:rPr>
          <w:rFonts w:ascii="Times New Roman;Times;Serif" w:hAnsi="Times New Roman;Times;Serif"/>
          <w:b w:val="false"/>
          <w:i w:val="false"/>
          <w:caps w:val="false"/>
          <w:smallCaps w:val="false"/>
          <w:sz w:val="20"/>
        </w:rPr>
        <w:t>6,458, representing the estimated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the Company assumed </w:t>
      </w:r>
      <w:bookmarkStart w:id="1886" w:name="xdx_908_eus-gaap--ClassOfWarrantOrRightN"/>
      <w:bookmarkEnd w:id="1886"/>
      <w:r>
        <w:rPr>
          <w:rFonts w:ascii="Times New Roman;Times;Serif" w:hAnsi="Times New Roman;Times;Serif"/>
          <w:b w:val="false"/>
          <w:i w:val="false"/>
          <w:caps w:val="false"/>
          <w:smallCaps w:val="false"/>
          <w:sz w:val="20"/>
        </w:rPr>
        <w:t xml:space="preserve">6,000,000 Public Warrants and </w:t>
      </w:r>
      <w:bookmarkStart w:id="1887" w:name="xdx_90B_eus-gaap--ClassOfWarrantOrRightN"/>
      <w:bookmarkEnd w:id="1887"/>
      <w:r>
        <w:rPr>
          <w:rFonts w:ascii="Times New Roman;Times;Serif" w:hAnsi="Times New Roman;Times;Serif"/>
          <w:b w:val="false"/>
          <w:i w:val="false"/>
          <w:caps w:val="false"/>
          <w:smallCaps w:val="false"/>
          <w:sz w:val="20"/>
        </w:rPr>
        <w:t>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w:t>
      </w:r>
      <w:bookmarkStart w:id="1888" w:name="xdx_906_eus-gaap--ClassOfWarrantOrRightE"/>
      <w:bookmarkEnd w:id="1888"/>
      <w:r>
        <w:rPr>
          <w:rFonts w:ascii="Times New Roman;Times;Serif" w:hAnsi="Times New Roman;Times;Serif"/>
          <w:b w:val="false"/>
          <w:i w:val="false"/>
          <w:caps w:val="false"/>
          <w:smallCaps w:val="false"/>
          <w:sz w:val="20"/>
        </w:rPr>
        <w:t>0.01 per warrant if the last reported sale of the Company’s Class A Common Stock equals or exceeds $</w:t>
      </w:r>
      <w:bookmarkStart w:id="1889" w:name="xdx_908_eus-gaap--ClassOfWarrantOrRightE"/>
      <w:bookmarkEnd w:id="1889"/>
      <w:r>
        <w:rPr>
          <w:rFonts w:ascii="Times New Roman;Times;Serif" w:hAnsi="Times New Roman;Times;Serif"/>
          <w:b w:val="false"/>
          <w:i w:val="false"/>
          <w:caps w:val="false"/>
          <w:smallCaps w:val="false"/>
          <w:sz w:val="20"/>
        </w:rPr>
        <w:t>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w:t>
      </w:r>
      <w:bookmarkStart w:id="1890" w:name="xdx_905_eus-gaap--FairValueAdjustmentOfW"/>
      <w:bookmarkEnd w:id="1890"/>
      <w:r>
        <w:rPr>
          <w:rFonts w:ascii="Times New Roman;Times;Serif" w:hAnsi="Times New Roman;Times;Serif"/>
          <w:b w:val="false"/>
          <w:i w:val="false"/>
          <w:caps w:val="false"/>
          <w:smallCaps w:val="false"/>
          <w:sz w:val="20"/>
        </w:rPr>
        <w:t>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w:t>
      </w:r>
      <w:bookmarkStart w:id="1891" w:name="xdx_901_eus-gaap--ClassOfWarrantOrRightE"/>
      <w:bookmarkEnd w:id="1891"/>
      <w:r>
        <w:rPr>
          <w:rFonts w:ascii="Times New Roman;Times;Serif" w:hAnsi="Times New Roman;Times;Serif"/>
          <w:b w:val="false"/>
          <w:i w:val="false"/>
          <w:caps w:val="false"/>
          <w:smallCaps w:val="false"/>
          <w:sz w:val="20"/>
        </w:rPr>
        <w:t>115.00 to $</w:t>
      </w:r>
      <w:bookmarkStart w:id="1892" w:name="xdx_903_eus-gaap--ClassOfWarrantOrRightE"/>
      <w:bookmarkEnd w:id="1892"/>
      <w:r>
        <w:rPr>
          <w:rFonts w:ascii="Times New Roman;Times;Serif" w:hAnsi="Times New Roman;Times;Serif"/>
          <w:b w:val="false"/>
          <w:i w:val="false"/>
          <w:caps w:val="false"/>
          <w:smallCaps w:val="false"/>
          <w:sz w:val="20"/>
        </w:rPr>
        <w:t>57.90 per share and adjusted the redemption trigger price from $</w:t>
      </w:r>
      <w:bookmarkStart w:id="1893" w:name="xdx_90E_ecustom--ClassOfWarrantOrRightRe"/>
      <w:bookmarkEnd w:id="1893"/>
      <w:r>
        <w:rPr>
          <w:rFonts w:ascii="Times New Roman;Times;Serif" w:hAnsi="Times New Roman;Times;Serif"/>
          <w:b w:val="false"/>
          <w:i w:val="false"/>
          <w:caps w:val="false"/>
          <w:smallCaps w:val="false"/>
          <w:sz w:val="20"/>
        </w:rPr>
        <w:t>180.00 to $</w:t>
      </w:r>
      <w:bookmarkStart w:id="1894" w:name="xdx_909_ecustom--ClassOfWarrantOrRightRe"/>
      <w:bookmarkEnd w:id="1894"/>
      <w:r>
        <w:rPr>
          <w:rFonts w:ascii="Times New Roman;Times;Serif" w:hAnsi="Times New Roman;Times;Serif"/>
          <w:b w:val="false"/>
          <w:i w:val="false"/>
          <w:caps w:val="false"/>
          <w:smallCaps w:val="false"/>
          <w:sz w:val="20"/>
        </w:rPr>
        <w:t>90.60 per share. During the year ended September 30, 2024, the Company recognized a noncash deemed dividend of $</w:t>
      </w:r>
      <w:bookmarkStart w:id="1895" w:name="xdx_90F_eus-gaap--DividendsPaidinkind_pn"/>
      <w:bookmarkEnd w:id="1895"/>
      <w:r>
        <w:rPr>
          <w:rFonts w:ascii="Times New Roman;Times;Serif" w:hAnsi="Times New Roman;Times;Serif"/>
          <w:b w:val="false"/>
          <w:i w:val="false"/>
          <w:caps w:val="false"/>
          <w:smallCaps w:val="false"/>
          <w:sz w:val="20"/>
        </w:rPr>
        <w:t>661 as a result of the warrant price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Subscription Agreements, the Company issued the investors warrants to purchase shares of Class A Common Stock at an exercise price of $</w:t>
      </w:r>
      <w:bookmarkStart w:id="1896" w:name="xdx_906_eus-gaap--ClassOfWarrantOrRightE"/>
      <w:bookmarkEnd w:id="1896"/>
      <w:r>
        <w:rPr>
          <w:rFonts w:ascii="Times New Roman;Times;Serif" w:hAnsi="Times New Roman;Times;Serif"/>
          <w:b w:val="false"/>
          <w:i w:val="false"/>
          <w:caps w:val="false"/>
          <w:smallCaps w:val="false"/>
          <w:sz w:val="20"/>
        </w:rPr>
        <w:t xml:space="preserve">0.10 per share. The Company evaluated these warrants and concluded that they meet the derivative scope exception for contracts in the Company’s own stock. Consequently, the PIPE warrants were recorded in stockholders’ equity. During the year ended September 30, 2025, </w:t>
      </w:r>
      <w:bookmarkStart w:id="1897" w:name="xdx_908_eus-gaap--ClassOfWarrantOrRightN"/>
      <w:bookmarkEnd w:id="1897"/>
      <w:r>
        <w:rPr>
          <w:rFonts w:ascii="Times New Roman;Times;Serif" w:hAnsi="Times New Roman;Times;Serif"/>
          <w:b w:val="false"/>
          <w:i w:val="false"/>
          <w:caps w:val="false"/>
          <w:smallCaps w:val="false"/>
          <w:sz w:val="20"/>
        </w:rPr>
        <w:t>1,500,000 PIPE warrants were exercised, for net proceeds of $</w:t>
      </w:r>
      <w:bookmarkStart w:id="1898" w:name="xdx_907_eus-gaap--ProceedsFromWarrantExe"/>
      <w:bookmarkEnd w:id="1898"/>
      <w:r>
        <w:rPr>
          <w:rFonts w:ascii="Times New Roman;Times;Serif" w:hAnsi="Times New Roman;Times;Serif"/>
          <w:b w:val="false"/>
          <w:i w:val="false"/>
          <w:caps w:val="false"/>
          <w:smallCaps w:val="false"/>
          <w:sz w:val="2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warrants to purchase </w:t>
      </w:r>
      <w:bookmarkStart w:id="1899" w:name="xdx_90D_eus-gaap--ClassOfWarrantOrRightN"/>
      <w:bookmarkEnd w:id="1899"/>
      <w:r>
        <w:rPr>
          <w:rFonts w:ascii="Times New Roman;Times;Serif" w:hAnsi="Times New Roman;Times;Serif"/>
          <w:b w:val="false"/>
          <w:i w:val="false"/>
          <w:caps w:val="false"/>
          <w:smallCaps w:val="false"/>
          <w:sz w:val="20"/>
        </w:rPr>
        <w:t>13,000 shares of its Class A Common Stock at $</w:t>
      </w:r>
      <w:bookmarkStart w:id="1900" w:name="xdx_901_eus-gaap--ClassOfWarrantOrRightE"/>
      <w:bookmarkEnd w:id="1900"/>
      <w:r>
        <w:rPr>
          <w:rFonts w:ascii="Times New Roman;Times;Serif" w:hAnsi="Times New Roman;Times;Serif"/>
          <w:b w:val="false"/>
          <w:i w:val="false"/>
          <w:caps w:val="false"/>
          <w:smallCaps w:val="false"/>
          <w:sz w:val="20"/>
        </w:rPr>
        <w:t xml:space="preserve">0.10 per share to a service provider, in respect of services rendered to Legacy Mobix prior to the Merger. In addition, as described in Note 10,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year ended September 30, 2024 Legacy Mobix failed to repay the principal amount of a note payable by its maturity date and was obligated to issue warrants to purchase </w:t>
      </w:r>
      <w:bookmarkStart w:id="1901" w:name="xdx_903_eus-gaap--DebtConversionConverte"/>
      <w:bookmarkEnd w:id="1901"/>
      <w:r>
        <w:rPr>
          <w:rFonts w:ascii="Times New Roman;Times;Serif" w:hAnsi="Times New Roman;Times;Serif"/>
          <w:b w:val="false"/>
          <w:i w:val="false"/>
          <w:caps w:val="false"/>
          <w:smallCaps w:val="false"/>
          <w:sz w:val="20"/>
        </w:rPr>
        <w:t>10,300 shares of its Class A Common Stock at $</w:t>
      </w:r>
      <w:bookmarkStart w:id="1902" w:name="xdx_90F_eus-gaap--ClassOfWarrantOrRightE"/>
      <w:bookmarkEnd w:id="1902"/>
      <w:r>
        <w:rPr>
          <w:rFonts w:ascii="Times New Roman;Times;Serif" w:hAnsi="Times New Roman;Times;Serif"/>
          <w:b w:val="false"/>
          <w:i w:val="false"/>
          <w:caps w:val="false"/>
          <w:smallCaps w:val="false"/>
          <w:sz w:val="20"/>
        </w:rPr>
        <w:t>0.10 per share to the lender as additional consideration. The Company initially recorded a liability of $</w:t>
      </w:r>
      <w:bookmarkStart w:id="1903" w:name="xdx_90E_eus-gaap--LiabilitiesFairValueAd"/>
      <w:bookmarkEnd w:id="1903"/>
      <w:r>
        <w:rPr>
          <w:rFonts w:ascii="Times New Roman;Times;Serif" w:hAnsi="Times New Roman;Times;Serif"/>
          <w:b w:val="false"/>
          <w:i w:val="false"/>
          <w:caps w:val="false"/>
          <w:smallCaps w:val="false"/>
          <w:sz w:val="20"/>
        </w:rPr>
        <w:t>732 in the consolidated balance sheets for the estimated fair value of the warrants. For the year ended September 30, 2024, the Company recognized a non-cash gain of $</w:t>
      </w:r>
      <w:bookmarkStart w:id="1904" w:name="xdx_90F_eus-gaap--OtherNoncashIncome_pn3"/>
      <w:bookmarkEnd w:id="1904"/>
      <w:r>
        <w:rPr>
          <w:rFonts w:ascii="Times New Roman;Times;Serif" w:hAnsi="Times New Roman;Times;Serif"/>
          <w:b w:val="false"/>
          <w:i w:val="false"/>
          <w:caps w:val="false"/>
          <w:smallCaps w:val="false"/>
          <w:sz w:val="20"/>
        </w:rPr>
        <w:t>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Mobix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w:t>
      </w:r>
      <w:bookmarkStart w:id="1905" w:name="xdx_902_eus-gaap--ClassOfWarrantOrRightN"/>
      <w:bookmarkEnd w:id="1905"/>
      <w:r>
        <w:rPr>
          <w:rFonts w:ascii="Times New Roman;Times;Serif" w:hAnsi="Times New Roman;Times;Serif"/>
          <w:b w:val="false"/>
          <w:i w:val="false"/>
          <w:caps w:val="false"/>
          <w:smallCaps w:val="false"/>
          <w:sz w:val="20"/>
        </w:rPr>
        <w:t xml:space="preserve">37,303 shares were exercised and converted into </w:t>
      </w:r>
      <w:bookmarkStart w:id="1906" w:name="xdx_90E_eus-gaap--ClassOfWarrantOrRightN"/>
      <w:bookmarkEnd w:id="1906"/>
      <w:r>
        <w:rPr>
          <w:rFonts w:ascii="Times New Roman;Times;Serif" w:hAnsi="Times New Roman;Times;Serif"/>
          <w:b w:val="false"/>
          <w:i w:val="false"/>
          <w:caps w:val="false"/>
          <w:smallCaps w:val="false"/>
          <w:sz w:val="20"/>
        </w:rPr>
        <w:t xml:space="preserve">36,967 shares of Class A Common Stock, with no cash proceeds to the Company. During the year ended September 30, 2024, Legacy Mobix granted warrants to purchase an aggregate of </w:t>
      </w:r>
      <w:bookmarkStart w:id="1907" w:name="xdx_90D_eus-gaap--ClassOfWarrantOrRightN"/>
      <w:bookmarkEnd w:id="1907"/>
      <w:r>
        <w:rPr>
          <w:rFonts w:ascii="Times New Roman;Times;Serif" w:hAnsi="Times New Roman;Times;Serif"/>
          <w:b w:val="false"/>
          <w:i w:val="false"/>
          <w:caps w:val="false"/>
          <w:smallCaps w:val="false"/>
          <w:sz w:val="20"/>
        </w:rPr>
        <w:t>2,741 shares of common stock at a price of $</w:t>
      </w:r>
      <w:bookmarkStart w:id="1908" w:name="xdx_903_eus-gaap--SharesIssuedPricePerSh"/>
      <w:bookmarkEnd w:id="1908"/>
      <w:r>
        <w:rPr>
          <w:rFonts w:ascii="Times New Roman;Times;Serif" w:hAnsi="Times New Roman;Times;Serif"/>
          <w:b w:val="false"/>
          <w:i w:val="false"/>
          <w:caps w:val="false"/>
          <w:smallCaps w:val="false"/>
          <w:sz w:val="20"/>
        </w:rPr>
        <w:t xml:space="preserve">0.10 per share to investors in connection with the sale of shares of its common stock. See Note 14,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for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w:t>
      </w:r>
      <w:bookmarkStart w:id="1909" w:name="xdx_903_eus-gaap--FairValueAdjustmentOfW"/>
      <w:bookmarkEnd w:id="1909"/>
      <w:r>
        <w:rPr>
          <w:rFonts w:ascii="Times New Roman;Times;Serif" w:hAnsi="Times New Roman;Times;Serif"/>
          <w:b w:val="false"/>
          <w:i w:val="false"/>
          <w:caps w:val="false"/>
          <w:smallCaps w:val="false"/>
          <w:sz w:val="20"/>
        </w:rPr>
        <w:t>804 and $</w:t>
      </w:r>
      <w:bookmarkStart w:id="1910" w:name="xdx_900_eus-gaap--FairValueAdjustmentOfW"/>
      <w:bookmarkEnd w:id="1910"/>
      <w:r>
        <w:rPr>
          <w:rFonts w:ascii="Times New Roman;Times;Serif" w:hAnsi="Times New Roman;Times;Serif"/>
          <w:b w:val="false"/>
          <w:i w:val="false"/>
          <w:caps w:val="false"/>
          <w:smallCaps w:val="false"/>
          <w:sz w:val="20"/>
        </w:rPr>
        <w:t>1,415, respectively, which are included in “Change in fair value of warrants” in the consolidated statements of operations and comprehensive loss. As of September 30, 2025 and 2024, the related liabilities of $</w:t>
      </w:r>
      <w:bookmarkStart w:id="1911" w:name="xdx_906_ecustom--WarrantLiabilityNoncurr"/>
      <w:bookmarkEnd w:id="1911"/>
      <w:r>
        <w:rPr>
          <w:rFonts w:ascii="Times New Roman;Times;Serif" w:hAnsi="Times New Roman;Times;Serif"/>
          <w:b w:val="false"/>
          <w:i w:val="false"/>
          <w:caps w:val="false"/>
          <w:smallCaps w:val="false"/>
          <w:sz w:val="20"/>
        </w:rPr>
        <w:t>6,859 and $</w:t>
      </w:r>
      <w:bookmarkStart w:id="1912" w:name="xdx_907_ecustom--WarrantLiabilityNoncurr"/>
      <w:bookmarkEnd w:id="1912"/>
      <w:r>
        <w:rPr>
          <w:rFonts w:ascii="Times New Roman;Times;Serif" w:hAnsi="Times New Roman;Times;Serif"/>
          <w:b w:val="false"/>
          <w:i w:val="false"/>
          <w:caps w:val="false"/>
          <w:smallCaps w:val="false"/>
          <w:sz w:val="20"/>
        </w:rPr>
        <w:t>2,139, respectively, are included in “Other noncurrent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13" w:name="xdx_801_eus-gaap--DisclosureOfCompensati"/>
      <w:bookmarkEnd w:id="1913"/>
      <w:r>
        <w:rPr>
          <w:rFonts w:ascii="Times New Roman;Times;Serif" w:hAnsi="Times New Roman;Times;Serif"/>
          <w:b/>
          <w:i w:val="false"/>
          <w:caps w:val="false"/>
          <w:smallCaps w:val="false"/>
          <w:sz w:val="20"/>
        </w:rPr>
        <w:t xml:space="preserve">Note 16 — </w:t>
      </w:r>
      <w:bookmarkStart w:id="1914" w:name="xdx_824_zV4KGQ8tGC9i"/>
      <w:bookmarkEnd w:id="1914"/>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w:t>
      </w:r>
      <w:bookmarkStart w:id="1915" w:name="xdx_903_eus-gaap--CommonStockCapitalShar"/>
      <w:bookmarkEnd w:id="1915"/>
      <w:r>
        <w:rPr>
          <w:rFonts w:ascii="Times New Roman;Times;Serif" w:hAnsi="Times New Roman;Times;Serif"/>
          <w:b w:val="false"/>
          <w:i w:val="false"/>
          <w:caps w:val="false"/>
          <w:smallCaps w:val="false"/>
          <w:sz w:val="20"/>
        </w:rPr>
        <w:t>256,089 shares of the Company’s Class A Common Stock are available for the grant of awards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in connection with the Merger, the Company adopted the 2023 Employee Stock Purchase Plan to assist eligible employees in acquiring stock ownership in the Company and the Company reserved </w:t>
      </w:r>
      <w:bookmarkStart w:id="1916" w:name="xdx_906_eus-gaap--CommonStockCapitalShar"/>
      <w:bookmarkEnd w:id="1916"/>
      <w:r>
        <w:rPr>
          <w:rFonts w:ascii="Times New Roman;Times;Serif" w:hAnsi="Times New Roman;Times;Serif"/>
          <w:b w:val="false"/>
          <w:i w:val="false"/>
          <w:caps w:val="false"/>
          <w:smallCaps w:val="false"/>
          <w:sz w:val="20"/>
        </w:rPr>
        <w:t>68,705 shares of its Class A Common Stock for issuance under the plan. As of September 30, 2025, the Company had not commenced any offering period nor sold any shares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of Legacy Mobix’s RSUs were assumed by the Company and converted into an RSU covering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2023, the Company had committed to issue to certain officers and key employees, contingent upon closing of the Merger, an aggregate of </w:t>
      </w:r>
      <w:bookmarkStart w:id="1917" w:name="xdx_901_eus-gaap--StockIssuedDuringPerio"/>
      <w:bookmarkEnd w:id="1917"/>
      <w:r>
        <w:rPr>
          <w:rFonts w:ascii="Times New Roman;Times;Serif" w:hAnsi="Times New Roman;Times;Serif"/>
          <w:b w:val="false"/>
          <w:i w:val="false"/>
          <w:caps w:val="false"/>
          <w:smallCaps w:val="false"/>
          <w:sz w:val="20"/>
        </w:rPr>
        <w:t xml:space="preserve">500,000 RSUs (of which </w:t>
      </w:r>
      <w:bookmarkStart w:id="1918" w:name="xdx_907_eus-gaap--ClassOfWarrantOrRightN"/>
      <w:bookmarkEnd w:id="1918"/>
      <w:r>
        <w:rPr>
          <w:rFonts w:ascii="Times New Roman;Times;Serif" w:hAnsi="Times New Roman;Times;Serif"/>
          <w:b w:val="false"/>
          <w:i w:val="false"/>
          <w:caps w:val="false"/>
          <w:smallCaps w:val="false"/>
          <w:sz w:val="20"/>
        </w:rPr>
        <w:t>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during the year ended September 30, 2024, in connection with a separation of employment, the Company modified </w:t>
      </w:r>
      <w:bookmarkStart w:id="1919" w:name="xdx_906_eus-gaap--ShareBasedCompensation"/>
      <w:bookmarkEnd w:id="1919"/>
      <w:r>
        <w:rPr>
          <w:rFonts w:ascii="Times New Roman;Times;Serif" w:hAnsi="Times New Roman;Times;Serif"/>
          <w:b w:val="false"/>
          <w:i w:val="false"/>
          <w:caps w:val="false"/>
          <w:smallCaps w:val="false"/>
          <w:sz w:val="20"/>
        </w:rPr>
        <w:t>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w:t>
      </w:r>
      <w:bookmarkStart w:id="1920" w:name="xdx_90A_eus-gaap--AllocatedShareBasedCom"/>
      <w:bookmarkEnd w:id="1920"/>
      <w:r>
        <w:rPr>
          <w:rFonts w:ascii="Times New Roman;Times;Serif" w:hAnsi="Times New Roman;Times;Serif"/>
          <w:b w:val="false"/>
          <w:i w:val="false"/>
          <w:caps w:val="false"/>
          <w:smallCaps w:val="false"/>
          <w:sz w:val="20"/>
        </w:rPr>
        <w:t>2,242 reduction of stock-based compensation expense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and a former employee entered into certain agreements wherein the Company agreed to accelerate the vesting of </w:t>
      </w:r>
      <w:bookmarkStart w:id="1921" w:name="xdx_90B_eus-gaap--SharebasedCompensation"/>
      <w:bookmarkEnd w:id="1921"/>
      <w:r>
        <w:rPr>
          <w:rFonts w:ascii="Times New Roman;Times;Serif" w:hAnsi="Times New Roman;Times;Serif"/>
          <w:b w:val="false"/>
          <w:i w:val="false"/>
          <w:caps w:val="false"/>
          <w:smallCaps w:val="false"/>
          <w:sz w:val="20"/>
        </w:rPr>
        <w:t xml:space="preserve">99,999 common stock warrants and grant the holder an additional </w:t>
      </w:r>
      <w:bookmarkStart w:id="1922" w:name="xdx_90A_eus-gaap--ShareBasedCompensation"/>
      <w:bookmarkEnd w:id="1922"/>
      <w:r>
        <w:rPr>
          <w:rFonts w:ascii="Times New Roman;Times;Serif" w:hAnsi="Times New Roman;Times;Serif"/>
          <w:b w:val="false"/>
          <w:i w:val="false"/>
          <w:caps w:val="false"/>
          <w:smallCaps w:val="false"/>
          <w:sz w:val="20"/>
        </w:rPr>
        <w:t>25,000 common stock warrants. The warrants are immediately exercisable and have an exercise price of $</w:t>
      </w:r>
      <w:bookmarkStart w:id="1923" w:name="xdx_90C_eus-gaap--ClassOfWarrantOrRightE"/>
      <w:bookmarkEnd w:id="1923"/>
      <w:r>
        <w:rPr>
          <w:rFonts w:ascii="Times New Roman;Times;Serif" w:hAnsi="Times New Roman;Times;Serif"/>
          <w:b w:val="false"/>
          <w:i w:val="false"/>
          <w:caps w:val="false"/>
          <w:smallCaps w:val="false"/>
          <w:sz w:val="20"/>
        </w:rPr>
        <w:t xml:space="preserve">0.10 per share. Subsequently, the Company agreed to cancel </w:t>
      </w:r>
      <w:bookmarkStart w:id="1924" w:name="xdx_90C_eus-gaap--StockIssuedDuringPerio"/>
      <w:bookmarkEnd w:id="1924"/>
      <w:r>
        <w:rPr>
          <w:rFonts w:ascii="Times New Roman;Times;Serif" w:hAnsi="Times New Roman;Times;Serif"/>
          <w:b w:val="false"/>
          <w:i w:val="false"/>
          <w:caps w:val="false"/>
          <w:smallCaps w:val="false"/>
          <w:sz w:val="20"/>
        </w:rPr>
        <w:t>45,000 of these common stock warrants and replace them with the same number of fully vested RSUs. As a result of the acceleration of vesting and the grant of the warrants, during the year ended September 30, 2025 the Company recognized additional stock-based compensation expense of $</w:t>
      </w:r>
      <w:bookmarkStart w:id="1925" w:name="xdx_90D_eus-gaap--EmployeeBenefitsAndSha"/>
      <w:bookmarkEnd w:id="1925"/>
      <w:r>
        <w:rPr>
          <w:rFonts w:ascii="Times New Roman;Times;Serif" w:hAnsi="Times New Roman;Times;Serif"/>
          <w:b w:val="false"/>
          <w:i w:val="false"/>
          <w:caps w:val="false"/>
          <w:smallCaps w:val="false"/>
          <w:sz w:val="20"/>
        </w:rPr>
        <w:t>6,917.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26" w:name="xdx_891_eus-gaap--ScheduleOfShareBasedCo"/>
      <w:bookmarkEnd w:id="1926"/>
      <w:r>
        <w:rPr>
          <w:rFonts w:ascii="Times New Roman;Times;Serif" w:hAnsi="Times New Roman;Times;Serif"/>
          <w:b w:val="false"/>
          <w:i w:val="false"/>
          <w:caps w:val="false"/>
          <w:smallCaps w:val="false"/>
          <w:sz w:val="20"/>
        </w:rPr>
        <w:t>A summary of activity in the Company’s RSUs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27" w:name="xdx_8BF_zFPge4u0ru02"/>
      <w:bookmarkEnd w:id="1927"/>
      <w:r>
        <w:rPr>
          <w:rFonts w:ascii="Times New Roman;Times;Serif" w:hAnsi="Times New Roman;Times;Serif"/>
          <w:b w:val="false"/>
          <w:i w:val="false"/>
          <w:caps w:val="false"/>
          <w:smallCaps w:val="false"/>
          <w:sz w:val="20"/>
        </w:rPr>
        <w:t>Schedule of Activity in the Company’s RSUs </w:t>
      </w:r>
    </w:p>
    <w:tbl>
      <w:tblPr>
        <w:tblW w:w="5974" w:type="dxa"/>
        <w:jc w:val="left"/>
        <w:tblInd w:w="0" w:type="dxa"/>
        <w:tblLayout w:type="fixed"/>
        <w:tblCellMar>
          <w:top w:w="0" w:type="dxa"/>
          <w:left w:w="0" w:type="dxa"/>
          <w:bottom w:w="0" w:type="dxa"/>
          <w:right w:w="0" w:type="dxa"/>
        </w:tblCellMar>
      </w:tblPr>
      <w:tblGrid>
        <w:gridCol w:w="3380"/>
        <w:gridCol w:w="60"/>
        <w:gridCol w:w="65"/>
        <w:gridCol w:w="1064"/>
        <w:gridCol w:w="95"/>
        <w:gridCol w:w="60"/>
        <w:gridCol w:w="235"/>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Unit</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928" w:name="xdx_989_eus-gaap--ShareBasedCompensation"/>
            <w:bookmarkEnd w:id="1928"/>
          </w:p>
        </w:tc>
        <w:tc>
          <w:tcPr>
            <w:tcW w:w="1064" w:type="dxa"/>
            <w:tcBorders/>
            <w:shd w:fill="FFFFFF" w:val="clear"/>
            <w:vAlign w:val="center"/>
          </w:tcPr>
          <w:p>
            <w:pPr>
              <w:pStyle w:val="TableContents"/>
              <w:bidi w:val="0"/>
              <w:spacing w:before="0" w:after="283"/>
              <w:jc w:val="right"/>
              <w:rPr/>
            </w:pPr>
            <w:r>
              <w:rPr/>
              <w:t>446,318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bookmarkStart w:id="1929" w:name="xdx_98A_eus-gaap--ShareBasedCompensation"/>
            <w:bookmarkEnd w:id="1929"/>
          </w:p>
        </w:tc>
        <w:tc>
          <w:tcPr>
            <w:tcW w:w="940" w:type="dxa"/>
            <w:tcBorders/>
            <w:shd w:fill="FFFFFF" w:val="clear"/>
            <w:vAlign w:val="center"/>
          </w:tcPr>
          <w:p>
            <w:pPr>
              <w:pStyle w:val="TableContents"/>
              <w:bidi w:val="0"/>
              <w:spacing w:before="0" w:after="283"/>
              <w:jc w:val="right"/>
              <w:rPr/>
            </w:pPr>
            <w:r>
              <w:rPr/>
              <w:t>79.30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bookmarkStart w:id="1930" w:name="xdx_987_eus-gaap--ShareBasedCompensation"/>
            <w:bookmarkEnd w:id="1930"/>
          </w:p>
        </w:tc>
        <w:tc>
          <w:tcPr>
            <w:tcW w:w="1064" w:type="dxa"/>
            <w:tcBorders/>
            <w:shd w:fill="CCEEFF" w:val="clear"/>
            <w:vAlign w:val="center"/>
          </w:tcPr>
          <w:p>
            <w:pPr>
              <w:pStyle w:val="TableContents"/>
              <w:bidi w:val="0"/>
              <w:spacing w:before="0" w:after="283"/>
              <w:jc w:val="right"/>
              <w:rPr/>
            </w:pPr>
            <w:r>
              <w:rPr/>
              <w:t>1,103,679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bookmarkStart w:id="1931" w:name="xdx_98C_eus-gaap--ShareBasedCompensation"/>
            <w:bookmarkEnd w:id="1931"/>
          </w:p>
        </w:tc>
        <w:tc>
          <w:tcPr>
            <w:tcW w:w="940" w:type="dxa"/>
            <w:tcBorders/>
            <w:shd w:fill="CCEEFF" w:val="clear"/>
            <w:vAlign w:val="center"/>
          </w:tcPr>
          <w:p>
            <w:pPr>
              <w:pStyle w:val="TableContents"/>
              <w:bidi w:val="0"/>
              <w:spacing w:before="0" w:after="283"/>
              <w:jc w:val="right"/>
              <w:rPr/>
            </w:pPr>
            <w:r>
              <w:rPr/>
              <w:t>9.64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bookmarkStart w:id="1932" w:name="xdx_986_eus-gaap--ShareBasedCompensation"/>
            <w:bookmarkEnd w:id="1932"/>
          </w:p>
        </w:tc>
        <w:tc>
          <w:tcPr>
            <w:tcW w:w="1064" w:type="dxa"/>
            <w:tcBorders/>
            <w:shd w:fill="FFFFFF" w:val="clear"/>
            <w:vAlign w:val="center"/>
          </w:tcPr>
          <w:p>
            <w:pPr>
              <w:pStyle w:val="TableContents"/>
              <w:bidi w:val="0"/>
              <w:spacing w:before="0" w:after="283"/>
              <w:jc w:val="right"/>
              <w:rPr/>
            </w:pPr>
            <w:r>
              <w:rPr/>
              <w:t>(4,813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bookmarkStart w:id="1933" w:name="xdx_98A_eus-gaap--ShareBasedCompensation"/>
            <w:bookmarkEnd w:id="1933"/>
          </w:p>
        </w:tc>
        <w:tc>
          <w:tcPr>
            <w:tcW w:w="940" w:type="dxa"/>
            <w:tcBorders/>
            <w:shd w:fill="FFFFFF" w:val="clear"/>
            <w:vAlign w:val="center"/>
          </w:tcPr>
          <w:p>
            <w:pPr>
              <w:pStyle w:val="TableContents"/>
              <w:bidi w:val="0"/>
              <w:spacing w:before="0" w:after="283"/>
              <w:jc w:val="right"/>
              <w:rPr/>
            </w:pPr>
            <w:r>
              <w:rPr/>
              <w:t>33.59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4" w:name="xdx_98A_eus-gaap--ShareBasedCompensation"/>
            <w:bookmarkEnd w:id="1934"/>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(590,622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35" w:name="xdx_988_eus-gaap--ShareBasedCompensation"/>
            <w:bookmarkEnd w:id="1935"/>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36" w:name="xdx_98F_eus-gaap--ShareBasedCompensation"/>
            <w:bookmarkEnd w:id="1936"/>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954,562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37" w:name="xdx_989_ecustom--ShareBasedCompensationA"/>
            <w:bookmarkEnd w:id="1937"/>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42.11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38" w:name="xdx_8AA_zsWljzbL3LEk"/>
      <w:bookmarkEnd w:id="19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w:t>
      </w:r>
      <w:bookmarkStart w:id="1939" w:name="xdx_907_eus-gaap--EmployeeServiceShareBa"/>
      <w:bookmarkEnd w:id="1939"/>
      <w:r>
        <w:rPr>
          <w:rFonts w:ascii="Times New Roman;Times;Serif" w:hAnsi="Times New Roman;Times;Serif"/>
          <w:b w:val="false"/>
          <w:i w:val="false"/>
          <w:caps w:val="false"/>
          <w:smallCaps w:val="false"/>
          <w:sz w:val="20"/>
        </w:rPr>
        <w:t xml:space="preserve">14,066 as of September 30, 2025 and is expected to be recognized over a weighted-average period of </w:t>
      </w:r>
      <w:bookmarkStart w:id="1940" w:name="xdx_90F_eus-gaap--EmployeeServiceShareBa"/>
      <w:bookmarkEnd w:id="1940"/>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granted restricted stock awards (“RSAs”) for a total of </w:t>
      </w:r>
      <w:bookmarkStart w:id="1941" w:name="xdx_90C_eus-gaap--StockIssuedDuringPerio"/>
      <w:bookmarkEnd w:id="1941"/>
      <w:r>
        <w:rPr>
          <w:rFonts w:ascii="Times New Roman;Times;Serif" w:hAnsi="Times New Roman;Times;Serif"/>
          <w:b w:val="false"/>
          <w:i w:val="false"/>
          <w:caps w:val="false"/>
          <w:smallCaps w:val="false"/>
          <w:sz w:val="20"/>
        </w:rPr>
        <w:t>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42" w:name="xdx_89C_eus-gaap--NonvestedRestrictedSto"/>
      <w:bookmarkEnd w:id="1942"/>
      <w:r>
        <w:rPr>
          <w:rFonts w:ascii="Times New Roman;Times;Serif" w:hAnsi="Times New Roman;Times;Serif"/>
          <w:b w:val="false"/>
          <w:i w:val="false"/>
          <w:caps w:val="false"/>
          <w:smallCaps w:val="false"/>
          <w:sz w:val="20"/>
        </w:rPr>
        <w:t>A summary of activity in the Company’s RSAs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943" w:name="xdx_8B7_zf6lxJtHJV2"/>
      <w:bookmarkEnd w:id="1943"/>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944" w:name="xdx_98F_eus-gaap--ShareBasedCompensation"/>
            <w:bookmarkEnd w:id="1944"/>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1945" w:name="xdx_98D_eus-gaap--ShareBasedCompensation"/>
            <w:bookmarkEnd w:id="1945"/>
          </w:p>
        </w:tc>
        <w:tc>
          <w:tcPr>
            <w:tcW w:w="8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946" w:name="xdx_986_eus-gaap--ShareBasedCompensation"/>
            <w:bookmarkEnd w:id="1946"/>
          </w:p>
        </w:tc>
        <w:tc>
          <w:tcPr>
            <w:tcW w:w="1051" w:type="dxa"/>
            <w:tcBorders/>
            <w:shd w:fill="FFFFFF" w:val="cle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947" w:name="xdx_988_eus-gaap--ShareBasedCompensation"/>
            <w:bookmarkEnd w:id="1947"/>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48" w:name="xdx_98F_eus-gaap--ShareBasedCompensation"/>
            <w:bookmarkEnd w:id="1948"/>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949" w:name="xdx_98F_eus-gaap--ShareBasedCompensation"/>
            <w:bookmarkEnd w:id="1949"/>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50" w:name="xdx_988_eus-gaap--ShareBasedCompensation"/>
            <w:bookmarkEnd w:id="1950"/>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487,250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951" w:name="xdx_987_eus-gaap--ShareBasedCompensation"/>
            <w:bookmarkEnd w:id="1951"/>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52" w:name="xdx_8A3_zUFe9cLQvvK3"/>
      <w:bookmarkEnd w:id="1952"/>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w:t>
      </w:r>
      <w:bookmarkStart w:id="1953" w:name="xdx_90E_eus-gaap--EmployeeServiceShareBa"/>
      <w:bookmarkEnd w:id="1953"/>
      <w:r>
        <w:rPr>
          <w:rFonts w:ascii="Times New Roman;Times;Serif" w:hAnsi="Times New Roman;Times;Serif"/>
          <w:b w:val="false"/>
          <w:i w:val="false"/>
          <w:caps w:val="false"/>
          <w:smallCaps w:val="false"/>
          <w:sz w:val="20"/>
        </w:rPr>
        <w:t xml:space="preserve">2,855 as of September 30, 2025 and is expected to be recognized over a weighted-average period of </w:t>
      </w:r>
      <w:bookmarkStart w:id="1954" w:name="xdx_905_eus-gaap--EmployeeServiceShareBa"/>
      <w:bookmarkEnd w:id="1954"/>
      <w:r>
        <w:rPr>
          <w:rFonts w:ascii="Times New Roman;Times;Serif" w:hAnsi="Times New Roman;Times;Serif"/>
          <w:b w:val="false"/>
          <w:i w:val="false"/>
          <w:caps w:val="false"/>
          <w:smallCaps w:val="false"/>
          <w:sz w:val="20"/>
        </w:rPr>
        <w:t>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Legacy Mobix stock options were assumed by the Company and converted into the same number of stock options of the Company, with no change to their exercise prices, vesting conditions or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55" w:name="xdx_89F_eus-gaap--ScheduleOfShareBasedCo"/>
      <w:bookmarkEnd w:id="1955"/>
      <w:r>
        <w:rPr>
          <w:rFonts w:ascii="Times New Roman;Times;Serif" w:hAnsi="Times New Roman;Times;Serif"/>
          <w:b w:val="false"/>
          <w:i w:val="false"/>
          <w:caps w:val="false"/>
          <w:smallCaps w:val="false"/>
          <w:sz w:val="20"/>
        </w:rPr>
        <w:t>Stock option activity for the year ended September 30, 2025 is as follows:</w:t>
      </w:r>
    </w:p>
    <w:p>
      <w:pPr>
        <w:pStyle w:val="TextBody"/>
        <w:bidi w:val="0"/>
        <w:spacing w:before="0" w:after="0"/>
        <w:ind w:left="0" w:right="0" w:hanging="0"/>
        <w:jc w:val="left"/>
        <w:rPr>
          <w:caps w:val="false"/>
          <w:smallCaps w:val="false"/>
        </w:rPr>
      </w:pPr>
      <w:r>
        <w:rPr>
          <w:caps w:val="false"/>
          <w:smallCaps w:val="false"/>
        </w:rPr>
        <w:t> </w:t>
      </w:r>
      <w:bookmarkStart w:id="1956" w:name="xdx_8BB_zMboNG9PLRBl"/>
      <w:bookmarkEnd w:id="1956"/>
      <w:r>
        <w:rPr>
          <w:rFonts w:ascii="Times New Roman;Times;Serif" w:hAnsi="Times New Roman;Times;Serif"/>
          <w:b w:val="false"/>
          <w:i w:val="false"/>
          <w:caps w:val="false"/>
          <w:smallCaps w:val="false"/>
          <w:sz w:val="20"/>
        </w:rPr>
        <w:t>Schedule of Stock Option Activity </w:t>
      </w:r>
    </w:p>
    <w:tbl>
      <w:tblPr>
        <w:tblW w:w="7689"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304"/>
        <w:gridCol w:w="1216"/>
        <w:gridCol w:w="60"/>
        <w:gridCol w:w="60"/>
        <w:gridCol w:w="197"/>
        <w:gridCol w:w="1053"/>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Contractual</w:t>
              <w:br/>
              <w:t xml:space="preserve">Term </w:t>
              <w:b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1957" w:name="xdx_98B_eus-gaap--ShareBasedCompensation"/>
            <w:bookmarkEnd w:id="1957"/>
          </w:p>
        </w:tc>
        <w:tc>
          <w:tcPr>
            <w:tcW w:w="1051" w:type="dxa"/>
            <w:tcBorders/>
            <w:shd w:fill="CCEEFF" w:val="clear"/>
            <w:vAlign w:val="center"/>
          </w:tcPr>
          <w:p>
            <w:pPr>
              <w:pStyle w:val="TableContents"/>
              <w:bidi w:val="0"/>
              <w:spacing w:before="0" w:after="283"/>
              <w:jc w:val="right"/>
              <w:rPr/>
            </w:pPr>
            <w:r>
              <w:rPr/>
              <w:t>274,063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bookmarkStart w:id="1958" w:name="xdx_988_eus-gaap--ShareBasedCompensation"/>
            <w:bookmarkEnd w:id="1958"/>
          </w:p>
        </w:tc>
        <w:tc>
          <w:tcPr>
            <w:tcW w:w="1216" w:type="dxa"/>
            <w:tcBorders/>
            <w:shd w:fill="CCEEFF" w:val="cle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1959" w:name="xdx_987_eus-gaap--ShareBasedCompensation"/>
            <w:bookmarkEnd w:id="1959"/>
          </w:p>
        </w:tc>
        <w:tc>
          <w:tcPr>
            <w:tcW w:w="1051"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1960" w:name="xdx_98A_eus-gaap--ShareBasedCompensation"/>
            <w:bookmarkEnd w:id="1960"/>
          </w:p>
        </w:tc>
        <w:tc>
          <w:tcPr>
            <w:tcW w:w="1216" w:type="dxa"/>
            <w:tcBorders/>
            <w:shd w:fill="FFFFFF" w:val="clear"/>
            <w:vAlign w:val="center"/>
          </w:tcPr>
          <w:p>
            <w:pPr>
              <w:pStyle w:val="TableContents"/>
              <w:bidi w:val="0"/>
              <w:spacing w:before="0" w:after="283"/>
              <w:jc w:val="right"/>
              <w:rPr/>
            </w:pPr>
            <w:r>
              <w:rPr/>
              <w:t>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961" w:name="xdx_98D_ecustom--ShareBasedCompensationA"/>
            <w:bookmarkEnd w:id="1961"/>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bookmarkStart w:id="1962" w:name="xdx_98A_eus-gaap--ShareBasedCompensation"/>
            <w:bookmarkEnd w:id="1962"/>
          </w:p>
        </w:tc>
        <w:tc>
          <w:tcPr>
            <w:tcW w:w="1216" w:type="dxa"/>
            <w:tcBorders/>
            <w:shd w:fill="CCEEFF" w:val="clear"/>
            <w:vAlign w:val="center"/>
          </w:tcPr>
          <w:p>
            <w:pPr>
              <w:pStyle w:val="TableContents"/>
              <w:bidi w:val="0"/>
              <w:spacing w:before="0" w:after="283"/>
              <w:jc w:val="right"/>
              <w:rPr/>
            </w:pPr>
            <w:r>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63" w:name="xdx_988_eus-gaap--ShareBasedCompensation"/>
            <w:bookmarkEnd w:id="1963"/>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245,218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1964" w:name="xdx_985_eus-gaap--ShareBasedCompensation"/>
            <w:bookmarkEnd w:id="1964"/>
          </w:p>
        </w:tc>
        <w:tc>
          <w:tcPr>
            <w:tcW w:w="1216" w:type="dxa"/>
            <w:tcBorders/>
            <w:shd w:fill="FFFFFF" w:val="clear"/>
            <w:vAlign w:val="center"/>
          </w:tcPr>
          <w:p>
            <w:pPr>
              <w:pStyle w:val="TableContents"/>
              <w:bidi w:val="0"/>
              <w:spacing w:before="0" w:after="283"/>
              <w:jc w:val="right"/>
              <w:rPr/>
            </w:pPr>
            <w:r>
              <w:rPr/>
              <w:t>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bookmarkStart w:id="1965" w:name="xdx_900_eus-gaap--SharebasedCompensation"/>
            <w:bookmarkEnd w:id="1965"/>
            <w:r>
              <w:rPr/>
              <w:t>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6" w:name="xdx_987_eus-gaap--ShareBasedCompensation"/>
            <w:bookmarkEnd w:id="1966"/>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233,102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bookmarkStart w:id="1967" w:name="xdx_983_eus-gaap--ShareBasedCompensation"/>
            <w:bookmarkEnd w:id="1967"/>
          </w:p>
        </w:tc>
        <w:tc>
          <w:tcPr>
            <w:tcW w:w="1216"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bookmarkStart w:id="1968" w:name="xdx_90B_eus-gaap--SharebasedCompensation"/>
            <w:bookmarkEnd w:id="1968"/>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69" w:name="xdx_8A0_zjLDOMujhomb"/>
      <w:bookmarkEnd w:id="19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w:t>
      </w:r>
      <w:bookmarkStart w:id="1970" w:name="xdx_902_eus-gaap--EmployeeServiceShareBa"/>
      <w:bookmarkEnd w:id="1970"/>
      <w:r>
        <w:rPr>
          <w:rFonts w:ascii="Times New Roman;Times;Serif" w:hAnsi="Times New Roman;Times;Serif"/>
          <w:b w:val="false"/>
          <w:i w:val="false"/>
          <w:caps w:val="false"/>
          <w:smallCaps w:val="false"/>
          <w:sz w:val="20"/>
        </w:rPr>
        <w:t xml:space="preserve">399 as of September 30, 2025, is expected to be recognized over a weighted-average period of </w:t>
      </w:r>
      <w:bookmarkStart w:id="1971" w:name="xdx_90A_eus-gaap--EmployeeServiceShareBa"/>
      <w:bookmarkEnd w:id="1971"/>
      <w:r>
        <w:rPr>
          <w:rFonts w:ascii="Times New Roman;Times;Serif" w:hAnsi="Times New Roman;Times;Serif"/>
          <w:b w:val="false"/>
          <w:i w:val="false"/>
          <w:caps w:val="false"/>
          <w:smallCaps w:val="false"/>
          <w:sz w:val="20"/>
        </w:rPr>
        <w:t>1.1 years. The aggregate intrinsic value of stock options outstanding and stock options exercisable as of September 30, 2025 was $</w:t>
      </w:r>
      <w:bookmarkStart w:id="1972" w:name="xdx_90E_eus-gaap--ShareBasedCompensation"/>
      <w:bookmarkEnd w:id="1972"/>
      <w:r>
        <w:rPr>
          <w:rFonts w:ascii="Times New Roman;Times;Serif" w:hAnsi="Times New Roman;Times;Serif"/>
          <w:b w:val="false"/>
          <w:i w:val="false"/>
          <w:caps w:val="false"/>
          <w:smallCaps w:val="false"/>
          <w:sz w:val="20"/>
        </w:rPr>
        <w:t>414 and $</w:t>
      </w:r>
      <w:bookmarkStart w:id="1973" w:name="xdx_90E_eus-gaap--SharebasedCompensation"/>
      <w:bookmarkEnd w:id="1973"/>
      <w:r>
        <w:rPr>
          <w:rFonts w:ascii="Times New Roman;Times;Serif" w:hAnsi="Times New Roman;Times;Serif"/>
          <w:b w:val="false"/>
          <w:i w:val="false"/>
          <w:caps w:val="false"/>
          <w:smallCaps w:val="false"/>
          <w:sz w:val="20"/>
        </w:rPr>
        <w:t>414, respectively. The total intrinsic value of options exercised during the year ended September 30, 2024 was $</w:t>
      </w:r>
      <w:bookmarkStart w:id="1974" w:name="xdx_905_eus-gaap--ShareBasedCompensation"/>
      <w:bookmarkEnd w:id="1974"/>
      <w:r>
        <w:rPr>
          <w:rFonts w:ascii="Times New Roman;Times;Serif" w:hAnsi="Times New Roman;Times;Serif"/>
          <w:b w:val="false"/>
          <w:i w:val="false"/>
          <w:caps w:val="false"/>
          <w:smallCaps w:val="false"/>
          <w:sz w:val="20"/>
        </w:rPr>
        <w:t>4,709. The total fair value of options that vested during the years ended September 30, 2025 and 2024 was $</w:t>
      </w:r>
      <w:bookmarkStart w:id="1975" w:name="xdx_901_eus-gaap--SharebasedCompensation"/>
      <w:bookmarkEnd w:id="1975"/>
      <w:r>
        <w:rPr>
          <w:rFonts w:ascii="Times New Roman;Times;Serif" w:hAnsi="Times New Roman;Times;Serif"/>
          <w:b w:val="false"/>
          <w:i w:val="false"/>
          <w:caps w:val="false"/>
          <w:smallCaps w:val="false"/>
          <w:sz w:val="20"/>
        </w:rPr>
        <w:t>593 and $</w:t>
      </w:r>
      <w:bookmarkStart w:id="1976" w:name="xdx_90B_eus-gaap--SharebasedCompensation"/>
      <w:bookmarkEnd w:id="1976"/>
      <w:r>
        <w:rPr>
          <w:rFonts w:ascii="Times New Roman;Times;Serif" w:hAnsi="Times New Roman;Times;Serif"/>
          <w:b w:val="false"/>
          <w:i w:val="false"/>
          <w:caps w:val="false"/>
          <w:smallCaps w:val="false"/>
          <w:sz w:val="20"/>
        </w:rPr>
        <w:t>1,726,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ended September 30, 2024 was $</w:t>
      </w:r>
      <w:bookmarkStart w:id="1977" w:name="xdx_90F_eus-gaap--ShareBasedCompensation"/>
      <w:bookmarkEnd w:id="1977"/>
      <w:r>
        <w:rPr>
          <w:rFonts w:ascii="Times New Roman;Times;Serif" w:hAnsi="Times New Roman;Times;Serif"/>
          <w:b w:val="false"/>
          <w:i w:val="false"/>
          <w:caps w:val="false"/>
          <w:smallCaps w:val="false"/>
          <w:sz w:val="20"/>
        </w:rPr>
        <w:t>35.00. The fair value of stock options granted was estimated with the following assumptions:</w:t>
      </w:r>
    </w:p>
    <w:p>
      <w:pPr>
        <w:pStyle w:val="TextBody"/>
        <w:bidi w:val="0"/>
        <w:spacing w:before="0" w:after="0"/>
        <w:ind w:left="0" w:right="0" w:hanging="0"/>
        <w:jc w:val="both"/>
        <w:rPr>
          <w:caps w:val="false"/>
          <w:smallCaps w:val="false"/>
        </w:rPr>
      </w:pPr>
      <w:bookmarkStart w:id="1978" w:name="xdx_89A_eus-gaap--ScheduleOfShareBasedPa"/>
      <w:bookmarkEnd w:id="1978"/>
      <w:r>
        <w:rPr>
          <w:caps w:val="false"/>
          <w:smallCaps w:val="false"/>
        </w:rPr>
        <w:t> </w:t>
      </w:r>
      <w:bookmarkStart w:id="1979" w:name="xdx_8BC_z3SjkDWiqZzj"/>
      <w:bookmarkEnd w:id="1979"/>
      <w:r>
        <w:rPr>
          <w:rFonts w:ascii="Times New Roman;Times;Serif" w:hAnsi="Times New Roman;Times;Serif"/>
          <w:b w:val="false"/>
          <w:i w:val="false"/>
          <w:caps w:val="false"/>
          <w:smallCaps w:val="false"/>
          <w:sz w:val="20"/>
        </w:rPr>
        <w:t>Schedule of Weighted-Average Grant Date Fair Value of Options Granted </w:t>
      </w:r>
    </w:p>
    <w:tbl>
      <w:tblPr>
        <w:tblW w:w="4303" w:type="dxa"/>
        <w:jc w:val="left"/>
        <w:tblInd w:w="0" w:type="dxa"/>
        <w:tblLayout w:type="fixed"/>
        <w:tblCellMar>
          <w:top w:w="0" w:type="dxa"/>
          <w:left w:w="0" w:type="dxa"/>
          <w:bottom w:w="0" w:type="dxa"/>
          <w:right w:w="0" w:type="dxa"/>
        </w:tblCellMar>
      </w:tblPr>
      <w:tblGrid>
        <w:gridCol w:w="2330"/>
        <w:gridCol w:w="60"/>
        <w:gridCol w:w="79"/>
        <w:gridCol w:w="581"/>
        <w:gridCol w:w="284"/>
        <w:gridCol w:w="79"/>
        <w:gridCol w:w="79"/>
        <w:gridCol w:w="58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Range</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980" w:name="xdx_981_eus-gaap--ShareBasedCompensation"/>
            <w:bookmarkEnd w:id="1980"/>
          </w:p>
        </w:tc>
        <w:tc>
          <w:tcPr>
            <w:tcW w:w="581" w:type="dxa"/>
            <w:tcBorders/>
            <w:shd w:fill="CCEEFF" w:val="clear"/>
            <w:vAlign w:val="center"/>
          </w:tcPr>
          <w:p>
            <w:pPr>
              <w:pStyle w:val="TableContents"/>
              <w:bidi w:val="0"/>
              <w:spacing w:before="0" w:after="283"/>
              <w:jc w:val="right"/>
              <w:rPr/>
            </w:pPr>
            <w:r>
              <w:rPr/>
              <w:t>54.8</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981" w:name="xdx_989_eus-gaap--ShareBasedCompensation"/>
            <w:bookmarkEnd w:id="1981"/>
          </w:p>
        </w:tc>
        <w:tc>
          <w:tcPr>
            <w:tcW w:w="581" w:type="dxa"/>
            <w:tcBorders/>
            <w:shd w:fill="CCEEFF" w:val="clear"/>
            <w:vAlign w:val="center"/>
          </w:tcPr>
          <w:p>
            <w:pPr>
              <w:pStyle w:val="TableContents"/>
              <w:bidi w:val="0"/>
              <w:spacing w:before="0" w:after="283"/>
              <w:jc w:val="right"/>
              <w:rPr/>
            </w:pPr>
            <w:r>
              <w:rPr/>
              <w:t>55.6</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982" w:name="xdx_982_eus-gaap--ShareBasedCompensation"/>
            <w:bookmarkEnd w:id="1982"/>
          </w:p>
        </w:tc>
        <w:tc>
          <w:tcPr>
            <w:tcW w:w="581" w:type="dxa"/>
            <w:tcBorders/>
            <w:shd w:fill="FFFFFF" w:val="clear"/>
            <w:vAlign w:val="center"/>
          </w:tcPr>
          <w:p>
            <w:pPr>
              <w:pStyle w:val="TableContents"/>
              <w:bidi w:val="0"/>
              <w:spacing w:before="0" w:after="283"/>
              <w:jc w:val="right"/>
              <w:rPr/>
            </w:pPr>
            <w:r>
              <w:rPr/>
              <w:t>0</w:t>
            </w:r>
          </w:p>
        </w:tc>
        <w:tc>
          <w:tcPr>
            <w:tcW w:w="28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1983" w:name="xdx_980_eus-gaap--ShareBasedCompensation"/>
            <w:bookmarkEnd w:id="1983"/>
          </w:p>
        </w:tc>
        <w:tc>
          <w:tcPr>
            <w:tcW w:w="58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984" w:name="xdx_985_eus-gaap--ShareBasedCompensation"/>
            <w:bookmarkEnd w:id="1984"/>
          </w:p>
        </w:tc>
        <w:tc>
          <w:tcPr>
            <w:tcW w:w="581" w:type="dxa"/>
            <w:tcBorders/>
            <w:shd w:fill="CCEEFF" w:val="clear"/>
            <w:vAlign w:val="center"/>
          </w:tcPr>
          <w:p>
            <w:pPr>
              <w:pStyle w:val="TableContents"/>
              <w:bidi w:val="0"/>
              <w:spacing w:before="0" w:after="283"/>
              <w:jc w:val="right"/>
              <w:rPr/>
            </w:pPr>
            <w:r>
              <w:rPr/>
              <w:t>3.9</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1985" w:name="xdx_98A_eus-gaap--ShareBasedCompensation"/>
            <w:bookmarkEnd w:id="1985"/>
          </w:p>
        </w:tc>
        <w:tc>
          <w:tcPr>
            <w:tcW w:w="58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1986" w:name="xdx_908_eus-gaap--SharebasedCompensation"/>
            <w:bookmarkEnd w:id="1986"/>
            <w:r>
              <w:rPr/>
              <w:t>4.5</w:t>
            </w:r>
          </w:p>
        </w:tc>
        <w:tc>
          <w:tcPr>
            <w:tcW w:w="28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bookmarkStart w:id="1987" w:name="xdx_90E_eus-gaap--SharebasedCompensation"/>
            <w:bookmarkEnd w:id="1987"/>
            <w:r>
              <w:rPr/>
              <w:t>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88" w:name="xdx_8A2_ztop1yRpGRf"/>
      <w:bookmarkEnd w:id="198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989" w:name="xdx_895_eus-gaap--ScheduleOfEmployeeServ"/>
      <w:bookmarkEnd w:id="1989"/>
      <w:r>
        <w:rPr>
          <w:rFonts w:ascii="Times New Roman;Times;Serif" w:hAnsi="Times New Roman;Times;Serif"/>
          <w:b w:val="false"/>
          <w:i w:val="false"/>
          <w:caps w:val="false"/>
          <w:smallCaps w:val="false"/>
          <w:sz w:val="20"/>
        </w:rPr>
        <w:t>The consolidated statements of operations and comprehensive loss include stock-based compensation expense as follows:</w:t>
      </w:r>
    </w:p>
    <w:p>
      <w:pPr>
        <w:pStyle w:val="TextBody"/>
        <w:bidi w:val="0"/>
        <w:spacing w:before="0" w:after="0"/>
        <w:ind w:left="0" w:right="0" w:hanging="0"/>
        <w:jc w:val="both"/>
        <w:rPr>
          <w:caps w:val="false"/>
          <w:smallCaps w:val="false"/>
        </w:rPr>
      </w:pPr>
      <w:r>
        <w:rPr>
          <w:caps w:val="false"/>
          <w:smallCaps w:val="false"/>
        </w:rPr>
        <w:t> </w:t>
      </w:r>
      <w:bookmarkStart w:id="1990" w:name="xdx_8B0_zbxccTCp78ua"/>
      <w:bookmarkEnd w:id="1990"/>
      <w:r>
        <w:rPr>
          <w:rFonts w:ascii="Times New Roman;Times;Serif" w:hAnsi="Times New Roman;Times;Serif"/>
          <w:b w:val="false"/>
          <w:i w:val="false"/>
          <w:caps w:val="false"/>
          <w:smallCaps w:val="false"/>
          <w:sz w:val="20"/>
        </w:rPr>
        <w:t>Schedule of Consolidated Statements of Operations and Comprehensive Loss </w:t>
      </w:r>
    </w:p>
    <w:tbl>
      <w:tblPr>
        <w:tblW w:w="578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1" w:name="xdx_493_20241001__20250930_zBh9O8M03LF1"/>
            <w:bookmarkEnd w:id="1991"/>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2" w:name="xdx_49E_20231001__20240930_zWHnZzhOH7Wk"/>
            <w:bookmarkEnd w:id="1992"/>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1993" w:name="xdx_406_eus-gaap--ShareBasedCompensation"/>
            <w:bookmarkEnd w:id="1993"/>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bookmarkStart w:id="1994" w:name="xdx_409_eus-gaap--ShareBasedCompensation"/>
            <w:bookmarkEnd w:id="1994"/>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995" w:name="xdx_407_eus-gaap--ShareBasedCompensation"/>
            <w:bookmarkEnd w:id="1995"/>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bookmarkStart w:id="1996" w:name="xdx_40A_eus-gaap--ShareBasedCompensation"/>
            <w:bookmarkEnd w:id="1996"/>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20,244</w:t>
            </w:r>
          </w:p>
        </w:tc>
        <w:tc>
          <w:tcPr>
            <w:tcW w:w="75" w:type="dxa"/>
            <w:tcBorders/>
            <w:shd w:fill="FFFFFF" w:val="clear"/>
            <w:vAlign w:val="center"/>
          </w:tcPr>
          <w:p>
            <w:pPr>
              <w:pStyle w:val="TableContents"/>
              <w:bidi w:val="0"/>
              <w:spacing w:before="0" w:after="283"/>
              <w:jc w:val="left"/>
              <w:rPr/>
            </w:pPr>
            <w:r>
              <w:rPr/>
              <w:t> </w:t>
            </w:r>
            <w:bookmarkStart w:id="1997" w:name="xdx_400_eus-gaap--ShareBasedCompensation"/>
            <w:bookmarkEnd w:id="1997"/>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21,383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1998" w:name="xdx_8AC_zHGEAAaoU33b"/>
      <w:bookmarkEnd w:id="199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99" w:name="xdx_801_eus-gaap--FairValueDisclosuresTe"/>
      <w:bookmarkEnd w:id="1999"/>
      <w:r>
        <w:rPr>
          <w:rFonts w:ascii="Times New Roman;Times;Serif" w:hAnsi="Times New Roman;Times;Serif"/>
          <w:b/>
          <w:i w:val="false"/>
          <w:caps w:val="false"/>
          <w:smallCaps w:val="false"/>
          <w:sz w:val="20"/>
        </w:rPr>
        <w:t xml:space="preserve">Note 17 — </w:t>
      </w:r>
      <w:bookmarkStart w:id="2000" w:name="xdx_822_z5vNljrOoJ91"/>
      <w:bookmarkEnd w:id="2000"/>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w:t>
      </w:r>
      <w:bookmarkStart w:id="2001" w:name="xdx_902_eus-gaap--DebtInstrumentInterest"/>
      <w:bookmarkStart w:id="2002" w:name="xdx_90C_eus-gaap--DebtInstrumentInterest"/>
      <w:bookmarkEnd w:id="2001"/>
      <w:bookmarkEnd w:id="2002"/>
      <w:r>
        <w:rPr>
          <w:rFonts w:ascii="Times New Roman;Times;Serif" w:hAnsi="Times New Roman;Times;Serif"/>
          <w:b w:val="false"/>
          <w:i w:val="false"/>
          <w:caps w:val="false"/>
          <w:smallCaps w:val="false"/>
          <w:sz w:val="20"/>
        </w:rPr>
        <w:t>7% promissory notes - related parties and the 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03" w:name="xdx_89C_eus-gaap--ScheduleOfFairValueAss"/>
      <w:bookmarkEnd w:id="2003"/>
      <w:r>
        <w:rPr>
          <w:rFonts w:ascii="Times New Roman;Times;Serif" w:hAnsi="Times New Roman;Times;Serif"/>
          <w:b w:val="false"/>
          <w:i w:val="false"/>
          <w:caps w:val="false"/>
          <w:smallCaps w:val="false"/>
          <w:sz w:val="20"/>
        </w:rPr>
        <w:t>Liabilities measured at fair value on a recurring basis as of September 30, 2025 are as follows:</w:t>
      </w:r>
    </w:p>
    <w:p>
      <w:pPr>
        <w:pStyle w:val="TextBody"/>
        <w:bidi w:val="0"/>
        <w:spacing w:before="0" w:after="0"/>
        <w:ind w:left="0" w:right="0" w:hanging="0"/>
        <w:jc w:val="left"/>
        <w:rPr>
          <w:caps w:val="false"/>
          <w:smallCaps w:val="false"/>
        </w:rPr>
      </w:pPr>
      <w:r>
        <w:rPr>
          <w:caps w:val="false"/>
          <w:smallCaps w:val="false"/>
        </w:rPr>
        <w:t> </w:t>
      </w:r>
      <w:bookmarkStart w:id="2004" w:name="xdx_8B3_zbt39NoLS9gd"/>
      <w:bookmarkEnd w:id="2004"/>
      <w:r>
        <w:rPr>
          <w:rFonts w:ascii="Times New Roman;Times;Serif" w:hAnsi="Times New Roman;Times;Serif"/>
          <w:b w:val="false"/>
          <w:i w:val="false"/>
          <w:caps w:val="false"/>
          <w:smallCaps w:val="false"/>
          <w:sz w:val="20"/>
        </w:rPr>
        <w:t>Schedule of Fair Value Assets And Liabilities Measured On Recurring Basis</w:t>
      </w:r>
    </w:p>
    <w:tbl>
      <w:tblPr>
        <w:tblW w:w="6103"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151"/>
        <w:gridCol w:w="604"/>
        <w:gridCol w:w="60"/>
        <w:gridCol w:w="60"/>
        <w:gridCol w:w="140"/>
        <w:gridCol w:w="56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5" w:name="xdx_495_20241001__20250930__us-gaap--Fai"/>
            <w:bookmarkEnd w:id="2005"/>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6" w:name="xdx_496_20241001__20250930__us-gaap--Fai"/>
            <w:bookmarkEnd w:id="2006"/>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7" w:name="xdx_497_20241001__20250930__us-gaap--Fai"/>
            <w:bookmarkEnd w:id="2007"/>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8" w:name="xdx_490_20241001__20250930_zD9m1XZPWHPj"/>
            <w:bookmarkEnd w:id="200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009" w:name="xdx_408_ecustom--FairValueAssetLiability"/>
            <w:bookmarkEnd w:id="2009"/>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bookmarkStart w:id="2010" w:name="xdx_40F_ecustom--FairValueAssetLiability"/>
            <w:bookmarkEnd w:id="2010"/>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75" w:type="dxa"/>
            <w:tcBorders/>
            <w:shd w:fill="FFFFFF" w:val="clear"/>
            <w:vAlign w:val="center"/>
          </w:tcPr>
          <w:p>
            <w:pPr>
              <w:pStyle w:val="TableContents"/>
              <w:bidi w:val="0"/>
              <w:spacing w:before="0" w:after="283"/>
              <w:jc w:val="left"/>
              <w:rPr/>
            </w:pPr>
            <w:r>
              <w:rPr/>
              <w:t> </w:t>
            </w:r>
            <w:bookmarkStart w:id="2011" w:name="xdx_408_ecustom--FairValueAssetLiability"/>
            <w:bookmarkEnd w:id="2011"/>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12" w:name="xdx_8A1_zWpcMYiHS0jb"/>
      <w:bookmarkEnd w:id="20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013" w:name="xdx_89B_eus-gaap--FairValueLiabilitiesMe"/>
      <w:bookmarkEnd w:id="2013"/>
      <w:r>
        <w:rPr>
          <w:rFonts w:ascii="Times New Roman;Times;Serif" w:hAnsi="Times New Roman;Times;Serif"/>
          <w:b w:val="false"/>
          <w:i w:val="false"/>
          <w:caps w:val="false"/>
          <w:smallCaps w:val="false"/>
          <w:sz w:val="20"/>
        </w:rPr>
        <w:t>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bookmarkStart w:id="2014" w:name="xdx_8B7_zbeeAGwTkWN1"/>
      <w:bookmarkEnd w:id="2014"/>
      <w:r>
        <w:rPr>
          <w:rFonts w:ascii="Times New Roman;Times;Serif" w:hAnsi="Times New Roman;Times;Serif"/>
          <w:b w:val="false"/>
          <w:i w:val="false"/>
          <w:caps w:val="false"/>
          <w:smallCaps w:val="false"/>
          <w:sz w:val="20"/>
        </w:rPr>
        <w:t>Schedule of Fair Value Measured On Recurring Basis Unobservable Input Reconciliation</w:t>
      </w:r>
    </w:p>
    <w:tbl>
      <w:tblPr>
        <w:tblW w:w="10205" w:type="dxa"/>
        <w:jc w:val="left"/>
        <w:tblInd w:w="0" w:type="dxa"/>
        <w:tblLayout w:type="fixed"/>
        <w:tblCellMar>
          <w:top w:w="0" w:type="dxa"/>
          <w:left w:w="0" w:type="dxa"/>
          <w:bottom w:w="0" w:type="dxa"/>
          <w:right w:w="0" w:type="dxa"/>
        </w:tblCellMar>
      </w:tblPr>
      <w:tblGrid>
        <w:gridCol w:w="4729"/>
        <w:gridCol w:w="60"/>
        <w:gridCol w:w="140"/>
        <w:gridCol w:w="755"/>
        <w:gridCol w:w="95"/>
        <w:gridCol w:w="60"/>
        <w:gridCol w:w="329"/>
        <w:gridCol w:w="1500"/>
        <w:gridCol w:w="95"/>
        <w:gridCol w:w="60"/>
        <w:gridCol w:w="242"/>
        <w:gridCol w:w="1098"/>
        <w:gridCol w:w="95"/>
        <w:gridCol w:w="60"/>
        <w:gridCol w:w="140"/>
        <w:gridCol w:w="635"/>
        <w:gridCol w:w="112"/>
      </w:tblGrid>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5" w:name="xdx_4BC_us-gaap--SubsidiarySaleOfStockAx"/>
            <w:bookmarkEnd w:id="2015"/>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Earnout</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6" w:name="xdx_4B2_us-gaap--SubsidiarySaleOfStockAx"/>
            <w:bookmarkEnd w:id="2016"/>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Liability Classified</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7" w:name="xdx_4B1_us-gaap--SubsidiarySaleOfStockAx"/>
            <w:bookmarkEnd w:id="2017"/>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PIPE</w:t>
              <w:br/>
              <w:t>Make-Whole</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8" w:name="xdx_4B6_us-gaap--SubsidiarySaleOfStockAx"/>
            <w:bookmarkEnd w:id="2018"/>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SAFEs</w:t>
            </w:r>
          </w:p>
        </w:tc>
        <w:tc>
          <w:tcPr>
            <w:tcW w:w="112" w:type="dxa"/>
            <w:tcBorders/>
            <w:vAlign w:val="center"/>
          </w:tcPr>
          <w:p>
            <w:pPr>
              <w:pStyle w:val="TableContents"/>
              <w:bidi w:val="0"/>
              <w:spacing w:before="0" w:after="283"/>
              <w:jc w:val="left"/>
              <w:rPr/>
            </w:pPr>
            <w:r>
              <w:rPr/>
              <w:t> </w:t>
            </w:r>
            <w:bookmarkStart w:id="2019" w:name="xdx_43E_c20231001__20240930_eus-gaap--Fa"/>
            <w:bookmarkEnd w:id="2019"/>
          </w:p>
        </w:tc>
      </w:tr>
      <w:tr>
        <w:trPr/>
        <w:tc>
          <w:tcPr>
            <w:tcW w:w="4729" w:type="dxa"/>
            <w:tcBorders/>
            <w:shd w:fill="CCEEFF" w:val="clear"/>
            <w:vAlign w:val="center"/>
          </w:tcPr>
          <w:p>
            <w:pPr>
              <w:pStyle w:val="TableContents"/>
              <w:bidi w:val="0"/>
              <w:spacing w:before="0" w:after="283"/>
              <w:jc w:val="left"/>
              <w:rPr/>
            </w:pPr>
            <w:r>
              <w:rPr/>
              <w:t>Balance,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1,512</w:t>
            </w:r>
          </w:p>
        </w:tc>
        <w:tc>
          <w:tcPr>
            <w:tcW w:w="112" w:type="dxa"/>
            <w:tcBorders/>
            <w:shd w:fill="CCEEFF" w:val="clear"/>
            <w:vAlign w:val="center"/>
          </w:tcPr>
          <w:p>
            <w:pPr>
              <w:pStyle w:val="TableContents"/>
              <w:bidi w:val="0"/>
              <w:spacing w:before="0" w:after="283"/>
              <w:jc w:val="left"/>
              <w:rPr/>
            </w:pPr>
            <w:r>
              <w:rPr/>
              <w:t> </w:t>
            </w:r>
            <w:bookmarkStart w:id="2020" w:name="xdx_405_ecustom--FairValueMeasurementWit"/>
            <w:bookmarkEnd w:id="2020"/>
          </w:p>
        </w:tc>
      </w:tr>
      <w:tr>
        <w:trPr/>
        <w:tc>
          <w:tcPr>
            <w:tcW w:w="4729" w:type="dxa"/>
            <w:tcBorders/>
            <w:shd w:fill="FFFFFF" w:val="clear"/>
            <w:vAlign w:val="center"/>
          </w:tcPr>
          <w:p>
            <w:pPr>
              <w:pStyle w:val="TableContents"/>
              <w:bidi w:val="0"/>
              <w:spacing w:before="0" w:after="283"/>
              <w:jc w:val="left"/>
              <w:rPr/>
            </w:pPr>
            <w:r>
              <w:rPr/>
              <w:t>Liabilities recognized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21" w:name="xdx_403_eus-gaap--FairValueMeasurementWi"/>
            <w:bookmarkEnd w:id="2021"/>
          </w:p>
        </w:tc>
      </w:tr>
      <w:tr>
        <w:trPr/>
        <w:tc>
          <w:tcPr>
            <w:tcW w:w="4729" w:type="dxa"/>
            <w:tcBorders/>
            <w:shd w:fill="CCEEFF" w:val="clear"/>
            <w:vAlign w:val="center"/>
          </w:tcPr>
          <w:p>
            <w:pPr>
              <w:pStyle w:val="TableContents"/>
              <w:bidi w:val="0"/>
              <w:spacing w:before="0" w:after="283"/>
              <w:jc w:val="left"/>
              <w:rPr/>
            </w:pPr>
            <w:r>
              <w:rPr/>
              <w:t>Sale of warrants in the July 2024 Private Placement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22" w:name="xdx_408_ecustom--OtherWarrantsIssued_pn3"/>
            <w:bookmarkEnd w:id="2022"/>
          </w:p>
        </w:tc>
      </w:tr>
      <w:tr>
        <w:trPr/>
        <w:tc>
          <w:tcPr>
            <w:tcW w:w="4729" w:type="dxa"/>
            <w:tcBorders/>
            <w:shd w:fill="FFFFFF" w:val="clear"/>
            <w:vAlign w:val="center"/>
          </w:tcPr>
          <w:p>
            <w:pPr>
              <w:pStyle w:val="TableContents"/>
              <w:bidi w:val="0"/>
              <w:spacing w:before="0" w:after="283"/>
              <w:jc w:val="left"/>
              <w:rPr/>
            </w:pPr>
            <w:r>
              <w:rPr/>
              <w:t>Other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023" w:name="xdx_40F_ecustom--ConversionOfSafesToComm"/>
            <w:bookmarkEnd w:id="2023"/>
          </w:p>
        </w:tc>
      </w:tr>
      <w:tr>
        <w:trPr/>
        <w:tc>
          <w:tcPr>
            <w:tcW w:w="4729" w:type="dxa"/>
            <w:tcBorders/>
            <w:shd w:fill="CCEEFF" w:val="clear"/>
            <w:vAlign w:val="center"/>
          </w:tcPr>
          <w:p>
            <w:pPr>
              <w:pStyle w:val="TableContents"/>
              <w:bidi w:val="0"/>
              <w:spacing w:before="0" w:after="283"/>
              <w:jc w:val="left"/>
              <w:rPr/>
            </w:pPr>
            <w:r>
              <w:rPr/>
              <w:t>Conversion to Class A Common Stock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(1,522</w:t>
            </w:r>
          </w:p>
        </w:tc>
        <w:tc>
          <w:tcPr>
            <w:tcW w:w="112" w:type="dxa"/>
            <w:tcBorders/>
            <w:shd w:fill="CCEEFF" w:val="clear"/>
            <w:vAlign w:val="center"/>
          </w:tcPr>
          <w:p>
            <w:pPr>
              <w:pStyle w:val="TableContents"/>
              <w:bidi w:val="0"/>
              <w:spacing w:before="0" w:after="283"/>
              <w:jc w:val="left"/>
              <w:rPr/>
            </w:pPr>
            <w:r>
              <w:rPr/>
              <w:t>)</w:t>
            </w:r>
            <w:bookmarkStart w:id="2024" w:name="xdx_408_ecustom--FairValueMeasurementWit"/>
            <w:bookmarkEnd w:id="2024"/>
          </w:p>
        </w:tc>
      </w:tr>
      <w:tr>
        <w:trPr/>
        <w:tc>
          <w:tcPr>
            <w:tcW w:w="4729"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2" w:type="dxa"/>
            <w:tcBorders/>
            <w:shd w:fill="FFFFFF" w:val="clear"/>
            <w:vAlign w:val="center"/>
          </w:tcPr>
          <w:p>
            <w:pPr>
              <w:pStyle w:val="TableContents"/>
              <w:bidi w:val="0"/>
              <w:spacing w:before="0" w:after="283"/>
              <w:jc w:val="left"/>
              <w:rPr/>
            </w:pPr>
            <w:r>
              <w:rPr/>
              <w:t> </w:t>
            </w:r>
            <w:bookmarkStart w:id="2025" w:name="xdx_403_eus-gaap--FairValueMeasurementWi"/>
            <w:bookmarkEnd w:id="2025"/>
          </w:p>
        </w:tc>
      </w:tr>
      <w:tr>
        <w:trPr/>
        <w:tc>
          <w:tcPr>
            <w:tcW w:w="4729" w:type="dxa"/>
            <w:tcBorders/>
            <w:shd w:fill="CCEEFF" w:val="clear"/>
            <w:vAlign w:val="center"/>
          </w:tcPr>
          <w:p>
            <w:pPr>
              <w:pStyle w:val="TableContents"/>
              <w:bidi w:val="0"/>
              <w:spacing w:before="0" w:after="283"/>
              <w:jc w:val="left"/>
              <w:rPr/>
            </w:pPr>
            <w:r>
              <w:rPr/>
              <w:t>Settlement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26" w:name="xdx_401_eus-gaap--IncomeLossAttributable"/>
            <w:bookmarkEnd w:id="2026"/>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bookmarkStart w:id="2027" w:name="xdx_436_c20241001__20250930_eus-gaap--Fa"/>
            <w:bookmarkEnd w:id="2027"/>
          </w:p>
        </w:tc>
      </w:tr>
      <w:tr>
        <w:trPr/>
        <w:tc>
          <w:tcPr>
            <w:tcW w:w="4729" w:type="dxa"/>
            <w:tcBorders/>
            <w:shd w:fill="CCEEFF" w:val="clear"/>
            <w:vAlign w:val="center"/>
          </w:tcPr>
          <w:p>
            <w:pPr>
              <w:pStyle w:val="TableContents"/>
              <w:bidi w:val="0"/>
              <w:spacing w:before="0" w:after="283"/>
              <w:jc w:val="left"/>
              <w:rPr/>
            </w:pPr>
            <w:r>
              <w:rPr/>
              <w:t>Balance,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2,139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028" w:name="xdx_408_eus-gaap--FairValueMeasurementWi"/>
            <w:bookmarkEnd w:id="2028"/>
          </w:p>
        </w:tc>
      </w:tr>
      <w:tr>
        <w:trPr/>
        <w:tc>
          <w:tcPr>
            <w:tcW w:w="4729" w:type="dxa"/>
            <w:tcBorders/>
            <w:shd w:fill="FFFFFF" w:val="clear"/>
            <w:vAlign w:val="center"/>
          </w:tcPr>
          <w:p>
            <w:pPr>
              <w:pStyle w:val="TableContents"/>
              <w:bidi w:val="0"/>
              <w:spacing w:before="0" w:after="283"/>
              <w:jc w:val="left"/>
              <w:rPr/>
            </w:pPr>
            <w:r>
              <w:rPr/>
              <w:t>Sale of warrants in the April 2025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2029" w:name="xdx_402_eus-gaap--ProceedsFromIssuanceOf"/>
            <w:bookmarkEnd w:id="2029"/>
          </w:p>
        </w:tc>
      </w:tr>
      <w:tr>
        <w:trPr/>
        <w:tc>
          <w:tcPr>
            <w:tcW w:w="4729" w:type="dxa"/>
            <w:tcBorders/>
            <w:shd w:fill="CCEEFF" w:val="clear"/>
            <w:vAlign w:val="center"/>
          </w:tcPr>
          <w:p>
            <w:pPr>
              <w:pStyle w:val="TableContents"/>
              <w:bidi w:val="0"/>
              <w:spacing w:before="0" w:after="283"/>
              <w:jc w:val="left"/>
              <w:rPr/>
            </w:pPr>
            <w:r>
              <w:rPr/>
              <w:t>Issuance of inducement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2030" w:name="xdx_401_ecustom--FairValueMeasurementWit"/>
            <w:bookmarkEnd w:id="2030"/>
          </w:p>
        </w:tc>
      </w:tr>
      <w:tr>
        <w:trPr/>
        <w:tc>
          <w:tcPr>
            <w:tcW w:w="4729" w:type="dxa"/>
            <w:tcBorders/>
            <w:shd w:fill="FFFFFF" w:val="clear"/>
            <w:vAlign w:val="center"/>
          </w:tcPr>
          <w:p>
            <w:pPr>
              <w:pStyle w:val="TableContents"/>
              <w:bidi w:val="0"/>
              <w:spacing w:before="0" w:after="283"/>
              <w:jc w:val="left"/>
              <w:rPr/>
            </w:pPr>
            <w:r>
              <w:rPr/>
              <w:t>Modification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2031" w:name="xdx_408_ecustom--FairValueMeasurementWit"/>
            <w:bookmarkEnd w:id="2031"/>
          </w:p>
        </w:tc>
      </w:tr>
      <w:tr>
        <w:trPr/>
        <w:tc>
          <w:tcPr>
            <w:tcW w:w="4729"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bookmarkStart w:id="2032" w:name="xdx_40A_eus-gaap--IncomeLossAttributable"/>
            <w:bookmarkEnd w:id="2032"/>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2033" w:name="xdx_43D_c20241001__20250930_eus-gaap--Fa"/>
            <w:bookmarkEnd w:id="2033"/>
          </w:p>
        </w:tc>
      </w:tr>
      <w:tr>
        <w:trPr/>
        <w:tc>
          <w:tcPr>
            <w:tcW w:w="4729" w:type="dxa"/>
            <w:tcBorders/>
            <w:shd w:fill="CCEEFF" w:val="clear"/>
            <w:vAlign w:val="center"/>
          </w:tcPr>
          <w:p>
            <w:pPr>
              <w:pStyle w:val="TableContents"/>
              <w:bidi w:val="0"/>
              <w:spacing w:before="0" w:after="283"/>
              <w:jc w:val="left"/>
              <w:rPr/>
            </w:pPr>
            <w:r>
              <w:rPr/>
              <w:t>Balance,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34" w:name="xdx_8A3_zhLIQowNdHu"/>
      <w:bookmarkEnd w:id="2034"/>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liability classified warrants, other than the Private Warrants, using the Black-Scholes option pricing model, as described above under Note 2 — </w:t>
      </w:r>
      <w:r>
        <w:rPr>
          <w:rFonts w:ascii="Times New Roman;Times;Serif" w:hAnsi="Times New Roman;Times;Serif"/>
          <w:b w:val="false"/>
          <w:i/>
          <w:caps w:val="false"/>
          <w:smallCaps w:val="false"/>
          <w:sz w:val="20"/>
        </w:rPr>
        <w:t>Summary of Significant Accounting Policies—Stock-Based Compensation.</w:t>
      </w:r>
      <w:r>
        <w:rPr>
          <w:rFonts w:ascii="Times New Roman;Times;Serif" w:hAnsi="Times New Roman;Times;Serif"/>
          <w:b w:val="false"/>
          <w:i w:val="false"/>
          <w:caps w:val="false"/>
          <w:smallCaps w:val="false"/>
          <w:sz w:val="20"/>
        </w:rPr>
        <w:t xml:space="preserve"> The following table summarizes the assumptions used in estimating the fair value of liability-classified warrants at the respective dates:</w:t>
      </w:r>
    </w:p>
    <w:p>
      <w:pPr>
        <w:pStyle w:val="TextBody"/>
        <w:bidi w:val="0"/>
        <w:spacing w:before="0" w:after="0"/>
        <w:ind w:left="0" w:right="0" w:hanging="0"/>
        <w:jc w:val="left"/>
        <w:rPr>
          <w:caps w:val="false"/>
          <w:smallCaps w:val="false"/>
        </w:rPr>
      </w:pPr>
      <w:bookmarkStart w:id="2035" w:name="xdx_89E_eus-gaap--FairValueConcentration"/>
      <w:bookmarkEnd w:id="2035"/>
      <w:r>
        <w:rPr>
          <w:caps w:val="false"/>
          <w:smallCaps w:val="false"/>
        </w:rPr>
        <w:t> </w:t>
      </w:r>
      <w:bookmarkStart w:id="2036" w:name="xdx_8B5_zqtKH6dJQaNf"/>
      <w:bookmarkEnd w:id="2036"/>
      <w:r>
        <w:rPr>
          <w:rFonts w:ascii="Times New Roman;Times;Serif" w:hAnsi="Times New Roman;Times;Serif"/>
          <w:b w:val="false"/>
          <w:i w:val="false"/>
          <w:caps w:val="false"/>
          <w:smallCaps w:val="false"/>
          <w:sz w:val="20"/>
        </w:rPr>
        <w:t>Schedule of Fair Value of Liability-Classified Warrants</w:t>
      </w:r>
    </w:p>
    <w:tbl>
      <w:tblPr>
        <w:tblW w:w="4745" w:type="dxa"/>
        <w:jc w:val="left"/>
        <w:tblInd w:w="0" w:type="dxa"/>
        <w:tblLayout w:type="fixed"/>
        <w:tblCellMar>
          <w:top w:w="0" w:type="dxa"/>
          <w:left w:w="0" w:type="dxa"/>
          <w:bottom w:w="0" w:type="dxa"/>
          <w:right w:w="0" w:type="dxa"/>
        </w:tblCellMar>
      </w:tblPr>
      <w:tblGrid>
        <w:gridCol w:w="1610"/>
        <w:gridCol w:w="60"/>
        <w:gridCol w:w="125"/>
        <w:gridCol w:w="1190"/>
        <w:gridCol w:w="185"/>
        <w:gridCol w:w="60"/>
        <w:gridCol w:w="125"/>
        <w:gridCol w:w="1190"/>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7" w:name="xdx_981_eus-gaap--SharePrice_iI_pid_c202"/>
            <w:bookmarkEnd w:id="2037"/>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8" w:name="xdx_987_eus-gaap--SharePrice_iI_pid_c202"/>
            <w:bookmarkEnd w:id="2038"/>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39" w:name="xdx_90E_eus-gaap--ShareBasedCompensation"/>
            <w:bookmarkEnd w:id="2039"/>
            <w:r>
              <w:rPr>
                <w:rFonts w:ascii="Times New Roman;Times;Serif" w:hAnsi="Times New Roman;Times;Serif"/>
                <w:sz w:val="20"/>
              </w:rPr>
              <w:t>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40" w:name="xdx_90E_eus-gaap--ShareBasedCompensation"/>
            <w:bookmarkEnd w:id="2040"/>
            <w:r>
              <w:rPr>
                <w:rFonts w:ascii="Times New Roman;Times;Serif" w:hAnsi="Times New Roman;Times;Serif"/>
                <w:sz w:val="20"/>
              </w:rPr>
              <w:t>55.7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2041" w:name="xdx_906_eus-gaap--ShareBasedCompensation"/>
            <w:bookmarkEnd w:id="2041"/>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bookmarkStart w:id="2042" w:name="xdx_90D_eus-gaap--ShareBasedCompensation"/>
            <w:bookmarkEnd w:id="2042"/>
            <w:r>
              <w:rPr>
                <w:rFonts w:ascii="Times New Roman;Times;Serif" w:hAnsi="Times New Roman;Times;Serif"/>
                <w:sz w:val="20"/>
              </w:rPr>
              <w:t xml:space="preserve">3.5 – </w:t>
            </w:r>
            <w:bookmarkStart w:id="2043" w:name="xdx_90E_eus-gaap--ShareBasedCompensation"/>
            <w:bookmarkEnd w:id="2043"/>
            <w:r>
              <w:rPr>
                <w:rFonts w:ascii="Times New Roman;Times;Serif" w:hAnsi="Times New Roman;Times;Serif"/>
                <w:sz w:val="20"/>
              </w:rPr>
              <w:t>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44" w:name="xdx_90D_eus-gaap--SharebasedCompensation"/>
            <w:bookmarkEnd w:id="2044"/>
            <w:r>
              <w:rPr>
                <w:rFonts w:ascii="Times New Roman;Times;Serif" w:hAnsi="Times New Roman;Times;Serif"/>
                <w:sz w:val="20"/>
              </w:rPr>
              <w:t xml:space="preserve">4.3 – </w:t>
            </w:r>
            <w:bookmarkStart w:id="2045" w:name="xdx_903_eus-gaap--SharebasedCompensation"/>
            <w:bookmarkEnd w:id="2045"/>
            <w:r>
              <w:rPr>
                <w:rFonts w:ascii="Times New Roman;Times;Serif" w:hAnsi="Times New Roman;Times;Serif"/>
                <w:sz w:val="20"/>
              </w:rPr>
              <w:t>4.9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46" w:name="xdx_906_eus-gaap--SharebasedCompensation"/>
            <w:bookmarkEnd w:id="2046"/>
            <w:r>
              <w:rPr>
                <w:rFonts w:ascii="Times New Roman;Times;Serif" w:hAnsi="Times New Roman;Times;Serif"/>
                <w:sz w:val="20"/>
              </w:rPr>
              <w:t xml:space="preserve">1.1 – </w:t>
            </w:r>
            <w:bookmarkStart w:id="2047" w:name="xdx_90C_eus-gaap--SharebasedCompensation"/>
            <w:bookmarkEnd w:id="2047"/>
            <w:r>
              <w:rPr>
                <w:rFonts w:ascii="Times New Roman;Times;Serif" w:hAnsi="Times New Roman;Times;Serif"/>
                <w:sz w:val="20"/>
              </w:rPr>
              <w:t>5.1 years</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048" w:name="xdx_8A2_zywcKF80TOui"/>
      <w:bookmarkEnd w:id="20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Private Warrants based on quoted market prices for the Public Warrants, which have substantially the same economic characteristics.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049" w:name="xdx_984_eus-gaap--SharePrice_iI_pid_c202"/>
            <w:bookmarkEnd w:id="2049"/>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050" w:name="xdx_982_eus-gaap--SharePrice_iI_pid_c202"/>
            <w:bookmarkEnd w:id="2050"/>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bookmarkStart w:id="2051" w:name="xdx_90F_eus-gaap--ShareBasedCompensation"/>
            <w:bookmarkEnd w:id="2051"/>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bookmarkStart w:id="2052" w:name="xdx_904_eus-gaap--ShareBasedCompensation"/>
            <w:bookmarkEnd w:id="2052"/>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bookmarkStart w:id="2053" w:name="xdx_909_eus-gaap--ShareBasedCompensation"/>
            <w:bookmarkEnd w:id="2053"/>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bookmarkStart w:id="2054" w:name="xdx_90A_eus-gaap--ShareBasedCompensation"/>
            <w:bookmarkEnd w:id="2054"/>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55" w:name="xdx_90A_eus-gaap--SharebasedCompensation"/>
            <w:bookmarkEnd w:id="2055"/>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bookmarkStart w:id="2056" w:name="xdx_907_eus-gaap--SharebasedCompensation"/>
            <w:bookmarkEnd w:id="2056"/>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57" w:name="xdx_805_eus-gaap--EarningsPerShareTextBl"/>
      <w:bookmarkEnd w:id="2057"/>
      <w:r>
        <w:rPr>
          <w:rFonts w:ascii="Times New Roman;Times;Serif" w:hAnsi="Times New Roman;Times;Serif"/>
          <w:b/>
          <w:i w:val="false"/>
          <w:caps w:val="false"/>
          <w:smallCaps w:val="false"/>
          <w:sz w:val="20"/>
        </w:rPr>
        <w:t xml:space="preserve">Note 18 — </w:t>
      </w:r>
      <w:bookmarkStart w:id="2058" w:name="xdx_826_zsRkO5IgwtCa"/>
      <w:bookmarkEnd w:id="2058"/>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bookmarkStart w:id="2059" w:name="xdx_89A_eus-gaap--ScheduleOfEarningsPerS"/>
      <w:bookmarkEnd w:id="2059"/>
      <w:r>
        <w:rPr>
          <w:caps w:val="false"/>
          <w:smallCaps w:val="false"/>
        </w:rPr>
        <w:t> </w:t>
      </w:r>
      <w:bookmarkStart w:id="2060" w:name="xdx_8BC_zA1GpfwObIHl"/>
      <w:bookmarkEnd w:id="2060"/>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61" w:name="xdx_49B_20241001__20250930__us-gaap--Sta"/>
            <w:bookmarkEnd w:id="206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62" w:name="xdx_49C_20241001__20250930__us-gaap--Sta"/>
            <w:bookmarkEnd w:id="2062"/>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63" w:name="xdx_492_20231001__20240930__us-gaap--Sta"/>
            <w:bookmarkEnd w:id="206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2064" w:name="xdx_49B_20231001__20240930__us-gaap--Sta"/>
            <w:bookmarkEnd w:id="2064"/>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5" w:name="xdx_40F_eus-gaap--NetIncomeLoss_pn3n3_zR"/>
            <w:bookmarkEnd w:id="2065"/>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(1,582</w:t>
            </w:r>
          </w:p>
        </w:tc>
        <w:tc>
          <w:tcPr>
            <w:tcW w:w="110" w:type="dxa"/>
            <w:tcBorders/>
            <w:shd w:fill="CCEEFF" w:val="clear"/>
            <w:vAlign w:val="center"/>
          </w:tcPr>
          <w:p>
            <w:pPr>
              <w:pStyle w:val="TableContents"/>
              <w:bidi w:val="0"/>
              <w:spacing w:before="0" w:after="283"/>
              <w:jc w:val="left"/>
              <w:rPr/>
            </w:pPr>
            <w:r>
              <w:rPr/>
              <w:t>)</w:t>
            </w:r>
            <w:bookmarkStart w:id="2066" w:name="xdx_40A_ecustom--DeemedDividendFromWarra"/>
            <w:bookmarkEnd w:id="2066"/>
          </w:p>
        </w:tc>
      </w:tr>
      <w:tr>
        <w:trPr/>
        <w:tc>
          <w:tcPr>
            <w:tcW w:w="545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bookmarkStart w:id="2067" w:name="xdx_400_ecustom--NetIncomeLossAvailableT"/>
            <w:bookmarkEnd w:id="2067"/>
          </w:p>
        </w:tc>
      </w:tr>
      <w:tr>
        <w:trPr/>
        <w:tc>
          <w:tcPr>
            <w:tcW w:w="5450" w:type="dxa"/>
            <w:tcBorders/>
            <w:shd w:fill="CCEEFF" w:val="clear"/>
            <w:vAlign w:val="center"/>
          </w:tcPr>
          <w:p>
            <w:pPr>
              <w:pStyle w:val="TableContents"/>
              <w:bidi w:val="0"/>
              <w:spacing w:before="0" w:after="283"/>
              <w:jc w:val="left"/>
              <w:rPr/>
            </w:pPr>
            <w:r>
              <w:rPr/>
              <w:t xml:space="preserve">Net loss available to common </w:t>
              <w:br/>
              <w:t>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8" w:name="xdx_40C_eus-gaap--WeightedAverageNumberO"/>
            <w:bookmarkEnd w:id="2068"/>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2069" w:name="xdx_401_eus-gaap--EarningsPerShareBasic_"/>
            <w:bookmarkEnd w:id="2069"/>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70" w:name="xdx_408_eus-gaap--NetIncomeLossAvailable"/>
            <w:bookmarkEnd w:id="2070"/>
          </w:p>
        </w:tc>
      </w:tr>
      <w:tr>
        <w:trPr/>
        <w:tc>
          <w:tcPr>
            <w:tcW w:w="5450" w:type="dxa"/>
            <w:tcBorders/>
            <w:shd w:fill="FFFFFF" w:val="clear"/>
            <w:vAlign w:val="center"/>
          </w:tcPr>
          <w:p>
            <w:pPr>
              <w:pStyle w:val="TableContents"/>
              <w:bidi w:val="0"/>
              <w:spacing w:before="0" w:after="283"/>
              <w:jc w:val="left"/>
              <w:rPr/>
            </w:pPr>
            <w:r>
              <w:rPr/>
              <w:t xml:space="preserve">Net loss available to common </w:t>
              <w:br/>
              <w:t>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(1,634</w:t>
            </w:r>
          </w:p>
        </w:tc>
        <w:tc>
          <w:tcPr>
            <w:tcW w:w="110" w:type="dxa"/>
            <w:tcBorders/>
            <w:shd w:fill="FFFFFF" w:val="clear"/>
            <w:vAlign w:val="center"/>
          </w:tcPr>
          <w:p>
            <w:pPr>
              <w:pStyle w:val="TableContents"/>
              <w:bidi w:val="0"/>
              <w:spacing w:before="0" w:after="283"/>
              <w:jc w:val="left"/>
              <w:rPr/>
            </w:pPr>
            <w:r>
              <w:rPr/>
              <w:t>)</w:t>
            </w:r>
            <w:bookmarkStart w:id="2071" w:name="xdx_400_ecustom--ChangeInFairValueOfLiab"/>
            <w:bookmarkEnd w:id="2071"/>
          </w:p>
        </w:tc>
      </w:tr>
      <w:tr>
        <w:trPr/>
        <w:tc>
          <w:tcPr>
            <w:tcW w:w="545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w:t>
            </w:r>
            <w:bookmarkStart w:id="2072" w:name="xdx_400_ecustom--ChangeInFairValueOfLiab"/>
            <w:bookmarkEnd w:id="2072"/>
          </w:p>
        </w:tc>
      </w:tr>
      <w:tr>
        <w:trPr/>
        <w:tc>
          <w:tcPr>
            <w:tcW w:w="5450" w:type="dxa"/>
            <w:tcBorders/>
            <w:shd w:fill="FFFFFF" w:val="clear"/>
            <w:vAlign w:val="center"/>
          </w:tcPr>
          <w:p>
            <w:pPr>
              <w:pStyle w:val="TableContents"/>
              <w:bidi w:val="0"/>
              <w:spacing w:before="0" w:after="283"/>
              <w:jc w:val="left"/>
              <w:rPr/>
            </w:pPr>
            <w:r>
              <w:rPr/>
              <w:t>Change in fair value of liability-classified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bookmarkStart w:id="2073" w:name="xdx_40B_ecustom--ReallocationOfNetLossAs"/>
            <w:bookmarkEnd w:id="2073"/>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74" w:name="xdx_403_ecustom--ReallocationOfNetIncome"/>
            <w:bookmarkEnd w:id="2074"/>
          </w:p>
        </w:tc>
      </w:tr>
      <w:tr>
        <w:trPr/>
        <w:tc>
          <w:tcPr>
            <w:tcW w:w="5450" w:type="dxa"/>
            <w:tcBorders/>
            <w:shd w:fill="FFFF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bookmarkStart w:id="2075" w:name="xdx_403_ecustom--NetIncomeLossToDiluted_"/>
            <w:bookmarkEnd w:id="2075"/>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(1,691</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76" w:name="xdx_406_ecustom--NumberOfSharesUsedInBas"/>
            <w:bookmarkEnd w:id="2076"/>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2077" w:name="xdx_40E_ecustom--SharesIssuableInSatisfa"/>
            <w:bookmarkEnd w:id="2077"/>
          </w:p>
        </w:tc>
      </w:tr>
      <w:tr>
        <w:trPr/>
        <w:tc>
          <w:tcPr>
            <w:tcW w:w="5450" w:type="dxa"/>
            <w:tcBorders/>
            <w:shd w:fill="FFFFFF" w:val="clear"/>
            <w:vAlign w:val="center"/>
          </w:tcPr>
          <w:p>
            <w:pPr>
              <w:pStyle w:val="TableContents"/>
              <w:bidi w:val="0"/>
              <w:spacing w:before="0" w:after="283"/>
              <w:jc w:val="left"/>
              <w:rPr/>
            </w:pPr>
            <w:r>
              <w:rPr/>
              <w:t>Shares issuable in satisfaction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78" w:name="xdx_400_ecustom--SharesIssuableUnderLiab"/>
            <w:bookmarkEnd w:id="2078"/>
          </w:p>
        </w:tc>
      </w:tr>
      <w:tr>
        <w:trPr/>
        <w:tc>
          <w:tcPr>
            <w:tcW w:w="5450" w:type="dxa"/>
            <w:tcBorders/>
            <w:shd w:fill="CCEEFF" w:val="clear"/>
            <w:vAlign w:val="center"/>
          </w:tcPr>
          <w:p>
            <w:pPr>
              <w:pStyle w:val="TableContents"/>
              <w:bidi w:val="0"/>
              <w:spacing w:before="0" w:after="283"/>
              <w:jc w:val="left"/>
              <w:rPr/>
            </w:pPr>
            <w:r>
              <w:rPr/>
              <w:t>Shares issuable under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79" w:name="xdx_405_ecustom--ConversionOfClassBToCla"/>
            <w:bookmarkEnd w:id="2079"/>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80" w:name="xdx_406_eus-gaap--WeightedAverageNumberO"/>
            <w:bookmarkEnd w:id="2080"/>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bookmarkStart w:id="2081" w:name="xdx_406_eus-gaap--EarningsPerShareDilute"/>
            <w:bookmarkEnd w:id="2081"/>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2082" w:name="xdx_8A9_zUMyUP9pkLa9"/>
      <w:bookmarkEnd w:id="208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bookmarkStart w:id="2083" w:name="xdx_89C_eus-gaap--ScheduleOfAntidilutive"/>
      <w:bookmarkEnd w:id="2083"/>
      <w:r>
        <w:rPr>
          <w:caps w:val="false"/>
          <w:smallCaps w:val="false"/>
        </w:rPr>
        <w:t> </w:t>
      </w:r>
      <w:bookmarkStart w:id="2084" w:name="xdx_8B6_z2L614r0HXT"/>
      <w:bookmarkEnd w:id="2084"/>
      <w:r>
        <w:rPr>
          <w:rFonts w:ascii="Times New Roman;Times;Serif" w:hAnsi="Times New Roman;Times;Serif"/>
          <w:b w:val="false"/>
          <w:i w:val="false"/>
          <w:caps w:val="false"/>
          <w:smallCaps w:val="false"/>
          <w:sz w:val="20"/>
        </w:rPr>
        <w:t>Schedule of Antidilutive Shares</w:t>
      </w:r>
    </w:p>
    <w:tbl>
      <w:tblPr>
        <w:tblW w:w="6825" w:type="dxa"/>
        <w:jc w:val="left"/>
        <w:tblInd w:w="0" w:type="dxa"/>
        <w:tblLayout w:type="fixed"/>
        <w:tblCellMar>
          <w:top w:w="0" w:type="dxa"/>
          <w:left w:w="0" w:type="dxa"/>
          <w:bottom w:w="0" w:type="dxa"/>
          <w:right w:w="0" w:type="dxa"/>
        </w:tblCellMar>
      </w:tblPr>
      <w:tblGrid>
        <w:gridCol w:w="4490"/>
        <w:gridCol w:w="60"/>
        <w:gridCol w:w="60"/>
        <w:gridCol w:w="98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5" w:name="xdx_49E_20241001__20250930_zYc37yGB7dy1"/>
            <w:bookmarkEnd w:id="2085"/>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86" w:name="xdx_49F_20231001__20240930_zrsiuVTLWa6g"/>
            <w:bookmarkEnd w:id="208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087" w:name="xdx_400_eus-gaap--AntidilutiveSecurities"/>
            <w:bookmarkEnd w:id="2087"/>
          </w:p>
        </w:tc>
      </w:tr>
      <w:tr>
        <w:trPr/>
        <w:tc>
          <w:tcPr>
            <w:tcW w:w="4490" w:type="dxa"/>
            <w:tcBorders/>
            <w:shd w:fill="CCEEFF" w:val="clear"/>
            <w:vAlign w:val="center"/>
          </w:tcPr>
          <w:p>
            <w:pPr>
              <w:pStyle w:val="TableContents"/>
              <w:bidi w:val="0"/>
              <w:spacing w:before="0" w:after="283"/>
              <w:jc w:val="left"/>
              <w:rPr/>
            </w:pPr>
            <w:r>
              <w:rPr/>
              <w:t>Public Warrants and Private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bookmarkStart w:id="2088" w:name="xdx_408_eus-gaap--AntidilutiveSecurities"/>
            <w:bookmarkEnd w:id="2088"/>
          </w:p>
        </w:tc>
      </w:tr>
      <w:tr>
        <w:trPr/>
        <w:tc>
          <w:tcPr>
            <w:tcW w:w="4490" w:type="dxa"/>
            <w:tcBorders/>
            <w:shd w:fill="FFFFFF" w:val="clear"/>
            <w:vAlign w:val="center"/>
          </w:tcPr>
          <w:p>
            <w:pPr>
              <w:pStyle w:val="TableContents"/>
              <w:bidi w:val="0"/>
              <w:spacing w:before="0" w:after="283"/>
              <w:jc w:val="left"/>
              <w:rPr/>
            </w:pPr>
            <w:r>
              <w:rPr/>
              <w:t>Other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751,878</w:t>
            </w:r>
          </w:p>
        </w:tc>
        <w:tc>
          <w:tcPr>
            <w:tcW w:w="75" w:type="dxa"/>
            <w:tcBorders/>
            <w:shd w:fill="FFFFFF" w:val="clear"/>
            <w:vAlign w:val="center"/>
          </w:tcPr>
          <w:p>
            <w:pPr>
              <w:pStyle w:val="TableContents"/>
              <w:bidi w:val="0"/>
              <w:spacing w:before="0" w:after="283"/>
              <w:jc w:val="left"/>
              <w:rPr/>
            </w:pPr>
            <w:r>
              <w:rPr/>
              <w:t> </w:t>
            </w:r>
            <w:bookmarkStart w:id="2089" w:name="xdx_402_eus-gaap--AntidilutiveSecurities"/>
            <w:bookmarkEnd w:id="2089"/>
          </w:p>
        </w:tc>
      </w:tr>
      <w:tr>
        <w:trPr/>
        <w:tc>
          <w:tcPr>
            <w:tcW w:w="4490" w:type="dxa"/>
            <w:tcBorders/>
            <w:shd w:fill="CCEEFF" w:val="clear"/>
            <w:vAlign w:val="center"/>
          </w:tcPr>
          <w:p>
            <w:pPr>
              <w:pStyle w:val="TableContents"/>
              <w:bidi w:val="0"/>
              <w:spacing w:before="0" w:after="283"/>
              <w:jc w:val="left"/>
              <w:rPr/>
            </w:pPr>
            <w:r>
              <w:rPr/>
              <w:t>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jc w:val="left"/>
              <w:rPr/>
            </w:pPr>
            <w:r>
              <w:rPr/>
              <w:t> </w:t>
            </w:r>
            <w:bookmarkStart w:id="2090" w:name="xdx_40D_eus-gaap--AntidilutiveSecurities"/>
            <w:bookmarkEnd w:id="2090"/>
          </w:p>
        </w:tc>
      </w:tr>
      <w:tr>
        <w:trPr/>
        <w:tc>
          <w:tcPr>
            <w:tcW w:w="4490" w:type="dxa"/>
            <w:tcBorders/>
            <w:shd w:fill="FFFFFF" w:val="clear"/>
            <w:vAlign w:val="center"/>
          </w:tcPr>
          <w:p>
            <w:pPr>
              <w:pStyle w:val="TableContents"/>
              <w:bidi w:val="0"/>
              <w:spacing w:before="0" w:after="283"/>
              <w:jc w:val="left"/>
              <w:rPr/>
            </w:pPr>
            <w:r>
              <w:rPr/>
              <w:t>Shares potentially issuable under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128,560</w:t>
            </w:r>
          </w:p>
        </w:tc>
        <w:tc>
          <w:tcPr>
            <w:tcW w:w="75" w:type="dxa"/>
            <w:tcBorders/>
            <w:shd w:fill="FFFFFF" w:val="clear"/>
            <w:vAlign w:val="center"/>
          </w:tcPr>
          <w:p>
            <w:pPr>
              <w:pStyle w:val="TableContents"/>
              <w:bidi w:val="0"/>
              <w:spacing w:before="0" w:after="283"/>
              <w:jc w:val="left"/>
              <w:rPr/>
            </w:pPr>
            <w:r>
              <w:rPr/>
              <w:t> </w:t>
            </w:r>
            <w:bookmarkStart w:id="2091" w:name="xdx_401_eus-gaap--AntidilutiveSecurities"/>
            <w:bookmarkEnd w:id="2091"/>
          </w:p>
        </w:tc>
      </w:tr>
      <w:tr>
        <w:trPr/>
        <w:tc>
          <w:tcPr>
            <w:tcW w:w="449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2092" w:name="xdx_403_eus-gaap--AntidilutiveSecurities"/>
            <w:bookmarkEnd w:id="2092"/>
          </w:p>
        </w:tc>
      </w:tr>
      <w:tr>
        <w:trPr/>
        <w:tc>
          <w:tcPr>
            <w:tcW w:w="44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954,599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446,318</w:t>
            </w:r>
          </w:p>
        </w:tc>
        <w:tc>
          <w:tcPr>
            <w:tcW w:w="75" w:type="dxa"/>
            <w:tcBorders/>
            <w:shd w:fill="FFFFFF" w:val="clear"/>
            <w:vAlign w:val="center"/>
          </w:tcPr>
          <w:p>
            <w:pPr>
              <w:pStyle w:val="TableContents"/>
              <w:bidi w:val="0"/>
              <w:spacing w:before="0" w:after="283"/>
              <w:jc w:val="left"/>
              <w:rPr/>
            </w:pPr>
            <w:r>
              <w:rPr/>
              <w:t> </w:t>
            </w:r>
            <w:bookmarkStart w:id="2093" w:name="xdx_408_eus-gaap--AntidilutiveSecurities"/>
            <w:bookmarkEnd w:id="2093"/>
          </w:p>
        </w:tc>
      </w:tr>
      <w:tr>
        <w:trPr/>
        <w:tc>
          <w:tcPr>
            <w:tcW w:w="44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274,063</w:t>
            </w:r>
          </w:p>
        </w:tc>
        <w:tc>
          <w:tcPr>
            <w:tcW w:w="75" w:type="dxa"/>
            <w:tcBorders/>
            <w:shd w:fill="CCEEFF" w:val="clear"/>
            <w:vAlign w:val="center"/>
          </w:tcPr>
          <w:p>
            <w:pPr>
              <w:pStyle w:val="TableContents"/>
              <w:bidi w:val="0"/>
              <w:spacing w:before="0" w:after="283"/>
              <w:jc w:val="left"/>
              <w:rPr/>
            </w:pPr>
            <w:r>
              <w:rPr/>
              <w:t> </w:t>
            </w:r>
            <w:bookmarkStart w:id="2094" w:name="xdx_40F_eus-gaap--AntidilutiveSecurities"/>
            <w:bookmarkEnd w:id="2094"/>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4,571,915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2,850,819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bookmarkStart w:id="2095" w:name="xdx_8A0_zotmDUYBTwff"/>
      <w:bookmarkEnd w:id="209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96" w:name="xdx_80C_eus-gaap--ConcentrationRiskDiscl"/>
      <w:bookmarkEnd w:id="2096"/>
      <w:r>
        <w:rPr>
          <w:rFonts w:ascii="Times New Roman;Times;Serif" w:hAnsi="Times New Roman;Times;Serif"/>
          <w:b/>
          <w:i w:val="false"/>
          <w:caps w:val="false"/>
          <w:smallCaps w:val="false"/>
          <w:sz w:val="20"/>
        </w:rPr>
        <w:t xml:space="preserve">Note 19 — </w:t>
      </w:r>
      <w:bookmarkStart w:id="2097" w:name="xdx_823_ztbwAulLa0ka"/>
      <w:bookmarkEnd w:id="2097"/>
      <w:r>
        <w:rPr>
          <w:rFonts w:ascii="Times New Roman;Times;Serif" w:hAnsi="Times New Roman;Times;Serif"/>
          <w:b/>
          <w:i w:val="false"/>
          <w:caps w:val="false"/>
          <w:smallCaps w:val="false"/>
          <w:sz w:val="20"/>
        </w:rPr>
        <w:t>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September 30, 2025, one customer accounted for </w:t>
      </w:r>
      <w:bookmarkStart w:id="2098" w:name="xdx_90B_eus-gaap--ConcentrationRiskPerce"/>
      <w:bookmarkEnd w:id="2098"/>
      <w:r>
        <w:rPr>
          <w:rFonts w:ascii="Times New Roman;Times;Serif" w:hAnsi="Times New Roman;Times;Serif"/>
          <w:b w:val="false"/>
          <w:i w:val="false"/>
          <w:caps w:val="false"/>
          <w:smallCaps w:val="false"/>
          <w:sz w:val="20"/>
        </w:rPr>
        <w:t xml:space="preserve">50% of the Company’s net revenue. For the year ended September 30, 2024, one customer accounted for </w:t>
      </w:r>
      <w:bookmarkStart w:id="2099" w:name="xdx_90B_eus-gaap--ConcentrationRiskPerce"/>
      <w:bookmarkEnd w:id="2099"/>
      <w:r>
        <w:rPr>
          <w:rFonts w:ascii="Times New Roman;Times;Serif" w:hAnsi="Times New Roman;Times;Serif"/>
          <w:b w:val="false"/>
          <w:i w:val="false"/>
          <w:caps w:val="false"/>
          <w:smallCaps w:val="false"/>
          <w:sz w:val="20"/>
        </w:rPr>
        <w:t xml:space="preserve">40% of the Company’s net revenue. No other customer accounted for more than </w:t>
      </w:r>
      <w:bookmarkStart w:id="2100" w:name="xdx_904_eus-gaap--ConcentrationRiskPerce"/>
      <w:bookmarkEnd w:id="2100"/>
      <w:r>
        <w:rPr>
          <w:rFonts w:ascii="Times New Roman;Times;Serif" w:hAnsi="Times New Roman;Times;Serif"/>
          <w:b w:val="false"/>
          <w:i w:val="false"/>
          <w:caps w:val="false"/>
          <w:smallCaps w:val="false"/>
          <w:sz w:val="20"/>
        </w:rPr>
        <w:t>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30, 2025, two customers had balances due that represented </w:t>
      </w:r>
      <w:bookmarkStart w:id="2101" w:name="xdx_90D_eus-gaap--ConcentrationRiskPerce"/>
      <w:bookmarkEnd w:id="2101"/>
      <w:r>
        <w:rPr>
          <w:rFonts w:ascii="Times New Roman;Times;Serif" w:hAnsi="Times New Roman;Times;Serif"/>
          <w:b w:val="false"/>
          <w:i w:val="false"/>
          <w:caps w:val="false"/>
          <w:smallCaps w:val="false"/>
          <w:sz w:val="20"/>
        </w:rPr>
        <w:t xml:space="preserve">30% of the Company’s total accounts receivable. As of September 30, 2024, two customers had balances due that represented </w:t>
      </w:r>
      <w:bookmarkStart w:id="2102" w:name="xdx_903_eus-gaap--ConcentrationRiskPerce"/>
      <w:bookmarkEnd w:id="2102"/>
      <w:r>
        <w:rPr>
          <w:rFonts w:ascii="Times New Roman;Times;Serif" w:hAnsi="Times New Roman;Times;Serif"/>
          <w:b w:val="false"/>
          <w:i w:val="false"/>
          <w:caps w:val="false"/>
          <w:smallCaps w:val="false"/>
          <w:sz w:val="20"/>
        </w:rPr>
        <w:t>71% of the Company’s total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03" w:name="xdx_801_eus-gaap--SegmentReportingDisclo"/>
      <w:bookmarkEnd w:id="2103"/>
      <w:r>
        <w:rPr>
          <w:rFonts w:ascii="Times New Roman;Times;Serif" w:hAnsi="Times New Roman;Times;Serif"/>
          <w:b/>
          <w:i w:val="false"/>
          <w:caps w:val="false"/>
          <w:smallCaps w:val="false"/>
          <w:sz w:val="20"/>
        </w:rPr>
        <w:t xml:space="preserve">Note 20 — </w:t>
      </w:r>
      <w:bookmarkStart w:id="2104" w:name="xdx_828_z1rrOIojNvXb"/>
      <w:bookmarkEnd w:id="2104"/>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consolidated balance sheets as total assets. The CODM does not review segment assets at a level other than that presented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05" w:name="xdx_89F_eus-gaap--RevenueFromExternalCus"/>
      <w:bookmarkEnd w:id="2105"/>
      <w:r>
        <w:rPr>
          <w:rFonts w:ascii="Times New Roman;Times;Serif" w:hAnsi="Times New Roman;Times;Serif"/>
          <w:b w:val="false"/>
          <w:i w:val="false"/>
          <w:caps w:val="false"/>
          <w:smallCaps w:val="false"/>
          <w:sz w:val="20"/>
        </w:rPr>
        <w:t>The Company’s net revenue by geographic region, based on ship-to location, are summarized as follows:</w:t>
      </w:r>
    </w:p>
    <w:p>
      <w:pPr>
        <w:pStyle w:val="TextBody"/>
        <w:bidi w:val="0"/>
        <w:spacing w:before="0" w:after="0"/>
        <w:ind w:left="0" w:right="0" w:hanging="0"/>
        <w:jc w:val="left"/>
        <w:rPr>
          <w:caps w:val="false"/>
          <w:smallCaps w:val="false"/>
        </w:rPr>
      </w:pPr>
      <w:r>
        <w:rPr>
          <w:caps w:val="false"/>
          <w:smallCaps w:val="false"/>
        </w:rPr>
        <w:t> </w:t>
      </w:r>
      <w:bookmarkStart w:id="2106" w:name="xdx_8BB_zeSHvsGyl9b6"/>
      <w:bookmarkEnd w:id="2106"/>
      <w:r>
        <w:rPr>
          <w:rFonts w:ascii="Times New Roman;Times;Serif" w:hAnsi="Times New Roman;Times;Serif"/>
          <w:b w:val="false"/>
          <w:i w:val="false"/>
          <w:caps w:val="false"/>
          <w:smallCaps w:val="false"/>
          <w:sz w:val="20"/>
        </w:rPr>
        <w:t>Schedule of Company’s Net Revenue by Geographic Region</w:t>
      </w:r>
    </w:p>
    <w:tbl>
      <w:tblPr>
        <w:tblW w:w="3340" w:type="dxa"/>
        <w:jc w:val="left"/>
        <w:tblInd w:w="0" w:type="dxa"/>
        <w:tblLayout w:type="fixed"/>
        <w:tblCellMar>
          <w:top w:w="0" w:type="dxa"/>
          <w:left w:w="0" w:type="dxa"/>
          <w:bottom w:w="0" w:type="dxa"/>
          <w:right w:w="0" w:type="dxa"/>
        </w:tblCellMar>
      </w:tblPr>
      <w:tblGrid>
        <w:gridCol w:w="1685"/>
        <w:gridCol w:w="60"/>
        <w:gridCol w:w="140"/>
        <w:gridCol w:w="560"/>
        <w:gridCol w:w="60"/>
        <w:gridCol w:w="60"/>
        <w:gridCol w:w="14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7" w:name="xdx_497_20241001__20250930_zrkuI9jbAEx3"/>
            <w:bookmarkEnd w:id="2107"/>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108" w:name="xdx_49C_20231001__20240930_zDP1RYENDDJ7"/>
            <w:bookmarkEnd w:id="210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2109" w:name="xdx_403_eus-gaap--RevenueFromContractWit"/>
            <w:bookmarkEnd w:id="2109"/>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5,699</w:t>
            </w:r>
          </w:p>
        </w:tc>
        <w:tc>
          <w:tcPr>
            <w:tcW w:w="75" w:type="dxa"/>
            <w:tcBorders/>
            <w:shd w:fill="CCEEFF" w:val="clear"/>
            <w:vAlign w:val="center"/>
          </w:tcPr>
          <w:p>
            <w:pPr>
              <w:pStyle w:val="TableContents"/>
              <w:bidi w:val="0"/>
              <w:spacing w:before="0" w:after="283"/>
              <w:jc w:val="left"/>
              <w:rPr/>
            </w:pPr>
            <w:r>
              <w:rPr/>
              <w:t> </w:t>
            </w:r>
            <w:bookmarkStart w:id="2110" w:name="xdx_402_eus-gaap--RevenueFromContractWit"/>
            <w:bookmarkEnd w:id="2110"/>
          </w:p>
        </w:tc>
      </w:tr>
      <w:tr>
        <w:trPr/>
        <w:tc>
          <w:tcPr>
            <w:tcW w:w="168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bookmarkStart w:id="2111" w:name="xdx_40D_eus-gaap--RevenueFromContractWit"/>
            <w:bookmarkEnd w:id="2111"/>
          </w:p>
        </w:tc>
      </w:tr>
      <w:tr>
        <w:trPr/>
        <w:tc>
          <w:tcPr>
            <w:tcW w:w="16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bookmarkStart w:id="2112" w:name="xdx_40A_eus-gaap--RevenueFromContractWit"/>
            <w:bookmarkEnd w:id="2112"/>
          </w:p>
        </w:tc>
      </w:tr>
      <w:tr>
        <w:trPr/>
        <w:tc>
          <w:tcPr>
            <w:tcW w:w="16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113" w:name="xdx_8A3_zZQjP1nioUYf"/>
      <w:bookmarkEnd w:id="2113"/>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14" w:name="xdx_803_eus-gaap--SubsequentEventsTextBl"/>
      <w:bookmarkEnd w:id="2114"/>
      <w:r>
        <w:rPr>
          <w:rFonts w:ascii="Times New Roman;Times;Serif" w:hAnsi="Times New Roman;Times;Serif"/>
          <w:b/>
          <w:i w:val="false"/>
          <w:caps w:val="false"/>
          <w:smallCaps w:val="false"/>
          <w:sz w:val="20"/>
        </w:rPr>
        <w:t xml:space="preserve">Note 21 — </w:t>
      </w:r>
      <w:bookmarkStart w:id="2115" w:name="xdx_82F_zLbM4HvaG5t5"/>
      <w:bookmarkEnd w:id="211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w:t>
      </w:r>
      <w:bookmarkStart w:id="2116" w:name="xdx_90A_eus-gaap--StockIssuedDuringPerio"/>
      <w:bookmarkEnd w:id="2116"/>
      <w:r>
        <w:rPr>
          <w:rFonts w:ascii="Times New Roman;Times;Serif" w:hAnsi="Times New Roman;Times;Serif"/>
          <w:b w:val="false"/>
          <w:i w:val="false"/>
          <w:caps w:val="false"/>
          <w:smallCaps w:val="false"/>
          <w:sz w:val="20"/>
        </w:rPr>
        <w:t>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w:t>
      </w:r>
      <w:bookmarkStart w:id="2117" w:name="xdx_90A_eus-gaap--StockIssuedDuringPerio"/>
      <w:bookmarkEnd w:id="2117"/>
      <w:r>
        <w:rPr>
          <w:rFonts w:ascii="Times New Roman;Times;Serif" w:hAnsi="Times New Roman;Times;Serif"/>
          <w:b w:val="false"/>
          <w:i w:val="false"/>
          <w:caps w:val="false"/>
          <w:smallCaps w:val="false"/>
          <w:sz w:val="20"/>
        </w:rPr>
        <w:t>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the Company entered into amendments to the PIPE Common Warrants, the Common Warrants and the Inducement Warrants, which comprise warrants to purchase an aggregate of </w:t>
      </w:r>
      <w:bookmarkStart w:id="2118" w:name="xdx_90B_eus-gaap--ClassOfWarrantOrRightO"/>
      <w:bookmarkEnd w:id="2118"/>
      <w:r>
        <w:rPr>
          <w:rFonts w:ascii="Times New Roman;Times;Serif" w:hAnsi="Times New Roman;Times;Serif"/>
          <w:b w:val="false"/>
          <w:i w:val="false"/>
          <w:caps w:val="false"/>
          <w:smallCaps w:val="false"/>
          <w:sz w:val="20"/>
        </w:rPr>
        <w:t xml:space="preserve">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w:t>
      </w:r>
      <w:bookmarkStart w:id="2119" w:name="xdx_907_eus-gaap--ClassOfWarrantOrRightN"/>
      <w:bookmarkEnd w:id="2119"/>
      <w:r>
        <w:rPr>
          <w:rFonts w:ascii="Times New Roman;Times;Serif" w:hAnsi="Times New Roman;Times;Serif"/>
          <w:b w:val="false"/>
          <w:i w:val="false"/>
          <w:caps w:val="false"/>
          <w:smallCaps w:val="false"/>
          <w:sz w:val="20"/>
        </w:rPr>
        <w:t>100,000 shares of Class A Common Stock on the same terms as the Inducement Warrant, including an exercise price of $</w:t>
      </w:r>
      <w:bookmarkStart w:id="2120" w:name="xdx_906_eus-gaap--ClassOfWarrantOrRightE"/>
      <w:bookmarkEnd w:id="2120"/>
      <w:r>
        <w:rPr>
          <w:rFonts w:ascii="Times New Roman;Times;Serif" w:hAnsi="Times New Roman;Times;Serif"/>
          <w:b w:val="false"/>
          <w:i w:val="false"/>
          <w:caps w:val="false"/>
          <w:smallCaps w:val="false"/>
          <w:sz w:val="20"/>
        </w:rPr>
        <w:t>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2025, the Company executed exchange agreements with two vendors, pursuant to which the Company issued </w:t>
      </w:r>
      <w:bookmarkStart w:id="2121" w:name="xdx_90D_eus-gaap--StockIssuedDuringPerio"/>
      <w:bookmarkEnd w:id="2121"/>
      <w:r>
        <w:rPr>
          <w:rFonts w:ascii="Times New Roman;Times;Serif" w:hAnsi="Times New Roman;Times;Serif"/>
          <w:b w:val="false"/>
          <w:i w:val="false"/>
          <w:caps w:val="false"/>
          <w:smallCaps w:val="false"/>
          <w:sz w:val="20"/>
        </w:rPr>
        <w:t>47,795 shares of its Class A Common Stock in exchange for the cancellation of $</w:t>
      </w:r>
      <w:bookmarkStart w:id="2122" w:name="xdx_907_eus-gaap--StockIssuedDuringPerio"/>
      <w:bookmarkEnd w:id="2122"/>
      <w:r>
        <w:rPr>
          <w:rFonts w:ascii="Times New Roman;Times;Serif" w:hAnsi="Times New Roman;Times;Serif"/>
          <w:b w:val="false"/>
          <w:i w:val="false"/>
          <w:caps w:val="false"/>
          <w:smallCaps w:val="false"/>
          <w:sz w:val="20"/>
        </w:rPr>
        <w:t>405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in October 2025, the Company executed an exchange agreement with the holder of a note payable, pursuant to which the Company issued </w:t>
      </w:r>
      <w:bookmarkStart w:id="2123" w:name="xdx_905_eus-gaap--StockIssuedDuringPerio"/>
      <w:bookmarkEnd w:id="2123"/>
      <w:r>
        <w:rPr>
          <w:rFonts w:ascii="Times New Roman;Times;Serif" w:hAnsi="Times New Roman;Times;Serif"/>
          <w:b w:val="false"/>
          <w:i w:val="false"/>
          <w:caps w:val="false"/>
          <w:smallCaps w:val="false"/>
          <w:sz w:val="20"/>
        </w:rPr>
        <w:t>68,789 shares of its Class A Common Stock in exchange for the cancellation of the note payable and accrued interest of $</w:t>
      </w:r>
      <w:bookmarkStart w:id="2124" w:name="xdx_90A_eus-gaap--StockIssuedDuringPerio"/>
      <w:bookmarkEnd w:id="2124"/>
      <w:r>
        <w:rPr>
          <w:rFonts w:ascii="Times New Roman;Times;Serif" w:hAnsi="Times New Roman;Times;Serif"/>
          <w:b w:val="false"/>
          <w:i w:val="false"/>
          <w:caps w:val="false"/>
          <w:smallCaps w:val="false"/>
          <w:sz w:val="20"/>
        </w:rPr>
        <w:t>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amended a note payable with an unaffiliated investor to increase the borrowings thereunder, for net proceeds of $</w:t>
      </w:r>
      <w:bookmarkStart w:id="2125" w:name="xdx_90A_eus-gaap--ProceedsFromDebtNetOfI"/>
      <w:bookmarkEnd w:id="2125"/>
      <w:r>
        <w:rPr>
          <w:rFonts w:ascii="Times New Roman;Times;Serif" w:hAnsi="Times New Roman;Times;Serif"/>
          <w:b w:val="false"/>
          <w:i w:val="false"/>
          <w:caps w:val="false"/>
          <w:smallCaps w:val="false"/>
          <w:sz w:val="20"/>
        </w:rPr>
        <w:t>112. Amounts owed under this note are payable in weekly installments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2025, the Company entered into two amended agreements for the sale of future receipts, wherein the Company sold future receipts totaling $</w:t>
      </w:r>
      <w:bookmarkStart w:id="2126" w:name="xdx_909_eus-gaap--ProceedsFromOtherShort"/>
      <w:bookmarkStart w:id="2127" w:name="xdx_90D_eus-gaap--ProceedsFromOtherShort"/>
      <w:bookmarkEnd w:id="2126"/>
      <w:bookmarkEnd w:id="2127"/>
      <w:r>
        <w:rPr>
          <w:rFonts w:ascii="Times New Roman;Times;Serif" w:hAnsi="Times New Roman;Times;Serif"/>
          <w:b w:val="false"/>
          <w:i w:val="false"/>
          <w:caps w:val="false"/>
          <w:smallCaps w:val="false"/>
          <w:sz w:val="20"/>
        </w:rPr>
        <w:t>1,966 for net proceeds of $</w:t>
      </w:r>
      <w:bookmarkStart w:id="2128" w:name="xdx_903_eus-gaap--ProceedsFromBankDebt_p"/>
      <w:bookmarkStart w:id="2129" w:name="xdx_90E_eus-gaap--ProceedsFromBankDebt_p"/>
      <w:bookmarkEnd w:id="2128"/>
      <w:bookmarkEnd w:id="2129"/>
      <w:r>
        <w:rPr>
          <w:rFonts w:ascii="Times New Roman;Times;Serif" w:hAnsi="Times New Roman;Times;Serif"/>
          <w:b w:val="false"/>
          <w:i w:val="false"/>
          <w:caps w:val="false"/>
          <w:smallCaps w:val="false"/>
          <w:sz w:val="20"/>
        </w:rPr>
        <w:t>806. Amounts owed under these agreements are payable in weekly installments through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issued a $</w:t>
      </w:r>
      <w:bookmarkStart w:id="2130" w:name="xdx_909_eus-gaap--NotesPayable_iI_pn3n3_"/>
      <w:bookmarkEnd w:id="2130"/>
      <w:r>
        <w:rPr>
          <w:rFonts w:ascii="Times New Roman;Times;Serif" w:hAnsi="Times New Roman;Times;Serif"/>
          <w:b w:val="false"/>
          <w:i w:val="false"/>
          <w:caps w:val="false"/>
          <w:smallCaps w:val="false"/>
          <w:sz w:val="20"/>
        </w:rPr>
        <w:t>1,100 promissory note for net proceeds of $</w:t>
      </w:r>
      <w:bookmarkStart w:id="2131" w:name="xdx_904_eus-gaap--ProceedsFromNotesPayab"/>
      <w:bookmarkEnd w:id="2131"/>
      <w:r>
        <w:rPr>
          <w:rFonts w:ascii="Times New Roman;Times;Serif" w:hAnsi="Times New Roman;Times;Serif"/>
          <w:b w:val="false"/>
          <w:i w:val="false"/>
          <w:caps w:val="false"/>
          <w:smallCaps w:val="false"/>
          <w:sz w:val="20"/>
        </w:rPr>
        <w:t>800. The $</w:t>
      </w:r>
      <w:bookmarkStart w:id="2132" w:name="xdx_90F_eus-gaap--DebtInstrumentFaceAmou"/>
      <w:bookmarkEnd w:id="2132"/>
      <w:r>
        <w:rPr>
          <w:rFonts w:ascii="Times New Roman;Times;Serif" w:hAnsi="Times New Roman;Times;Serif"/>
          <w:b w:val="false"/>
          <w:i w:val="false"/>
          <w:caps w:val="false"/>
          <w:smallCaps w:val="false"/>
          <w:sz w:val="20"/>
        </w:rPr>
        <w:t>1,100 principal amount of the promissory note will be payable, without interest,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6, 2026, the Company entered into certain securities purchase agreements with unrelated investors relating to a public offering of </w:t>
      </w:r>
      <w:bookmarkStart w:id="2133" w:name="xdx_902_eus-gaap--SaleOfStockNumberOfSha"/>
      <w:bookmarkEnd w:id="2133"/>
      <w:r>
        <w:rPr>
          <w:rFonts w:ascii="Times New Roman;Times;Serif" w:hAnsi="Times New Roman;Times;Serif"/>
          <w:b w:val="false"/>
          <w:i w:val="false"/>
          <w:caps w:val="false"/>
          <w:smallCaps w:val="false"/>
          <w:sz w:val="20"/>
        </w:rPr>
        <w:t>3,000,000 shares of its Class A Common Stock at a price to the public of $</w:t>
      </w:r>
      <w:bookmarkStart w:id="2134" w:name="xdx_90B_eus-gaap--SaleOfStockPricePerSha"/>
      <w:bookmarkEnd w:id="2134"/>
      <w:r>
        <w:rPr>
          <w:rFonts w:ascii="Times New Roman;Times;Serif" w:hAnsi="Times New Roman;Times;Serif"/>
          <w:b w:val="false"/>
          <w:i w:val="false"/>
          <w:caps w:val="false"/>
          <w:smallCaps w:val="false"/>
          <w:sz w:val="20"/>
        </w:rPr>
        <w:t>2.00 per share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w:t>
      </w:r>
      <w:bookmarkStart w:id="2135" w:name="xdx_90A_eus-gaap--LegalFees_pn3n3_c20260"/>
      <w:bookmarkEnd w:id="2135"/>
      <w:r>
        <w:rPr>
          <w:rFonts w:ascii="Times New Roman;Times;Serif" w:hAnsi="Times New Roman;Times;Serif"/>
          <w:b w:val="false"/>
          <w:i w:val="false"/>
          <w:caps w:val="false"/>
          <w:smallCaps w:val="false"/>
          <w:sz w:val="20"/>
        </w:rPr>
        <w:t>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w:t>
      </w:r>
      <w:bookmarkStart w:id="2136" w:name="xdx_905_eus-gaap--ProceedsFromIssuanceIn"/>
      <w:bookmarkEnd w:id="2136"/>
      <w:r>
        <w:rPr>
          <w:rFonts w:ascii="Times New Roman;Times;Serif" w:hAnsi="Times New Roman;Times;Serif"/>
          <w:b w:val="false"/>
          <w:i w:val="false"/>
          <w:caps w:val="false"/>
          <w:smallCaps w:val="false"/>
          <w:sz w:val="20"/>
        </w:rPr>
        <w:t>5,135, after deducting placement agent fees and commissions and other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pStyle w:val="TextBody"/>
        <w:bidi w:val="0"/>
        <w:spacing w:before="0" w:after="0"/>
        <w:ind w:left="0" w:right="0" w:hanging="0"/>
        <w:jc w:val="left"/>
        <w:rPr>
          <w:caps w:val="false"/>
          <w:smallCaps w:val="false"/>
        </w:rPr>
      </w:pPr>
      <w:bookmarkStart w:id="2137" w:name="xdx_81A_zLERKtUpCGm"/>
      <w:bookmarkEnd w:id="213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expected to be incurred in connection with the sale and distribution of the securities being registered hereby, other than underwriting discounts and commissions, all of which will be borne by the Company.</w:t>
      </w:r>
    </w:p>
    <w:p>
      <w:pPr>
        <w:pStyle w:val="TextBody"/>
        <w:bidi w:val="0"/>
        <w:spacing w:before="0" w:after="0"/>
        <w:ind w:left="0" w:right="0" w:firstLine="720"/>
        <w:jc w:val="left"/>
        <w:rPr>
          <w:caps w:val="false"/>
          <w:smallCaps w:val="false"/>
        </w:rPr>
      </w:pPr>
      <w:r>
        <w:rPr>
          <w:caps w:val="false"/>
          <w:smallCaps w:val="false"/>
        </w:rPr>
        <w:t> </w:t>
      </w:r>
    </w:p>
    <w:tbl>
      <w:tblPr>
        <w:tblW w:w="4205" w:type="dxa"/>
        <w:jc w:val="left"/>
        <w:tblInd w:w="0" w:type="dxa"/>
        <w:tblLayout w:type="fixed"/>
        <w:tblCellMar>
          <w:top w:w="0" w:type="dxa"/>
          <w:left w:w="0" w:type="dxa"/>
          <w:bottom w:w="0" w:type="dxa"/>
          <w:right w:w="0" w:type="dxa"/>
        </w:tblCellMar>
      </w:tblPr>
      <w:tblGrid>
        <w:gridCol w:w="2900"/>
        <w:gridCol w:w="60"/>
        <w:gridCol w:w="140"/>
        <w:gridCol w:w="950"/>
        <w:gridCol w:w="155"/>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776.81</w:t>
            </w:r>
          </w:p>
        </w:tc>
        <w:tc>
          <w:tcPr>
            <w:tcW w:w="15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155" w:type="dxa"/>
            <w:tcBorders/>
            <w:shd w:fill="CCEEFF" w:val="clear"/>
            <w:vAlign w:val="center"/>
          </w:tcPr>
          <w:p>
            <w:pPr>
              <w:pStyle w:val="TableContents"/>
              <w:bidi w:val="0"/>
              <w:spacing w:before="0" w:after="283"/>
              <w:jc w:val="left"/>
              <w:rPr/>
            </w:pPr>
            <w:r>
              <w:rPr/>
              <w:t>*</w:t>
            </w:r>
          </w:p>
        </w:tc>
      </w:tr>
      <w:tr>
        <w:trPr/>
        <w:tc>
          <w:tcPr>
            <w:tcW w:w="290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155" w:type="dxa"/>
            <w:tcBorders/>
            <w:shd w:fill="FFFFFF" w:val="clear"/>
            <w:vAlign w:val="center"/>
          </w:tcPr>
          <w:p>
            <w:pPr>
              <w:pStyle w:val="TableContents"/>
              <w:bidi w:val="0"/>
              <w:spacing w:before="0" w:after="283"/>
              <w:jc w:val="left"/>
              <w:rPr/>
            </w:pPr>
            <w:r>
              <w:rPr/>
              <w:t>*</w:t>
            </w:r>
          </w:p>
        </w:tc>
      </w:tr>
      <w:tr>
        <w:trPr/>
        <w:tc>
          <w:tcPr>
            <w:tcW w:w="290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120,776.81</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fees are estimates and accordingly are subject to change.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Charter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the DGCL and the Bylaws.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list sets forth information as to all of our securities sold in the last three years that were not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entered into a subscription agreement (the “Sage Hill PIPE Subscription Agreement”) with Sage Hill Investors, LLC (“Sage Hill”),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a resale registration statement is declared effective (the “Adjustment Period VWAP”) is less than $100.00 per share. In such case, Sage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Our stockholders approved the exercise of the Sage Hill Warrant at the special meeting held on January 3, 2025 and was exercised on February 25, 2025.</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equal to the product of (x) the number of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Mobix Labs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under the heading “</w:t>
      </w:r>
      <w:r>
        <w:rPr>
          <w:rFonts w:ascii="Times New Roman;Times;Serif" w:hAnsi="Times New Roman;Times;Serif"/>
          <w:b w:val="false"/>
          <w:i/>
          <w:caps w:val="false"/>
          <w:smallCaps w:val="false"/>
          <w:sz w:val="20"/>
        </w:rPr>
        <w:t>Certain Chavant Relationships and Related Person Transactions - Administrative Services</w:t>
      </w:r>
      <w:r>
        <w:rPr>
          <w:rFonts w:ascii="Times New Roman;Times;Serif" w:hAnsi="Times New Roman;Times;Serif"/>
          <w:b w:val="false"/>
          <w:i w:val="false"/>
          <w:caps w:val="false"/>
          <w:smallCaps w:val="false"/>
          <w:sz w:val="20"/>
        </w:rPr>
        <w:t>”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has distributed these Founder Shares to its members, subject to the Founder Share Lock-Up. In such distributions, (1) Chavant Family Office, a controlled affiliate of Dr. Ma, received 72,460 representing Founder Shares, and (2) STAR SCI, a controlled affiliate of Dr. André-Jacques Auberton-Hervé, Chavant’s Chairman, received 19,758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these PIPE Shares to its members in April 2024. In such distribution, (1) Chavant Family Office, a controlled affiliate of Dr. Ma, is expected to receive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is expected to receive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PIPE Subscription Agreements and Additional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21, 2023, Chavant had entered into additional subscription agreements (the “Additional PIPE Subscription Agreements and, together with the Sage Hill PIPE Subscription Agreement and the Sponsor PIPE Subscription Agreement, the “PIPE Subscription Agreements”) with other investors (the “Other Investors”), pursuant to which the Other Investors agreed to purchase, in private placements that closed substantially concurrently with the Closing, a total of 47,500 shares of Class A Common Stock in cash at a price of $100.00 per share for an aggregate purchase price of $4,750,000, on the terms and subject to the conditions set forth in each such Additional PIPE Subscription Agreement. The terms of each Additional PIPE Subscription Agreement (other than the purchase amount) are substantially similar to those in the subscription agreement entered into between Chavant and Sage Hill and the Sponsor, including those relating to issuance of additional shares of Class A Common Stock in the event that the Adjustment Period VWAP is less than $100.00,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Additional PIPE Subscription Agreements, Mobix Labs issued to the Other Investors warrants to purchase 45,000 shares of Mobix Labs Stock at an exercise price of $0.10 per share (the “Additional Warrants”), of which Additional Warrants convertible into 19,980 shares of Class A Common Stock (following net settlement) were exercisable upon the closing of the Additional PIPE Subscription Agreements (the “Converted Additional Warrants”) and Additional Warrants convertible into 25,000 shares of Class A Common Stock are exercisable upon the closing of the Additional PIPE Subscription Agreements and stockholder approval (the “Non-Converted Additional Warrants”; the shares of Class A Common Stock underlying the Non-Converted Additional Warrants and the Sage Hill Warrant, the “Unregistered Warrant Shares”). The Converted Additional Warrants were exercised at the closing of the Additional PIPE Subscription Agreements and, following net settlement into 19,980 shares of Mobix Common Stock, converted into 19,980 shares of Class A Common Stock in connection with the Closing. The Non-Converted Warrants remain outstanding, and stockholder approval for the exercise of the Non-Converted Warrants is expected to be obtained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or will issue, the foregoing securities under Section 4(a)(2) of the Securities Act of 1933, as amended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Under the Committed Equity Facility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2024, we entered into the B. Riley Purchase Agreement with B. Riley Principal Capital, pursuant to which we have the right to sell to B. Riley Principal Capital up to $100 million in shares of Class A Common Stock, subject to certain limitations and the satisfaction of specified conditions in the B. Riley Purchase Agreement, from time to time over the 24-month period commencing on the date that a registration statement covering the resale of the shares is declared effective by the SEC. Such registration statement, which registered 950,000 shares of Class A Common Stock, became effective on May 13, 2024. As of the date of this prospectus, we sold 3,636 shares of our Class A Common Stock to B. Riley Principal Capital for proceeds of $73, net of discounts. We intend to use the net proceeds for general corporate purposes, including funding capital expenditures, future acquisitions and working capital. The issuance of the shares was deemed to be exempt from registration under the Securities Act, in reliance on Section 4(a)(2) of the Securities Act as transactions by an issuer not involving a public offering.</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RaGE Systems Inc.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consummated the transactions pursuant to the RaGE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we issued 321,404 shares of Class A Common Stock to the RaGE Systems stockholders. In addition, RaGE Systems stockholders will be paid an aggregate cash amount of $2.0 million as follows: (a) $0.2 million was paid on May 21, 2024; (b) $1.0 million will be paid on November 15, 2024 and (c) $0.8 million will be paid on April 15, 2025. Moreover, subject to achievement of certain milestones, the RaGE Systems stockholders will also be entitled to receive the RaGE EarnOut of up to $8.0 million over eight fiscal quarters in a combination of cash and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we issued 464,952 earnout shares shares in connection with our acquisition of RaGE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will be issued pursuant to and in accordance with the exemption from registration under the Securities Act of 1933, as amended, provided by Section 4(a)(2) thereof as a transaction by an issuer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Confidential Settlement and Release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2024, we entered into a Confidential Settlement and Release Agreement pursuant to which we issued 2,499 shares of Class A Common Stock to a former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Shares were issued pursuant to and in accordance with the exemption from registration under the Securities Act of 1933, as amended, provided by Section 4(a)(2) thereof as a transaction by an issuer not involving any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the July 2024 Purchase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2024, we entered into the July 2024 Purchase Agreement with Master Fund in connection with the 2024 Private Placement. Pursuant to the July 2024 Purchase Agreement, we issued the Pre-Funded Warrant to purchase up to 287,769 shares of Class A Common Stock. We also issued the Existing Warrants to purchase an aggregate of 575,539 shares of our Class A Common Stock. In August 2024, the Master Fund exercised the Pre-Funded Warrant in full and hence has now expired. The Existing Warrants had an original exercise price of $13.90 per share, which was amended in the 2025 Offering to have a new exercise price of $8.20. The Existing Warrants are exercisable beginning on the effective date of stockholder approval of the issuance of the shares of Class A Common Stock issuable upon exercise of the Existing Warrants. The gross proceeds in connection with the 2024 Private Placement was approximately $4 million. The Pre-Funded Warrants and the Existing Warrants and the shares of Class A Common Stock issuable thereunder were issued in reliance upon the exemption from the registration requirements in Section 4(a)(2) of the Securities Act, and Regulation D promulgated thereunder and HCW acted as the exclusive placement agent for the Company in connection with the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under the Stock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30, 2024, we entered into a Stock Purchase Agreement with an unaffiliated investor, pursuant to which we sold 37,641 shares of our Class A Common Stock and issued the investor a warrant to purchase up to 40,700 shares of our Class A Common Stock. The warrant has an exercise price of $11.80, is immediately exercisable upon issuance, and has a five year term. The gross proceeds in connection with this Stock Purchase Agreement were $192. The shares of our Class A Common Stock, the warrants and the shares of Class A Common Stock issuable thereunder were issued in reliance upon the exemption from the registration requirements in Section 4(a)(2) of the Securities Act, and Regulation D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settlement of litigation, on October 11, 2024, we agreed to issue a warrant to purchase 25,000 shares of Class A Common Stock to a former employee. Such warrants have an exercise price of $0.10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25, 2024 and December 20, 2024, we agreed that two outstanding notes payable with an aggregate principal balance of $500,000, plus accrued interest of $45,896, would be converted into an aggregate of 631,805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2024, we agreed to issue 4,000 shares of Class A Common Stock to two of our vendors in exchange for services rendered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2024, we agreed to sell 52,173 shares of Class A Common Stock to an accredited investor for an aggregate of $600,000.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we issued 24,818 shares of Class A Common Stock to one of the holders of our outstanding warrants upon that holder’s exercise pursuant to a cashless exercise provision. The warrant had an exercise price of $0.10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 2025, we issued 56,310 shares of Class A Common Stock to RaGE Systems stockholders under the first tranche of the RaGE Earnout.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issued 1,000 shares of Class A Common Stock upon the vesting of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2025, we issued 150,000 shares of Class A Common Stock to one of the holders of our outstanding warrants upon the exercise of warrant for cash of $15,000.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an aggregate of 61,058 shares of Class A Common Stock, with (i) 7,723 shares issued on January 25, 2025, (ii) 3,335 shares issued on March 17, 2025, and (iii) 50,000 shares issued on March 21, 2025, to three of our vendors in settlement of unpaid accounts payable of $700,000.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of shares under the April 2025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concurrent with the Registered Direct Offering, the Company conducted a private placement and offered unregistered Common Warrants to purchase up to 487,686 shares of Company’s Class A Common Stock. Roth acted as the exclusive placement agent for the Company in connection with the 2025 Offering. Furthermore, the Company agreed to issue Placement Agent Warrants to Roth (or its designees) to purchase up to 68,276 shares of Class A Common Stock at an exercise price of $8.20. The Placement Agent Warrants issued to Roth are exercisable upon receipt of stockholder approval, will expire on April 4, 2030, and are not transferable for 180 days beginning April 4, 2025 (the date of entering into the April 2025 Purchase Agreement). The net proceeds from the 2025 Offering were $3.2 million, after payment of Roth’s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and Placement Agent Warrants issued to Roth and the shares of Class A Common Stock issuable thereunder were issued in reliance upon the exemption from the registration requirements provided in Section 4(a)(2) under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we issued 29,700 shares of Class A Common Stock to one of the holders of our outstanding warrants upon that holder’s exercise pursuant to a cashless exercise provision. The warrant had an exercise price of $0.10 per share. No underwriting discounts and commissions were paid with respect to the foregoing transaction. We believe the sales and issuances of the above securities were exempt from registration under the Securities Act by virtue of Section 3(a)(9) of the Securities Act because the warrants were exercised pursuant to a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2025 Debt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we issued 16,687 shares of Class A Common Stock to one of our creditors in exchange for satisfaction of the Company’s debt owed to such creditor in the amount of $115,500. On May 9, 2025, we issued 7,970 shares of Class A Common Stock to RaGE Systems stockholders as partial settlement of liability under the RaGE Earnout.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 Half of 2025 Financings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we entered into a Securities Purchase Agreement with Lendspark Corporation, pursuant to which it issued a secured promissory note (the “Lendspark Note”) in the principal amount of $550,000. The Note bears a fixed annual interest rate and matures 12 months from issuance. As part of the financing, the Company issued 15,000 shares of Class A Common Stock as commitment shares, granted customary registration rights, and provided a first-priority security interest in substantially all of our assets, subject to permitted liens. The Note is convertible at the option of Lendspark, into up to 250,000 shares of our Class A Common Stock at a fixed conversion price of $7.00 per share. In addition, the Note contains “make-whole” provisions that require us to issue a limited number of additional shares or make cash payments under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2025, we also entered into a Business Loan and Security Agreement with Maximcash Solutions LLC (“Maxim”), pursuant to which the Company received $600,000 of loan proceeds secured by all of our assets. In connection with this financing, we issued 19,375 shares of Class A Common Stock as commitment shares and issued 150,000 shares of Class A Common Stock to Maxim which were pledged as additional collateral, which may only be utilized by Maxim in the event of default. Maxim was also granted customary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we entered into a Stock Purchase Agreement with an accredited investor for the sale of 105,272 shares of Class A Common Stock at a price of $9.50 per share, resulting in gross proceeds of approximately $1.0 million. The investor also received a warrant to purchase 50,004 shares of Class A Common Stock at $9.60 per share, which is exercisable for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a warrant holder pursuant to which the holder agreed to exercise for cash previously issued warrants to purchase up to 548,646 shares of our common stock at a price of $8.20 per share, resulting in gross proceeds of approximately $4.5 million. In consideration for the exercise, the holder received inducement warrants to purchase up to 822,970 shares of our common stock at $10.80 per share, which are exercisable for five years following stockholder approval. Roth Capital Partners acted as our financial advisor and received a cash placement fee equal to 7.0% of the gross proceeds, as well as warrants to purchase up to 38,405 shares of our common stock at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October 24, 2025, we issued an additional warrant to purchase 100,000 shares of Class A Common Stock to the Master Fund as consideration for revising certain terms of the Armistice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October 15, 2025 through October 23, 2025, we issued an aggregate of 116,284 shares of Class A Common Stock to three of our creditors in exchange for satisfaction of the Company’s debt owed to such creditors in the aggregate amount of $916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2025, we issued 35,000 shares of Class A Common Stock to an accredited investor in exchange for advisory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December 15, 2025, we issued 2,500 shares of Class A Common Stock in connection with the settlement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in exchange for satisfaction of the Company’s debt owed to such creditors in the aggregate amount of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entered into two securities purchase agreements providing for the issuance of convertible notes. The agreements were entered into on February 23, 2026 and March 16, 2026, respectively, and provided for bridge promissory notes with an aggregate principal amount of $554 thousand, aggregate original issue discount of $72 thousand, aggregate purchase price of $482 thousand, and one-time interest charges of 12%. These bridge notes mature on December 30, 2026 and January 15, 2027, respectively, and require aggregate scheduled payments of $621 thousand. The promissory notes are convertible into shares of our Class A Common Stock at the election of the holder at a conversion price equal to 75% multiplied by the lowest trading price of the Class A Common Stock during the 10 trading days prior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(the “Securities Purchase Agreement”) with Leviston Resources, LLC (“Leviston”), pursuant to which we agreed to issue a convertible promissory note. The $3 million principal amount of the promissory note was payable with interest in July 2026. We used the net proceeds from the sale of the Promissory Note for working capital and general corporate purposes. The promissory note bears an interest rate of 10% per annum. </w:t>
      </w:r>
      <w:r>
        <w:rPr>
          <w:rFonts w:ascii="Times New Roman;Times;Serif" w:hAnsi="Times New Roman;Times;Serif"/>
          <w:b w:val="false"/>
          <w:i w:val="false"/>
          <w:caps w:val="false"/>
          <w:smallCaps w:val="false"/>
          <w:sz w:val="20"/>
          <w:shd w:fill="FFFFFF" w:val="clear"/>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agreed to issue 488,506 shares of Class A Common Stock to Rocket in exchange for satisfaction of a portion of the debt owed to them in the amount of $850 thousand. On June 8, 2026 we agreed to issue 344,431 shares to Rocket in satisfaction of the remaining debt owed to them in the amount of $779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final exchange and release agreement with Fuji West Funding, LLC, pursuant to which issued 375,005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the Investor Rights Agreement (the “Investor Rights Agreement”) that grants Leviston the right, but not the obligation, to acquire, over a seven-month period, additional secured convertible notes of up to $4 million in aggregate principal amount on terms substantially similar to the Promissory Note and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basis.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May 12, 2026 and May 18, 2026, Leviston converted the entire $4.0 million of outstanding principal under the Promissory Note, as amended, together with all accrued interest thereon, into an aggregate of 2,500,000 shares of Class A Common Stock, satisfying the promissory note in full. The issuance of the shares of Class A Common Stock was exempt from registration under Section 3(a)(9) of the Securities Act. Any shares issuable pursuant to the Investor Rights Agreement upon conversion of additional secured convertible notes will be effected in reliance upon Section 3(a)(9) of the Securities Act.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we issued to Leviston an additional senior secured convertible promissory note in the original principal amount of $1.2 million, for gross proceeds to us of approximately $1 million. On June 22, 2026, we entered into an amendment to the Investor Rights Agreement, pursuant to which we issued an additional senior secured convertible promissory note with a principal amount of $2.8 million in favor of Leviston. On August 28, 2026, we entered into an amendment to the securities purchase agreement entered into on March 31, 2026 with Leviston, pursuant to which we issued an additional senior secured convertible promissory note with a principal amount of $1.2 million in favor of Leviston. </w:t>
      </w:r>
      <w:r>
        <w:rPr>
          <w:rFonts w:ascii="Times New Roman;Times;Serif" w:hAnsi="Times New Roman;Times;Serif"/>
          <w:b w:val="false"/>
          <w:i w:val="false"/>
          <w:caps w:val="false"/>
          <w:smallCaps w:val="false"/>
          <w:color w:val="212529"/>
          <w:sz w:val="20"/>
        </w:rPr>
        <w:t>We intend to use any proceeds from the additional notes for working capital and general corporate purposes</w:t>
      </w:r>
      <w:r>
        <w:rPr>
          <w:rFonts w:ascii="Times New Roman;Times;Serif" w:hAnsi="Times New Roman;Times;Serif"/>
          <w:b w:val="false"/>
          <w:i w:val="false"/>
          <w:caps w:val="false"/>
          <w:smallCaps w:val="false"/>
          <w:sz w:val="20"/>
        </w:rPr>
        <w:t xml:space="preserve"> Any shares issuable upon conversion of the additional secured convertible notes will be effected in reliance upon Section 3(a)(9) of the Securities Act.</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 million and (ii) the May 2026 Preferred Warrant to purchase up to an additional 6,000 Preferred Shares at an exercise price of $1,000 per share. Dividends are payable in cash, or at our option, in additional shares of Series A Preferred Stock. The Preferred Shares are convertible into shares of our Class A Common Stock at a conversion price equal to 82% of the lowest 8-day VWAP of the Class A Common Stock, immediately prior to and including the conversion date, subject to adjustments provided in the Certificate of Designation of Preferences, Rights and Limitations of Series A 10% Convertible Preferred Stock, including for stock dividends, stock splits, subsequent equity sales and similar events. The Preferred Warrant is exercisable beginning May 19, 2026 and expires no later than twelve months thereafter.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at an exercise price of $1,000 per share. The additional shares of Series A Preferred Stock issued pursuant to this transaction are subject to the same terms as those shares issued pursuant to the May 2026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we issued 585,365 shares to Kips upon conversion of 1,000 shares of Series A 10% Convertible Preferred Stock at a conversion price of $2.05. On August 13, 2026, Kips converted 1,000 shares of Series A 10% Convertible Preferred Stock into 585,365 shares of Class A Common Stock at a conversion price of $2.05. The issuance of the shares of Class A Common Stock was exempt from registration under Section 3(a)(9) of the Securities Act.</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$150,000 of outstanding principal and accrued interest into 126,957 shares of Class A Common Stock at a conversion price of $1.18 per share. The issuance of the shares of Class A Common Stock was exempt from registration under Section 3(a)(9) of the Securities Act.</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a definitive merger agreement to acquire Vision Aerial, Inc. for (i) a number of shares of the Company’s Class A common stock equal to $12 million divided by the Rollover Share Price (as defined below) and (ii) $3,000,000 cash, subject to customary post-closing purchase price adjustments and indemnification holdbacks. The Rollover Share Price is equal to the volume-weighted average price per share of the Class A common stock for the 20 trading days ending on (and including) the third trading day preceding the closing of the transaction, provided the Rollover Share Price shall not be less than $2.00 nor greater than $3.00 (subject to adjustment for any stock split, stock dividend, recapitalization or similar event). No shares will be issued unless and until our stockholders approve the issuance under Nasdaq Listing Rule 5635, and the closing is subject to that approval and other customary conditions.</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w:t>
      </w:r>
    </w:p>
    <w:p>
      <w:pPr>
        <w:pStyle w:val="TextBody"/>
        <w:shd w:fill="FFFFFF" w:val="clear"/>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issuances of shares will be effected in reliance upon exemptions from registration under the Securities Act, including Section 4(a)(2) thereof and Rule 506(b) of Regulation 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we entered into a settlement agreement and mutual release pursuant to which we issued 49,702 shares to Green Flash Media LLC and 21,565 shares to Wolff Moscaro LLP in connection with the settlement of litigation.</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"https://www.sec.gov/Archives/edgar/data/1855467/000110465923116469/clay-20230630xs4a.htm" \l "AnnexA1_255698"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Business Combination Agreement, dated as of November 15, 2022, by and among Chavant, Merger Sub and Mobix Labs, Inc. (included as Annex A-1 to the proxy statement/prospectus, which is a part of the Company’s Registration Statement on Form S-4 filed on November 13, 2023, and incorporated herein by reference).</w:t>
            </w:r>
            <w:r>
              <w:rPr>
                <w:rStyle w:val="InternetLink"/>
                <w:smallCaps w:val="false"/>
                <w:caps w:val="false"/>
                <w:sz w:val="20"/>
                <w:i w:val="false"/>
                <w:b w:val="false"/>
                <w:rFonts w:ascii="Times New Roman;Times;Serif" w:hAnsi="Times New Roman;Times;Serif"/>
              </w:rPr>
              <w:fldChar w:fldCharType="end"/>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"https://www.sec.gov/Archives/edgar/data/1855467/000110465923116469/clay-20230630xs4a.htm" \l "AnnexA2_688945"</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No. 1 to the Business Combination Agreement, dated as of April 7, 2023, by and among Chavant, Merger Sub and Mobix Labs, Inc. (included as Annex A-2 to the proxy statement/prospectus, which is a part of the Company’s Registration Statement on Form S-4 filed on November 13, 2023, and incorporated herein by reference).</w:t>
            </w:r>
            <w:r>
              <w:rPr>
                <w:rStyle w:val="InternetLink"/>
                <w:smallCaps w:val="false"/>
                <w:caps w:val="false"/>
                <w:sz w:val="20"/>
                <w:i w:val="false"/>
                <w:b w:val="false"/>
                <w:rFonts w:ascii="Times New Roman;Times;Serif" w:hAnsi="Times New Roman;Times;Serif"/>
              </w:rPr>
              <w:fldChar w:fldCharType="end"/>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No. 2 to the Business Combination Agreement, dated as of November 26, 2023, by and among Chavant, Merger Sub and Mobix Labs, Inc. (incorporated by reference to Exhibit 2.1 to Chavant’s Current Report on Form 8-K filed on November 30,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Amendment No. 3 to the Business Combination Agreement, dated as of February 12, 2024, by and among Mobix Labs, Inc. and Mobix Labs Operations, Inc. (incorporated by reference to Exhibit 2.4 to the Registrant’s Registration Statement on Form S-1 (File No. 333.278451), filed with the SEC on April 2,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Agreement and Plan of Merger, dated as of September 26, 2022, by and among Mobix Labs, Inc., Mobix Merger Sub I, Inc., Mobix Merger Sub II, LLC, EMI Solutions, Inc., Yden Holdings, LLC, Robert Ydens and Julie Ydens (incorporated by reference to Exhibit 2.4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Amendment No. 1 to the Agreement and Plan of Merger, dated as of November 28, 2023, by and among Mobix Labs, Inc., Mobix Merger Sub I, Inc., Mobix Merger Sub II, LLC, EMI Solutions, Inc., Yden Holdings, LLC, Robert Ydens and Julie Ydens (incorporated by reference to Exhibit 2.5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Incorporation of the Company (incorporated by reference to Exhibit 3.1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of Certificate of Incorporation (incorporated by reference to Exhibit 3.2 of the Registrant’s Registration Statement on Form S-1 (File No. 333-278451), filed with the SEC on April 2,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Bylaws of Mobix Labs, Inc. (incorporated by reference to Exhibit 3.2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Specimen Class A Common Stock Certificate (incorporated by reference to Exhibit 4.1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Specimen Warrant Certificate (incorporated by reference to Exhibit 4.2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Warrant Agreement, dated July 19, 2021, by and between Chavant and Continental Stock Transfer &amp; Trust Company, as warrant agent (incorporated by reference to Exhibit 4.1 to Chavant’s Current Report on Form 8-K filed on July 23, 2021).</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Amendment to the Warrant Agreement, dated December 21, 2023, by and between Chavant and Continental Stock Transfer &amp; Trust Company, as warrant agent (incorporated by reference to Exhibit 4.4 to Mobix Labs, Inc.’s Current Report on Form 8-K filed on December 28, 2023).</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Pre-Funded Warrant, dated July 24, 2024 (incorporated by reference to Exhibit 4.1 to Mobix Labs, Inc.’s Current Report on Form 8-K filed on July 24,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Placement Agent Warrant, dated July 24, 2024 (incorporated by reference to Exhibit 4.4 to Mobix Labs, Inc.’s Current Report on Form 8-K filed on July 24, 2024).</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Pre-Funded Warrant, dated April 7, 2025 (incorporated by reference to Exhibit 4.2 to Mobix Labs, Inc.’s Current Report on Form 8-K filed on April 7, 2025).</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Placement Agent Warrant, dated April 7, 2025 (incorporated by reference to Exhibit 4.3 to Mobix Labs, Inc.’s Current Report on Form 8-K filed on April 7,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
        <w:gridCol w:w="60"/>
        <w:gridCol w:w="9613"/>
      </w:tblGrid>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Form of Placement Agent Warrant (incorporated by reference to Exhibit 4.3 to Mobix Labs, Inc.’s Current Report on Form 8-K filed on September 4,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Form of Accredited Investor Warrant (incorporated by reference to Exhibit 4.15 to the Registrant’s Amendment No. 1 to the Registrant’s Registration Statement on Form S-1 (File No. 333-287493), filed with the SEC on October 14,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Amended and Restated Series A Warrant (incorporated by reference to Exhibit 4.1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Amended and Restated Series B Warrant (incorporated by reference to Exhibit 4.2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Amended and Restated Common Warrant (incorporated by reference to Exhibit 4.13 to Mobix Labs, Inc.’s Annual Report on Form 10-K filed on January 13,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Amended and Restated Inducement Warrant (incorporated by reference to Exhibit 4.4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Warrant (incorporated by reference to Exhibit 4.5 to Mobix Labs, Inc.’s Current Report on Form 8-K filed on October 30, 2025).</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Description of Securities (incorporated by reference to Exhibit 4.9 to Mobix Labs, Inc.’s Annual Report on Form 10-K filed on December 26, 2024).</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Senior Secured Convertible Promissory Note in favor of Leviston Resources, LLC dated as of March 31, 2026 (incorporated by reference to Exhibit 4.17 to the Registrant’s Registration Statement on Form S-1 (File No. 333-295357), filed with the SEC on April 27,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First Amendment to Securities Purchase Agreement and Senior Secured Convertible Promissory Note in favor of Leviston Resources, LLC dated as of May 13, 2026 (incorporated by reference to Exhibit 4.2 of Mobix Labs, Inc.’s Quarterly Report on Form 10-Q filed on May 20,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Preferred Stock Purchase Warrant, dated May 19, 2026, in favor of Kips Bay Select, LP (incorporated by reference to Exhibit 4.3 of Mobix Labs, Inc.’s Quarterly Report on Form 10-Q filed on May 20,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Preferred Stock Purchase Warrant, dated August 28, 2026, in favor of Kips Bay Select, LP (incorporated by reference to Exhibit 4.2 of Mobix Labs, Inc.’s Current Report on Form 8-K filed on August 28,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Certificate of Designation of Series A 10% Convertible Preferred Stock (incorporated by reference to Exhibit 4.20 to the Registrant’s Registration Statement on Form S-1 (File No. 333-296928) filed with the SEC on June 22,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Amended and Restated Senior Secured Convertible Promissory Note in favor of Leviston Resources, LLC dated as of June 22, 2026 (incorporated by reference to Exhibit 4.1 of Mobix Labs, Inc.’s Current Report on Form 8-K filed on June 26,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Senior Secured Convertible Promissory Note in favor of Leviston Resources, LLC dated as of August 28, 2026 (incorporated by reference to Exhibit 4.1 of Mobix Labs, Inc.’s Current Report on Form 8-K filed on August 28, 2026).</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Greenberg Traurig, P.A. as to the validity of shares of Mobix Labs, Inc. Class A Common Stock.</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Letter Agreement, dated July 19, 2021, by and among Chavant, its executive officers, its directors, Roth Capital Partners, LLC, Craig-Hallum Capital Group LLC and their respective permitted designees and Chavant Capital Partners LLC (incorporated by reference to Exhibit 10.1 to Chavant’s Current Report on Form 8-K filed on July 23, 2021).</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Amended and Restated Registration Rights and Lock-Up Agreement, dated December 21, 2023, by and among Mobix Labs, Inc. and the other parties thereto (incorporated by reference to Exhibit 10.2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Indemnification Agreement (incorporated by reference to Exhibit 10.3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Mobix Labs, Inc. 2023 Equity Incentive Plan (incorporated by reference to Exhibit 10.4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Mobix Labs, Inc. 2023 Employee Stock Purchase Plan (incorporated by reference to Exhibit 10.5 to Mobix Labs, Inc.’s Current Report on Form 8-K filed on December 28, 2023).</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Amended and Restated Executive Employment Agreement between Fabrizio Battaglia and Mobix Labs, Inc. (included as Exhibit 10.14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Amended and Restated Executive Employment Term Sheet between Fabrizio Battaglia and Mobix Labs, Inc. (included as Exhibit 10.15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Executive Employment Agreement between Keyvan Samini and Mobix Labs, Inc. (included as Exhibit 10.16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Amended and Restated Executive Employment Term Sheet between Keyvan Samini and Mobix Labs, Inc. (included as Exhibit 10.17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Employment Agreement between James Aralis and Mobix Labs, Inc. (included as Exhibit 10.18 to the proxy statement/prospectus, which is a part of the Company’s Registration Statement on Form S-4 filed on November 13, 2023, and incorporated herein by reference).</w:t>
              </w:r>
            </w:hyperlink>
          </w:p>
        </w:tc>
      </w:tr>
      <w:tr>
        <w:trPr/>
        <w:tc>
          <w:tcPr>
            <w:tcW w:w="5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3"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Cancellation and Termination Agreement between Mobix Labs, Inc. and certain RSU holders (included as Exhibit 10.20 to the proxy statement/prospectus, which is a part of the Company’s Registration Statement on Form S-4 filed on November 13, 2023,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
        <w:gridCol w:w="60"/>
        <w:gridCol w:w="9611"/>
      </w:tblGrid>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Board of Directors Agreement, dated March 12, 2021, between Mobix Labs, Inc. and Kurt Busch (included as Exhibit 10.21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Board of Directors Agreement, dated March 12, 2021, between Mobix Labs, Inc. and William Carpou (included as Exhibit 10.22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Board of Directors Agreement, dated March 2, 2021, between Mobix Labs, Inc. and David Aldrich (included as Exhibit 10.23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Board of Directors Agreement, dated February 1, 2021, between Mobix Labs, Inc. and James Peterson (included as Exhibit 10.24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Board of Directors Agreement, dated February 1, 2021, between Mobix Labs, Inc. and Frederick Goerner (included as Exhibit 10.25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First Amendment to Board of Directors Agreement, dated March 26, 2023, between Mobix Labs, Inc. and James Peterson (included as Exhibit 10.26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First Amendment to Board of Directors Agreement, dated March 26, 2023, between Mobix Labs, Inc. and Frederick Goerner (included as Exhibit 10.27 to the proxy statement/prospectus, which is a part of the Company’s Registration Statement on Form S-4 filed on November 13, 2023, and incorporated herein by reference).</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Subscription Agreement, effective as of December 18, 2023, by and among Chavant Capital Acquisition Corp., Mobix Labs, Inc. and Sage Hill Investors, LLC (incorporated by reference to Exhibit 10.1 to Chavant’s Current Report on Form 8-K filed on December 19,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Warrant to Purchase Shares of Common Stock, dated December 14, 2023, by and between Mobix Labs, Inc. and Sage Hill Investors, LLC (incorporated by reference to Exhibit 10.2 to Chavant’s Current Report on Form 8-K filed on December 19,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Subscription Agreement, dated December 19, 2023, by and among Chavant Capital Acquisition Corp., Mobix Labs, Inc. and Chavant Capital Partners LLC (incorporated by reference to Exhibit 10.1 to Mobix Labs, Inc.’s Current Report on Form 8-K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Warrant to Purchase Shares of Common Stock, dated December 20, 2023, by and between Mobix Labs, Inc. and Chavant Capital Partners LLC (incorporated by reference to Exhibit 10.2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Sponsor Letter Agreement, dated December 20, 2023, by and among Chavant Capital Acquisition Corp., Mobix Labs, Inc. and Chavant Capital Partners (incorporated by reference to Exhibit 10.3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Additional PIPE Subscription Agreement (incorporated by reference to Exhibit 10.4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Converted Additional Warrant to Purchase Shares of Common Stock of Mobix Labs, Inc. (incorporated by reference to Exhibit 10.5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Non-Converted Additional Warrant to Purchase Shares of Common Stock of Mobix Labs, Inc. (incorporated by reference to Exhibit 10.6 to Mobix Labs, Inc.’s Current Report on Form 8-K filed on December 26, 2023).</w:t>
              </w:r>
            </w:hyperlink>
          </w:p>
        </w:tc>
      </w:tr>
      <w:tr>
        <w:trPr/>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11"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Non-Redemption Agreement, dated December 20, 2023, by and among Chavant Capital Acquisition Corp., Mobix Labs, Inc. and a shareholder of Chavant (incorporated by reference to Exhibit 10.7 to Mobix Labs, Inc.’s Current Report on Form 8-K filed on December 26,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
        <w:gridCol w:w="60"/>
        <w:gridCol w:w="9608"/>
      </w:tblGrid>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Non-Redemption Warrant, dated December 20, 2023, between Mobix Labs, Inc. and a shareholder of Chavant (incorporated by reference to Exhibit 10.8 to Mobix Labs, Inc.’s Current Report on Form 8-K filed on December 26, 2023).</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Amendment to Business Combination Marketing Agreement, dated December 21, 2023, by and among Chavant, Roth Capital Partners, LLC and Craig-Hallum Capital Group LLC (incorporated by reference to Exhibit 10.29 to Mobix Labs, Inc.’s Current Report on Form 8-K filed on December 28, 2023).</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Common Stock Purchase Agreement, dated as of March 18, 2024, by and between Mobix Labs, Inc. and B. Riley Principal Capital II, LLC (incorporated by reference to Exhibit 10.1 to Mobix Labs, Inc.’s Current Report on Form 8-K filed on March 19,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Registration Rights Agreement, dated as of March 18, 2024, by and between Mobix Labs, Inc. and B. Riley Principal Capital II, LLC (incorporated by reference to Exhibit 10.2 to Mobix Labs, Inc.’s Current Report on Form 8-K filed on March 19,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Business Combination Agreement, dated as of May 8, 2024, by and among Mobix Labs, Inc, RaGE Systems, Inc and Mobix Merger Sub III, LLC (incorporated by reference to Exhibit 99.1 to Mobix Labs, Inc.’s Current Report on Form 8-K filed on May 14,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Securities Purchase Agreement, dated as of July 22, 2024 (incorporated by reference to Exhibit 10.1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Registration Rights Agreement, dated as of July 22, 2024 (incorporated by reference to Exhibit 10.2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Lock-Up Agreement, dated as of July 24, 2024 (incorporated by reference to Exhibit 10.3 to Mobix Labs, Inc.’s Current Report on Form 8-K filed on July 24, 2024).</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Placement Agency Agreement, dated as of April 4, 2025 (incorporated by reference to Exhibit 10.1 to Mobix Labs, Inc.’s Current Report on Form 8-K filed on April 7,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Securities Purchase Agreement, dated as of April 4, 2025 (incorporated by reference to Exhibit 10.2 to Mobix Labs, Inc.’s Current Report on Form 8-K filed on April 7,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Amended and Restated Restricted Stock Unit Award Agreement by and between Mobix Labs, Inc. and James Peterson dated as of April 11, 2025 (incorporated by reference to Exhibit 10.1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Amended and Restated Restricted Stock Unit Award Agreement by and between Mobix Labs, Inc. and Frederick Goerner dated as of April 11, 2025 (incorporated by reference to Exhibit 10.2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Restricted Stock Unit Award Agreement by and between Mobix Labs, Inc. and David Aldrich dated as of April 10, 2025 (incorporated by reference to Exhibit 99.3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Restricted Stock Unit Award Agreement by and between Mobix Labs, Inc. and Kurt Busch dated as of April 10, 2025 (incorporated by reference to Exhibit 99.4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Restricted Stock Unit Award Agreement by and between Mobix Labs, Inc. and William Carpou dated as of April 10, 2025 (incorporated by reference to Exhibit 99.5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Amended and Restated Restricted Stock Award Agreement by and between Mobix Labs, Inc. and Fabrizio Battaglia dated as of May 5, 2025 (incorporated by reference to Exhibit 10.6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Amended and Restated Restricted Stock Award Agreement by and between Mobix Labs, Inc. and Keyvan Samini dated as of May 5, 2025 (incorporated by reference to Exhibit 10.7 to Mobix Labs, Inc.’s Quarterly Report on Form 10-Q filed on May 15,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2023 Equity Incentive Plan (As Amended) (incorporated by reference to Exhibit 99.11 of the Registrant’s Registration Statement on Form S-8 (File No. 333-286200), filed with the SEC on March 28,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Retirement and Release Agreement, by and among Mobix Labs, Inc. and Fabrizio Battaglia, dated as of July 25, 2025 (incorporated by reference to Exhibit 10.46 to the Registrant’s Amendment No. 1 to the Registrant’s Registration on Form S-1).</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Form of Inducement Letter (incorporated by reference to Exhibit 10.1 to Mobix Labs, Inc.’s Current Report on Form 8-K filed on September 4, 2025).</w:t>
              </w:r>
            </w:hyperlink>
          </w:p>
        </w:tc>
      </w:tr>
      <w:tr>
        <w:trPr/>
        <w:tc>
          <w:tcPr>
            <w:tcW w:w="5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08"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Senior Secured Promissory Note in favor of Lendspark Corporation, dated as of August 13, 2025 (incorporated by reference to Exhibit 10.48 to the Registrant’s Amendment No. 1 to the Registrant’s Registration Statement on Form S-1 (File No. 333-287493), filed with the SEC on October 14, 2025).</w:t>
              </w:r>
            </w:hyperlink>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60"/>
        <w:gridCol w:w="9510"/>
      </w:tblGrid>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Securities Purchase Agreement, by and between Mobix Labs, Inc. and Lendspark Corporation, dated as of August 13, 2025 (incorporated by reference to Exhibit 10.49 to the Registrant’s Amendment No. 1 to the Registrant’s Registration Statement on Form S-1 (File No. 333-287493), filed with the SEC on October 14, 2025).</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Business Loan and Security Agreement, by and between Mobix Labs, Inc. and Maximcash Solutions LLC, dated as August 13, 2025 (incorporated by reference to Exhibit 10.50 to the Registrant’s Amendment No. 1 to the Registrant’s Registration Statement on Form S-1 (File No. 333-287493), filed with the SEC on October 14, 2025).</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Stock Pledge Agreement, by and between Mobix Labs, Inc. and Maximcash Solutions LLC, dated as August 13, 2025 (incorporated by reference to Exhibit 10.51 to the Registrant’s Amendment No. 1 to the Registrant’s Registration Statement on Form S-1 (File No. 333-287493), filed with the SEC on October 14, 2025).</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Stock Purchase Agreement, by and between Mobix Labs, Inc. and Charles William Jacobson, dated as of August 15, 2025 (incorporated by reference to Exhibit 10.52 to the Registrant’s Amendment No. 1 to the Registrant’s Registration Statement on Form S-1 (File No. 333-287493), filed with the SEC on October 14, 2025).</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Side Letter, by and between Mobix Labs, Inc. and Maximcash Solutions LLC, dated as of September 2, 2025 (incorporated by reference to Exhibit 10.53 to the Registrant’s Amendment No. 1 to the Registrant’s Registration Statement on Form S-1 (File No. 333-287493), filed with the SEC on October 14, 2025).</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Form of Placement Agency Agreement (incorporated by reference to Exhibit 10.1 to Mobix Labs, Inc.’s Current Report on Form 8-K filed on January 7,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Form of Purchase Agreement (incorporated by reference to Exhibit 10.2 to Mobix Labs, Inc.’s Current Report on Form 8-K filed on January 7,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Form of Lock-Up Agreement (incorporated by reference to Exhibit 10.3 to Mobix Labs, Inc.’s Current Report on Form 8-K filed on January 7,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Securities Purchase Agreement, by and between Mobix Labs, Inc and Leviston Resources, LLC, dated as of March 31, 2026 (incorporated by reference to Exhibit 10.57 to the Registrant’s Registration Statement on Form S-1 (File No. 333-295357), filed with the SEC on April 27,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Registration Rights Agreement by and between Mobix Labs, Inc and Leviston Resources, LLC, dated as of March 31, 2026 (incorporated by reference to Exhibit 10.58 to the Registrant’s Registration Statement on Form S-1 (File No. 333-295357), filed with the SEC on April 27, 2026).</w:t>
              </w:r>
            </w:hyperlink>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10.59</w:t>
            </w:r>
          </w:p>
        </w:tc>
        <w:tc>
          <w:tcPr>
            <w:tcW w:w="6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both"/>
              <w:rPr/>
            </w:pPr>
            <w:hyperlink r:id="rId91">
              <w:r>
                <w:rPr>
                  <w:rStyle w:val="InternetLink"/>
                  <w:rFonts w:ascii="Times New Roman;Times;Serif" w:hAnsi="Times New Roman;Times;Serif"/>
                  <w:sz w:val="20"/>
                </w:rPr>
                <w:t>Investor Rights Agreement by and between Mobix Labs, Inc. and Leviston Resources, LLC, dated as of May 13, 2026 (incorporated by reference to Exhibit 10.3 of Mobix Labs, Inc.’s Quarterly Report on Form 10-Q filed on May 20, 2026).</w:t>
              </w:r>
            </w:hyperlink>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10.60</w:t>
            </w:r>
          </w:p>
        </w:tc>
        <w:tc>
          <w:tcPr>
            <w:tcW w:w="6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both"/>
              <w:rPr/>
            </w:pPr>
            <w:hyperlink r:id="rId92">
              <w:r>
                <w:rPr>
                  <w:rStyle w:val="InternetLink"/>
                  <w:rFonts w:ascii="Times New Roman;Times;Serif" w:hAnsi="Times New Roman;Times;Serif"/>
                  <w:sz w:val="20"/>
                </w:rPr>
                <w:t>Securities Purchase Agreement, dated May 19, 2026, by and between Mobix Labs, Inc. and Kips Bay Select, LP (incorporated by reference to Exhibit 10.4 of Mobix Labs, Inc.’s Quarterly Report on Form 10-Q filed on May 20, 2026).</w:t>
              </w:r>
            </w:hyperlink>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10.61</w:t>
            </w:r>
          </w:p>
        </w:tc>
        <w:tc>
          <w:tcPr>
            <w:tcW w:w="6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both"/>
              <w:rPr/>
            </w:pPr>
            <w:hyperlink r:id="rId93">
              <w:r>
                <w:rPr>
                  <w:rStyle w:val="InternetLink"/>
                  <w:rFonts w:ascii="Times New Roman;Times;Serif" w:hAnsi="Times New Roman;Times;Serif"/>
                  <w:sz w:val="20"/>
                </w:rPr>
                <w:t>Registration Rights Agreement, dated May 19, 2026 by and between Mobix Labs, Inc. and Kips Bay Select, LP (incorporated by reference to Exhibit 10.5 of Mobix Labs, Inc.’s Quarterly Report on Form 10-Q filed on May 20, 2026).</w:t>
              </w:r>
            </w:hyperlink>
          </w:p>
        </w:tc>
      </w:tr>
      <w:tr>
        <w:trPr/>
        <w:tc>
          <w:tcPr>
            <w:tcW w:w="635" w:type="dxa"/>
            <w:tcBorders/>
            <w:vAlign w:val="center"/>
          </w:tcPr>
          <w:p>
            <w:pPr>
              <w:pStyle w:val="TableContents"/>
              <w:bidi w:val="0"/>
              <w:spacing w:before="0" w:after="283"/>
              <w:jc w:val="left"/>
              <w:rPr/>
            </w:pPr>
            <w:r>
              <w:rPr/>
              <w:t>10.62</w:t>
            </w:r>
          </w:p>
        </w:tc>
        <w:tc>
          <w:tcPr>
            <w:tcW w:w="6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both"/>
              <w:rPr/>
            </w:pPr>
            <w:hyperlink r:id="rId94">
              <w:r>
                <w:rPr>
                  <w:rStyle w:val="InternetLink"/>
                </w:rPr>
                <w:t>Amendment No. 1 to Registration Rights Agreement, dated June 18, 2026 by and between Mobix Labs, Inc. and Kips Bay Select, LP (incorporated by reference to Exhibit 10.62 to the Registrant’s Registration Statement on Form S-1 (No. 333-296928), filed on June 22, 2026).</w:t>
              </w:r>
            </w:hyperlink>
          </w:p>
        </w:tc>
      </w:tr>
      <w:tr>
        <w:trPr/>
        <w:tc>
          <w:tcPr>
            <w:tcW w:w="635" w:type="dxa"/>
            <w:tcBorders/>
            <w:vAlign w:val="center"/>
          </w:tcPr>
          <w:p>
            <w:pPr>
              <w:pStyle w:val="TableContents"/>
              <w:bidi w:val="0"/>
              <w:spacing w:before="0" w:after="283"/>
              <w:jc w:val="left"/>
              <w:rPr/>
            </w:pPr>
            <w:r>
              <w:rPr/>
              <w:t>10.63</w:t>
            </w:r>
          </w:p>
        </w:tc>
        <w:tc>
          <w:tcPr>
            <w:tcW w:w="60" w:type="dxa"/>
            <w:tcBorders/>
            <w:vAlign w:val="center"/>
          </w:tcPr>
          <w:p>
            <w:pPr>
              <w:pStyle w:val="TableContents"/>
              <w:bidi w:val="0"/>
              <w:spacing w:before="0" w:after="283"/>
              <w:jc w:val="left"/>
              <w:rPr/>
            </w:pPr>
            <w:r>
              <w:rPr/>
              <w:t> </w:t>
            </w:r>
          </w:p>
        </w:tc>
        <w:tc>
          <w:tcPr>
            <w:tcW w:w="9510" w:type="dxa"/>
            <w:tcBorders/>
            <w:vAlign w:val="center"/>
          </w:tcPr>
          <w:p>
            <w:pPr>
              <w:pStyle w:val="TableContents"/>
              <w:bidi w:val="0"/>
              <w:spacing w:before="0" w:after="283"/>
              <w:jc w:val="both"/>
              <w:rPr/>
            </w:pPr>
            <w:hyperlink r:id="rId95">
              <w:r>
                <w:rPr>
                  <w:rStyle w:val="InternetLink"/>
                </w:rPr>
                <w:t>Second Amendment to Registration Rights Agreement, by and between Mobix Labs, Inc. and Leviston Resources, LLC, dated as of June 22, 2026 (incorporated by reference to Exhibit 10.1 of Mobix Labs, Inc.’s Current Report on Form 8-K filed on June 26,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Agreement and Plan of Merger dated July 24, 2026 by and between Mobix Labs, Inc., Mobix Merger Sub X, Inc., Mobix Merger Sub XI, LLC, Vision Aerial, Inc. and the shareholder representative named therein (incorporated by reference to Exhibit 10.1 to the Company’s Quarterly Report on Form 10-Q filed on August 18,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Agreement and Plan of Merger dated August 13, 2026 by and between Mobix Labs, Inc., Mobix Merger Sub XIV, Inc., Mobix Merger Sub XV, LLC, Special Project Delivery, Inc. and the shareholder representative named therein (incorporated by reference to Exhibit 10.7 to the Company’s Quarterly Report on Form 10-Q filed on August 18,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Amendment No. 2 to Registration Rights Agreement, by and between Mobix Labs, Inc. and Kips Bay Select, LP, dated as of August 28, 2026 (incorporated by reference to Exhibit 10.5 of Mobix Labs, Inc.’s Current Report on Form 8-K filed on August 28,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rPr>
                <w:t>Amendment No. 2 to Securities Purchase Agreement, by and between Mobix Labs, Inc. and Kips Bay Select, LP, dated as of August 28, 2026 (incorporated by reference to Exhibit 10.4 of Mobix Labs, Inc.’s Current Report on Form 8-K filed on August 28,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100">
              <w:r>
                <w:rPr>
                  <w:rStyle w:val="InternetLink"/>
                  <w:rFonts w:ascii="Times New Roman;Times;Serif" w:hAnsi="Times New Roman;Times;Serif"/>
                  <w:b w:val="false"/>
                  <w:i w:val="false"/>
                  <w:caps w:val="false"/>
                  <w:smallCaps w:val="false"/>
                  <w:sz w:val="20"/>
                </w:rPr>
                <w:t>Third Amendment to Securities Purchase Agreement, by and between Mobix Labs, Inc. and Leviston Resources, LLC, dated as of August 28, 2026 (incorporated by reference to Exhibit 10.2 of Mobix Labs, Inc.’s Current Report on Form 8-K filed on August 28,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rPr>
                <w:t>Third Amendment to Registration Rights Agreement, by and between Mobix Labs, Inc. and Leviston Resources, LLC, dated as of August 28, 2026 (incorporated by reference to Exhibit 10.1 of Mobix Labs, Inc.’s Current Report on Form 8-K filed on August 28,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102">
              <w:r>
                <w:rPr>
                  <w:rStyle w:val="InternetLink"/>
                  <w:rFonts w:ascii="Times New Roman;Times;Serif" w:hAnsi="Times New Roman;Times;Serif"/>
                  <w:b w:val="false"/>
                  <w:i w:val="false"/>
                  <w:caps w:val="false"/>
                  <w:smallCaps w:val="false"/>
                  <w:sz w:val="20"/>
                </w:rPr>
                <w:t>Investor Rights Agreement, by and between Mobix Labs, Inc. and Leviston Resources, LLC, dated as of August 28, 2026 (incorporated by reference to Exhibit 10.3 of Mobix Labs, Inc.’s Current Report on Form 8-K filed on August 28,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r:id="rId103">
              <w:r>
                <w:rPr>
                  <w:rStyle w:val="InternetLink"/>
                  <w:rFonts w:ascii="Times New Roman;Times;Serif" w:hAnsi="Times New Roman;Times;Serif"/>
                  <w:b w:val="false"/>
                  <w:i w:val="false"/>
                  <w:caps w:val="false"/>
                  <w:smallCaps w:val="false"/>
                  <w:sz w:val="20"/>
                </w:rPr>
                <w:t>List of Subsidiaries (incorporated by reference to Exhibit 21.1 to Mobix Labs, Inc.’s Annual Report on Form 10-K filed on January 13, 2026).</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PricewaterhouseCoopers LLP, independent registered public accounting firm for Mobix Labs, Inc.</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Greenberg Traurig P.A. (included as part of Exhibit 5.1).</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w:anchor="poa_2">
              <w:r>
                <w:rPr>
                  <w:rStyle w:val="InternetLink"/>
                  <w:rFonts w:ascii="Times New Roman;Times;Serif" w:hAnsi="Times New Roman;Times;Serif"/>
                  <w:b w:val="false"/>
                  <w:i w:val="false"/>
                  <w:caps w:val="false"/>
                  <w:smallCaps w:val="false"/>
                  <w:sz w:val="20"/>
                </w:rPr>
                <w:t>Power of Attorney (contained on the signature page of the registration statement).</w:t>
              </w:r>
            </w:hyperlink>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contained in Exhibit 101).</w:t>
            </w:r>
          </w:p>
        </w:tc>
      </w:tr>
      <w:tr>
        <w:trPr/>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0"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 contract or arrangement.</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registrant agrees to furnish supplementally a copy of any omitted schedule or exhibit to the U.S. Securities and Exchange Commission upon request.</w:t>
            </w:r>
          </w:p>
        </w:tc>
      </w:tr>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portions of this exhibit, indicated by brackets and asterisks, have been omitted because they (i) are not material and (ii) are the type that the Company treats as private or confidential.</w:t>
            </w:r>
          </w:p>
        </w:tc>
      </w:tr>
    </w:tbl>
    <w:p>
      <w:pPr>
        <w:pStyle w:val="TextBody"/>
        <w:bidi w:val="0"/>
        <w:spacing w:before="0" w:after="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an undersigned registrant; and</w:t>
            </w:r>
          </w:p>
        </w:tc>
      </w:tr>
    </w:tbl>
    <w:p>
      <w:pPr>
        <w:pStyle w:val="TextBody"/>
        <w:bidi w:val="0"/>
        <w:spacing w:before="0" w:after="0"/>
        <w:ind w:left="2160" w:right="0" w:hanging="72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245"/>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Irvine, State of California, on August 28, 2026.</w:t>
      </w:r>
    </w:p>
    <w:p>
      <w:pPr>
        <w:pStyle w:val="TextBody"/>
        <w:bidi w:val="0"/>
        <w:spacing w:before="0" w:after="0"/>
        <w:ind w:left="0" w:right="0" w:firstLine="72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Sansone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138" w:name="poa_2"/>
      <w:bookmarkEnd w:id="2138"/>
      <w:r>
        <w:rPr>
          <w:rFonts w:ascii="Times New Roman;Times;Serif" w:hAnsi="Times New Roman;Times;Serif"/>
          <w:b/>
          <w:i w:val="false"/>
          <w:caps/>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Philip Sansone and Keyvan Samini,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firstLine="720"/>
        <w:jc w:val="left"/>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1790"/>
        <w:gridCol w:w="60"/>
        <w:gridCol w:w="5180"/>
        <w:gridCol w:w="60"/>
        <w:gridCol w:w="1385"/>
      </w:tblGrid>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Philip Sansone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Financial Officer and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Peterson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Aldrich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Kurt Busch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Carpou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Frederick Goerner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Long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tbl>
      <w:tblPr>
        <w:tblW w:w="2780" w:type="dxa"/>
        <w:jc w:val="left"/>
        <w:tblInd w:w="0" w:type="dxa"/>
        <w:tblLayout w:type="fixed"/>
        <w:tblCellMar>
          <w:top w:w="0" w:type="dxa"/>
          <w:left w:w="0" w:type="dxa"/>
          <w:bottom w:w="28" w:type="dxa"/>
          <w:right w:w="0" w:type="dxa"/>
        </w:tblCellMar>
      </w:tblPr>
      <w:tblGrid>
        <w:gridCol w:w="2525"/>
        <w:gridCol w:w="60"/>
        <w:gridCol w:w="60"/>
        <w:gridCol w:w="60"/>
        <w:gridCol w:w="75"/>
      </w:tblGrid>
      <w:tr>
        <w:trPr/>
        <w:tc>
          <w:tcPr>
            <w:tcW w:w="252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5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power of attorney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39" w:name="ex5-1.htm"/>
      <w:bookmarkStart w:id="2140" w:name="ksex51"/>
      <w:bookmarkEnd w:id="2139"/>
      <w:bookmarkEnd w:id="21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8003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4"/>
                    <a:stretch>
                      <a:fillRect/>
                    </a:stretch>
                  </pic:blipFill>
                  <pic:spPr bwMode="auto">
                    <a:xfrm>
                      <a:off x="0" y="0"/>
                      <a:ext cx="2800350" cy="457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Venture,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220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92618</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w:t>
            </w:r>
          </w:p>
        </w:tc>
      </w:tr>
      <w:tr>
        <w:trPr/>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S-1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Mobix Labs,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of the Registration Statement on Form S-1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including the related prospectus contained therein and forming a part thereof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Registration Statement relates to the offer and resale by the selling securityholders named therein of up to 5,000,000 shares of the Company’s Class A common stock, par value $0.00001 per share (the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xml:space="preserve"> issuable to an investor upon the conversion of 1,000 shares of Series A 10% Convertible Preferred Stock and 6,000 shares of Series A 10% Convertible Preferred Stock issuable upon exercise of a Preferred Stock Purchase Warrant (the “</w:t>
      </w:r>
      <w:r>
        <w:rPr>
          <w:rFonts w:ascii="Times New Roman;Times;Serif" w:hAnsi="Times New Roman;Times;Serif"/>
          <w:b w:val="false"/>
          <w:i w:val="false"/>
          <w:caps w:val="false"/>
          <w:smallCaps w:val="false"/>
          <w:sz w:val="20"/>
          <w:u w:val="single"/>
        </w:rPr>
        <w:t>Preferred Warrant</w:t>
      </w:r>
      <w:r>
        <w:rPr>
          <w:rFonts w:ascii="Times New Roman;Times;Serif" w:hAnsi="Times New Roman;Times;Serif"/>
          <w:b w:val="false"/>
          <w:i w:val="false"/>
          <w:caps w:val="false"/>
          <w:smallCaps w:val="false"/>
          <w:sz w:val="20"/>
        </w:rPr>
        <w:t>”), (the shares of Class A Common Stock issuable upon conversion of the Series A 10% Convertible Preferred stock issued and underlying the Preferred Warrant, the “</w:t>
      </w:r>
      <w:r>
        <w:rPr>
          <w:rFonts w:ascii="Times New Roman;Times;Serif" w:hAnsi="Times New Roman;Times;Serif"/>
          <w:b w:val="false"/>
          <w:i w:val="false"/>
          <w:caps w:val="false"/>
          <w:smallCaps w:val="false"/>
          <w:sz w:val="20"/>
          <w:u w:val="single"/>
        </w:rPr>
        <w:t>Preferred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are referred to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below, we have reviewed such certificates, corporate and public records, agreements and instruments and other documents, including, among other things, the documents delivered in connection with the issuance of the Securities as of the date hereof, as we have deemed appropriate as a basis for the opinions expressed below. In all such examinations we have assumed the genuineness of all signatures, the authenticity of all documents, agreements and instruments submitted to us as originals, the conformity to original documents, agreements and instruments of all documents, agreements and instruments submitted to us as copies or specimens, the authenticity of the originals of such documents, agreements and instruments submitted to us as copies or specimens, the conformity of the text of each document filed with the Commission through the Commission’s Electronic Data Gathering, Analysis and Retrieval System to the printed document reviewed by us, the accuracy of the matters set forth in the documents, agreements and instruments we reviewed, and that such documents, agreements and instruments evidence the entire understanding between the parties thereto and have not been amended, modified or supplemented in any manner material to the opinions expressed herein. As to matters of fact relevant to the opinions expressed herein, we have relied upon, and assumed the accuracy of, the representations and warranties contained in the Registration Statement, and we have relied upon certificates and oral or written statements and other information obtained from the Company, the other parties to the transactions referenced herein, and public officials. Except as expressly set forth herein, we have not undertaken any independent investigation (including, without limitation, conducting any review, search or investigation of any public files, records or dockets) to determine the existence or absence of the facts that are material to our opinions, and no inference as to our knowledge concerning such facts should be drawn from our reliance on the representations of the Company and others in connection with the preparation and delivery of this letter.</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(x) the legal capacity of all natural persons and (y) (except to the extent expressly opined on herein) that all documents, agreements and instruments have been duly authorized, executed and delivered by all parties thereto, other than the Company, that all such parties are validly existing and in good standing under the laws of their respective jurisdictions of organization, that all such parties had the power and legal right to execute and deliver all such documents, agreements and instruments, and that such documents, agreements and instruments constitute the legal, valid and binding obligations of such parties, enforceable against such parties in accordance with their respective terms.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concerning the laws of any jurisdiction other than the federal laws of the United States of America, and the General Corporation Law of the State of Delaware, including the applicable provisions of the Delaware Constitution and the reported judicial decisions interpreting such law, in each case as currently in effect.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Preferred Shares have been duly authorized, and when issued and delivered upon the valid conversion of the Series A 10% Convertible Preferred Stock in accordance with its Certificate of Designation, the Preferred Shares will be validly issued, fully paid and non-assessable..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addition, we consent to the reference to our name under the caption “Legal Matters” in the Registration Statement. In giving this consent, we do not admit that we are in the category of persons whose consent is required under Section 7 of the Securities Act. In addition, we disclaim any obligation to update this letter or communicate with or advise you as to any changes in fact or law, or otherwise.</w:t>
      </w:r>
    </w:p>
    <w:p>
      <w:pPr>
        <w:pStyle w:val="TextBody"/>
        <w:bidi w:val="0"/>
        <w:spacing w:before="0" w:after="0"/>
        <w:ind w:left="0" w:right="0" w:hanging="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2195"/>
        <w:gridCol w:w="75"/>
      </w:tblGrid>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Greenberg Traurig,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41" w:name="ex23-1.htm"/>
      <w:bookmarkStart w:id="2142" w:name="ksex231"/>
      <w:bookmarkEnd w:id="2141"/>
      <w:bookmarkEnd w:id="21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in this Registration Statement on Form S-1 of Mobix Labs, Inc. of our report dated January 12, 2026, except for the effects of the reverse stock split discussed in Note 21 to the consolidated financial statements, as to which the date is April 27, 2026, relating to the financial statements of Mobix Labs, Inc., which appears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Irvine, California</w:t>
        <w:br/>
        <w:t>August 28,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43" w:name="ex107.htm"/>
      <w:bookmarkStart w:id="2144" w:name="ksex107"/>
      <w:bookmarkStart w:id="2145" w:name="ex107.htm"/>
      <w:bookmarkStart w:id="2146" w:name="ksex107"/>
      <w:bookmarkEnd w:id="2145"/>
      <w:bookmarkEnd w:id="2146"/>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MOBIX LABS,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29" w:type="dxa"/>
        <w:jc w:val="left"/>
        <w:tblInd w:w="0" w:type="dxa"/>
        <w:tblLayout w:type="fixed"/>
        <w:tblCellMar>
          <w:top w:w="28" w:type="dxa"/>
          <w:left w:w="28" w:type="dxa"/>
          <w:bottom w:w="28" w:type="dxa"/>
          <w:right w:w="28" w:type="dxa"/>
        </w:tblCellMar>
      </w:tblPr>
      <w:tblGrid>
        <w:gridCol w:w="1126"/>
        <w:gridCol w:w="226"/>
        <w:gridCol w:w="946"/>
        <w:gridCol w:w="1006"/>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0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06" w:type="dxa"/>
            <w:tcBorders/>
            <w:shd w:fill="E7E7E2" w:val="clear"/>
            <w:vAlign w:val="center"/>
          </w:tcPr>
          <w:p>
            <w:pPr>
              <w:pStyle w:val="TableContents"/>
              <w:bidi w:val="0"/>
              <w:spacing w:before="0" w:after="283"/>
              <w:jc w:val="left"/>
              <w:rPr/>
            </w:pPr>
            <w:r>
              <w:rPr/>
              <w:t xml:space="preserve">Class A common stock, par value $0.00001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5,000,000 </w:t>
            </w:r>
          </w:p>
        </w:tc>
        <w:tc>
          <w:tcPr>
            <w:tcW w:w="1156" w:type="dxa"/>
            <w:tcBorders/>
            <w:shd w:fill="E7E7E2" w:val="clear"/>
            <w:vAlign w:val="center"/>
          </w:tcPr>
          <w:p>
            <w:pPr>
              <w:pStyle w:val="TableContents"/>
              <w:bidi w:val="0"/>
              <w:spacing w:before="0" w:after="283"/>
              <w:jc w:val="right"/>
              <w:rPr/>
            </w:pPr>
            <w:r>
              <w:rPr/>
              <w:t xml:space="preserve">$ 1.125 </w:t>
            </w:r>
          </w:p>
        </w:tc>
        <w:tc>
          <w:tcPr>
            <w:tcW w:w="1546" w:type="dxa"/>
            <w:tcBorders/>
            <w:shd w:fill="E7E7E2" w:val="clear"/>
            <w:vAlign w:val="center"/>
          </w:tcPr>
          <w:p>
            <w:pPr>
              <w:pStyle w:val="TableContents"/>
              <w:bidi w:val="0"/>
              <w:spacing w:before="0" w:after="283"/>
              <w:jc w:val="right"/>
              <w:rPr/>
            </w:pPr>
            <w:r>
              <w:rPr/>
              <w:t xml:space="preserve">$ 5,625,000.00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$ 776.81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147" w:name="MaxAggtOfferingPrice"/>
            <w:bookmarkEnd w:id="2147"/>
            <w:r>
              <w:rPr/>
              <w:t xml:space="preserve">$ 5,625,000.00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148" w:name="TotalFeeAmt"/>
            <w:bookmarkEnd w:id="2148"/>
            <w:r>
              <w:rPr/>
              <w:t xml:space="preserve">$ 776.81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49" w:name="TotalPreviouslyPaidAmt"/>
            <w:bookmarkEnd w:id="214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50" w:name="TotalOffsetAmt"/>
            <w:bookmarkEnd w:id="215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6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151" w:name="NetFeeAmt"/>
            <w:bookmarkEnd w:id="2151"/>
            <w:r>
              <w:rPr/>
              <w:t xml:space="preserve">$ 776.81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2"/>
        <w:gridCol w:w="8708"/>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Pursuant to Rule 416(a) under the Securities Act of 1933, as amended (the "Securities Act"), this registration statement shall be deemed to cover any additional securities to be offered or issued from stock splits, stock dividends or similar transactions with respect to the shares being registered. The proposed maximum offering price per unit is estimated solely for purposes of calculating the registration fee according to Rule 457(c) under the Securities Act based on the average of the high and low prices of the registrant's Class A Common Stock quoted on The Nasdaq Capital Market on August 27,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55467/000110465923122449/tm2331792d1_ex2-1.htm" TargetMode="External"/><Relationship Id="rId4" Type="http://schemas.openxmlformats.org/officeDocument/2006/relationships/hyperlink" Target="https://www.sec.gov/Archives/edgar/data/1855467/000121390024029035/ea020156601ex2-4_mobix.htm" TargetMode="External"/><Relationship Id="rId5" Type="http://schemas.openxmlformats.org/officeDocument/2006/relationships/hyperlink" Target="https://www.sec.gov/Archives/edgar/data/1855467/000110465923130104/tm2333672d1_ex2-4.htm" TargetMode="External"/><Relationship Id="rId6" Type="http://schemas.openxmlformats.org/officeDocument/2006/relationships/hyperlink" Target="https://www.sec.gov/Archives/edgar/data/1855467/000110465923130104/tm2333672d1_ex2-5.htm" TargetMode="External"/><Relationship Id="rId7" Type="http://schemas.openxmlformats.org/officeDocument/2006/relationships/hyperlink" Target="https://www.sec.gov/Archives/edgar/data/1855467/000110465923130104/tm2333672d1_ex3-1.htm" TargetMode="External"/><Relationship Id="rId8" Type="http://schemas.openxmlformats.org/officeDocument/2006/relationships/hyperlink" Target="https://www.sec.gov/Archives/edgar/data/1855467/000121390024029035/ea020156601ex3-2_mobix.htm" TargetMode="External"/><Relationship Id="rId9" Type="http://schemas.openxmlformats.org/officeDocument/2006/relationships/hyperlink" Target="https://www.sec.gov/Archives/edgar/data/1855467/000110465923130104/tm2333672d1_ex3-2.htm" TargetMode="External"/><Relationship Id="rId10" Type="http://schemas.openxmlformats.org/officeDocument/2006/relationships/hyperlink" Target="https://www.sec.gov/Archives/edgar/data/1855467/000110465923130104/tm2333672d1_ex4-1.htm" TargetMode="External"/><Relationship Id="rId11" Type="http://schemas.openxmlformats.org/officeDocument/2006/relationships/hyperlink" Target="https://www.sec.gov/Archives/edgar/data/1855467/000110465923130104/tm2333672d1_ex4-2.htm" TargetMode="External"/><Relationship Id="rId12" Type="http://schemas.openxmlformats.org/officeDocument/2006/relationships/hyperlink" Target="https://www.sec.gov/Archives/edgar/data/1855467/000110465921095311/tm2112269d9_ex4-1.htm" TargetMode="External"/><Relationship Id="rId13" Type="http://schemas.openxmlformats.org/officeDocument/2006/relationships/hyperlink" Target="https://www.sec.gov/Archives/edgar/data/1855467/000110465923130104/tm2333672d1_ex4-4.htm" TargetMode="External"/><Relationship Id="rId14" Type="http://schemas.openxmlformats.org/officeDocument/2006/relationships/hyperlink" Target="https://www.sec.gov/Archives/edgar/data/1855467/000101376224000772/ea020989801ex4-1_mobix.htm" TargetMode="External"/><Relationship Id="rId15" Type="http://schemas.openxmlformats.org/officeDocument/2006/relationships/hyperlink" Target="https://www.sec.gov/Archives/edgar/data/1855467/000101376224000772/ea020989801ex4-4_mobix.htm" TargetMode="External"/><Relationship Id="rId16" Type="http://schemas.openxmlformats.org/officeDocument/2006/relationships/hyperlink" Target="https://www.sec.gov/Archives/edgar/data/1855467/000164117225002885/ex4-2.htm" TargetMode="External"/><Relationship Id="rId17" Type="http://schemas.openxmlformats.org/officeDocument/2006/relationships/hyperlink" Target="https://www.sec.gov/Archives/edgar/data/1855467/000164117225002885/ex4-3.htm" TargetMode="External"/><Relationship Id="rId18" Type="http://schemas.openxmlformats.org/officeDocument/2006/relationships/hyperlink" Target="https://www.sec.gov/Archives/edgar/data/1855467/000149315225012596/ex4-3.htm" TargetMode="External"/><Relationship Id="rId19" Type="http://schemas.openxmlformats.org/officeDocument/2006/relationships/hyperlink" Target="https://www.sec.gov/Archives/edgar/data/1855467/000149315225017858/ex4-15.htm" TargetMode="External"/><Relationship Id="rId20" Type="http://schemas.openxmlformats.org/officeDocument/2006/relationships/hyperlink" Target="https://www.sec.gov/Archives/edgar/data/1855467/000149315225020249/ex4-1.htm" TargetMode="External"/><Relationship Id="rId21" Type="http://schemas.openxmlformats.org/officeDocument/2006/relationships/hyperlink" Target="https://www.sec.gov/Archives/edgar/data/1855467/000149315225020249/ex4-2.htm" TargetMode="External"/><Relationship Id="rId22" Type="http://schemas.openxmlformats.org/officeDocument/2006/relationships/hyperlink" Target="https://www.sec.gov/Archives/edgar/data/1855467/000149315226001921/ex4-13.htm" TargetMode="External"/><Relationship Id="rId23" Type="http://schemas.openxmlformats.org/officeDocument/2006/relationships/hyperlink" Target="https://www.sec.gov/Archives/edgar/data/1855467/000149315225020249/ex4-4.htm" TargetMode="External"/><Relationship Id="rId24" Type="http://schemas.openxmlformats.org/officeDocument/2006/relationships/hyperlink" Target="https://www.sec.gov/Archives/edgar/data/1855467/000149315225020249/ex4-5.htm" TargetMode="External"/><Relationship Id="rId25" Type="http://schemas.openxmlformats.org/officeDocument/2006/relationships/hyperlink" Target="https://www.sec.gov/Archives/edgar/data/1855467/000149315224051917/ex4-9.htm" TargetMode="External"/><Relationship Id="rId26" Type="http://schemas.openxmlformats.org/officeDocument/2006/relationships/hyperlink" Target="https://www.sec.gov/Archives/edgar/data/1855467/000149315226019180/ex4-17.htm" TargetMode="External"/><Relationship Id="rId27" Type="http://schemas.openxmlformats.org/officeDocument/2006/relationships/hyperlink" Target="https://www.sec.gov/Archives/edgar/data/1855467/000149315226024661/ex4-2.htm" TargetMode="External"/><Relationship Id="rId28" Type="http://schemas.openxmlformats.org/officeDocument/2006/relationships/hyperlink" Target="https://www.sec.gov/Archives/edgar/data/1855467/000149315226024661/ex4-3.htm" TargetMode="External"/><Relationship Id="rId29" Type="http://schemas.openxmlformats.org/officeDocument/2006/relationships/hyperlink" Target="https://www.sec.gov/Archives/edgar/data/1855467/000149315226040658/ex4-2.htm" TargetMode="External"/><Relationship Id="rId30" Type="http://schemas.openxmlformats.org/officeDocument/2006/relationships/hyperlink" Target="https://www.sec.gov/Archives/edgar/data/1855467/000149315226029436/ex4-20.htm" TargetMode="External"/><Relationship Id="rId31" Type="http://schemas.openxmlformats.org/officeDocument/2006/relationships/hyperlink" Target="https://www.sec.gov/Archives/edgar/data/1855467/000149315226030338/ex4-1.htm" TargetMode="External"/><Relationship Id="rId32" Type="http://schemas.openxmlformats.org/officeDocument/2006/relationships/hyperlink" Target="https://www.sec.gov/Archives/edgar/data/1855467/000149315226040658/ex4-1.htm" TargetMode="External"/><Relationship Id="rId33" Type="http://schemas.openxmlformats.org/officeDocument/2006/relationships/hyperlink" Target="https://www.sec.gov/Archives/edgar/data/1855467/000110465921095311/tm2112269d9_ex10-1.htm" TargetMode="External"/><Relationship Id="rId34" Type="http://schemas.openxmlformats.org/officeDocument/2006/relationships/hyperlink" Target="https://www.sec.gov/Archives/edgar/data/1855467/000110465923130104/tm2333672d1_ex10-2.htm" TargetMode="External"/><Relationship Id="rId35" Type="http://schemas.openxmlformats.org/officeDocument/2006/relationships/hyperlink" Target="https://www.sec.gov/Archives/edgar/data/1855467/000110465923130104/tm2333672d1_ex10-3.htm" TargetMode="External"/><Relationship Id="rId36" Type="http://schemas.openxmlformats.org/officeDocument/2006/relationships/hyperlink" Target="https://www.sec.gov/Archives/edgar/data/1855467/000110465923130104/tm2333672d1_ex10-4.htm" TargetMode="External"/><Relationship Id="rId37" Type="http://schemas.openxmlformats.org/officeDocument/2006/relationships/hyperlink" Target="https://www.sec.gov/Archives/edgar/data/1855467/000110465923130104/tm2333672d1_ex10-5.htm" TargetMode="External"/><Relationship Id="rId38" Type="http://schemas.openxmlformats.org/officeDocument/2006/relationships/hyperlink" Target="https://www.sec.gov/Archives/edgar/data/1855467/000110465923113943/clay-20230630xex10d14.htm" TargetMode="External"/><Relationship Id="rId39" Type="http://schemas.openxmlformats.org/officeDocument/2006/relationships/hyperlink" Target="https://www.sec.gov/Archives/edgar/data/1855467/000110465923113943/clay-20230630xex10d15.htm" TargetMode="External"/><Relationship Id="rId40" Type="http://schemas.openxmlformats.org/officeDocument/2006/relationships/hyperlink" Target="https://www.sec.gov/Archives/edgar/data/1855467/000110465923113943/clay-20230630xex10d16.htm" TargetMode="External"/><Relationship Id="rId41" Type="http://schemas.openxmlformats.org/officeDocument/2006/relationships/hyperlink" Target="https://www.sec.gov/Archives/edgar/data/1855467/000110465923113943/clay-20230630xex10d17.htm" TargetMode="External"/><Relationship Id="rId42" Type="http://schemas.openxmlformats.org/officeDocument/2006/relationships/hyperlink" Target="https://www.sec.gov/Archives/edgar/data/1855467/000110465923043213/clay-20220930xex10d16.htm" TargetMode="External"/><Relationship Id="rId43" Type="http://schemas.openxmlformats.org/officeDocument/2006/relationships/hyperlink" Target="https://www.sec.gov/Archives/edgar/data/1855467/000110465923043213/clay-20220930xex10d18.htm" TargetMode="External"/><Relationship Id="rId44" Type="http://schemas.openxmlformats.org/officeDocument/2006/relationships/hyperlink" Target="https://www.sec.gov/Archives/edgar/data/1855467/000110465923043213/clay-20220930xex10d19.htm" TargetMode="External"/><Relationship Id="rId45" Type="http://schemas.openxmlformats.org/officeDocument/2006/relationships/hyperlink" Target="https://www.sec.gov/Archives/edgar/data/1855467/000110465923043213/clay-20220930xex10d20.htm" TargetMode="External"/><Relationship Id="rId46" Type="http://schemas.openxmlformats.org/officeDocument/2006/relationships/hyperlink" Target="https://www.sec.gov/Archives/edgar/data/1855467/000110465923043213/clay-20220930xex10d21.htm" TargetMode="External"/><Relationship Id="rId47" Type="http://schemas.openxmlformats.org/officeDocument/2006/relationships/hyperlink" Target="https://www.sec.gov/Archives/edgar/data/1855467/000110465923043213/clay-20220930xex10d22.htm" TargetMode="External"/><Relationship Id="rId48" Type="http://schemas.openxmlformats.org/officeDocument/2006/relationships/hyperlink" Target="https://www.sec.gov/Archives/edgar/data/1855467/000110465923043213/clay-20220930xex10d23.htm" TargetMode="External"/><Relationship Id="rId49" Type="http://schemas.openxmlformats.org/officeDocument/2006/relationships/hyperlink" Target="https://www.sec.gov/Archives/edgar/data/1855467/000110465923043213/clay-20220930xex10d24.htm" TargetMode="External"/><Relationship Id="rId50" Type="http://schemas.openxmlformats.org/officeDocument/2006/relationships/hyperlink" Target="https://www.sec.gov/Archives/edgar/data/1855467/000110465923043213/clay-20220930xex10d25.htm" TargetMode="External"/><Relationship Id="rId51" Type="http://schemas.openxmlformats.org/officeDocument/2006/relationships/hyperlink" Target="https://www.sec.gov/Archives/edgar/data/1855467/000110465923127135/tm2333098d1_ex10-1.htm" TargetMode="External"/><Relationship Id="rId52" Type="http://schemas.openxmlformats.org/officeDocument/2006/relationships/hyperlink" Target="https://www.sec.gov/Archives/edgar/data/1855467/000110465923127135/tm2333098d1_ex10-2.htm" TargetMode="External"/><Relationship Id="rId53" Type="http://schemas.openxmlformats.org/officeDocument/2006/relationships/hyperlink" Target="https://www.sec.gov/Archives/edgar/data/1855467/000110465923129265/tm2333677d1_ex10-1.htm" TargetMode="External"/><Relationship Id="rId54" Type="http://schemas.openxmlformats.org/officeDocument/2006/relationships/hyperlink" Target="https://www.sec.gov/Archives/edgar/data/1855467/000110465923129265/tm2333677d1_ex10-2.htm" TargetMode="External"/><Relationship Id="rId55" Type="http://schemas.openxmlformats.org/officeDocument/2006/relationships/hyperlink" Target="https://www.sec.gov/Archives/edgar/data/1855467/000110465923129265/tm2333677d1_ex10-3.htm" TargetMode="External"/><Relationship Id="rId56" Type="http://schemas.openxmlformats.org/officeDocument/2006/relationships/hyperlink" Target="https://www.sec.gov/Archives/edgar/data/1855467/000110465923129265/tm2333677d1_ex10-4.htm" TargetMode="External"/><Relationship Id="rId57" Type="http://schemas.openxmlformats.org/officeDocument/2006/relationships/hyperlink" Target="https://www.sec.gov/Archives/edgar/data/1855467/000110465923129265/tm2333677d1_ex10-5.htm" TargetMode="External"/><Relationship Id="rId58" Type="http://schemas.openxmlformats.org/officeDocument/2006/relationships/hyperlink" Target="https://www.sec.gov/Archives/edgar/data/1855467/000110465923129265/tm2333677d1_ex10-6.htm" TargetMode="External"/><Relationship Id="rId59" Type="http://schemas.openxmlformats.org/officeDocument/2006/relationships/hyperlink" Target="https://www.sec.gov/Archives/edgar/data/1855467/000110465923129265/tm2333677d1_ex10-7.htm" TargetMode="External"/><Relationship Id="rId60" Type="http://schemas.openxmlformats.org/officeDocument/2006/relationships/hyperlink" Target="https://www.sec.gov/Archives/edgar/data/1855467/000110465923129265/tm2333677d1_ex10-8.htm" TargetMode="External"/><Relationship Id="rId61" Type="http://schemas.openxmlformats.org/officeDocument/2006/relationships/hyperlink" Target="https://www.sec.gov/Archives/edgar/data/1855467/000110465923130104/tm2333672d1_ex10-29.htm" TargetMode="External"/><Relationship Id="rId62" Type="http://schemas.openxmlformats.org/officeDocument/2006/relationships/hyperlink" Target="https://www.sec.gov/Archives/edgar/data/1855467/000121390024023741/ea020207901ex10-1_mobixlabs.htm" TargetMode="External"/><Relationship Id="rId63" Type="http://schemas.openxmlformats.org/officeDocument/2006/relationships/hyperlink" Target="https://www.sec.gov/Archives/edgar/data/1855467/000121390024023741/ea020207901ex10-2_mobixlabs.htm" TargetMode="External"/><Relationship Id="rId64" Type="http://schemas.openxmlformats.org/officeDocument/2006/relationships/hyperlink" Target="https://www.sec.gov/Archives/edgar/data/1855467/000121390024042582/ea020602001ex99-1_mobixlabs.htm" TargetMode="External"/><Relationship Id="rId65" Type="http://schemas.openxmlformats.org/officeDocument/2006/relationships/hyperlink" Target="https://www.sec.gov/Archives/edgar/data/1855467/000101376224000772/ea020989801ex10-1_mobix.htm" TargetMode="External"/><Relationship Id="rId66" Type="http://schemas.openxmlformats.org/officeDocument/2006/relationships/hyperlink" Target="https://www.sec.gov/Archives/edgar/data/1855467/000101376224000772/ea020989801ex10-2_mobix.htm" TargetMode="External"/><Relationship Id="rId67" Type="http://schemas.openxmlformats.org/officeDocument/2006/relationships/hyperlink" Target="https://www.sec.gov/Archives/edgar/data/1855467/000101376224000772/ea020989801ex10-3_mobix.htm" TargetMode="External"/><Relationship Id="rId68" Type="http://schemas.openxmlformats.org/officeDocument/2006/relationships/hyperlink" Target="https://www.sec.gov/Archives/edgar/data/1855467/000164117225002885/ex10-1.htm" TargetMode="External"/><Relationship Id="rId69" Type="http://schemas.openxmlformats.org/officeDocument/2006/relationships/hyperlink" Target="https://www.sec.gov/Archives/edgar/data/1855467/000164117225002885/ex10-2.htm" TargetMode="External"/><Relationship Id="rId70" Type="http://schemas.openxmlformats.org/officeDocument/2006/relationships/hyperlink" Target="https://www.sec.gov/Archives/edgar/data/1855467/000164117225010986/ex10-1.htm" TargetMode="External"/><Relationship Id="rId71" Type="http://schemas.openxmlformats.org/officeDocument/2006/relationships/hyperlink" Target="https://www.sec.gov/Archives/edgar/data/1855467/000164117225010986/ex10-2.htm" TargetMode="External"/><Relationship Id="rId72" Type="http://schemas.openxmlformats.org/officeDocument/2006/relationships/hyperlink" Target="https://www.sec.gov/Archives/edgar/data/1855467/000164117225000999/ex99-3.htm" TargetMode="External"/><Relationship Id="rId73" Type="http://schemas.openxmlformats.org/officeDocument/2006/relationships/hyperlink" Target="https://www.sec.gov/Archives/edgar/data/1855467/000164117225000999/ex99-4.htm" TargetMode="External"/><Relationship Id="rId74" Type="http://schemas.openxmlformats.org/officeDocument/2006/relationships/hyperlink" Target="https://www.sec.gov/Archives/edgar/data/1855467/000164117225000999/ex99-5.htm" TargetMode="External"/><Relationship Id="rId75" Type="http://schemas.openxmlformats.org/officeDocument/2006/relationships/hyperlink" Target="https://www.sec.gov/Archives/edgar/data/1855467/000164117225010986/ex10-6.htm" TargetMode="External"/><Relationship Id="rId76" Type="http://schemas.openxmlformats.org/officeDocument/2006/relationships/hyperlink" Target="https://www.sec.gov/Archives/edgar/data/1855467/000164117225010986/ex10-7.htm" TargetMode="External"/><Relationship Id="rId77" Type="http://schemas.openxmlformats.org/officeDocument/2006/relationships/hyperlink" Target="https://www.sec.gov/Archives/edgar/data/1855467/000164117225000999/ex99-11.htm" TargetMode="External"/><Relationship Id="rId78" Type="http://schemas.openxmlformats.org/officeDocument/2006/relationships/hyperlink" Target="https://www.sec.gov/Archives/edgar/data/1855467/000164117225022484/ex10-46.htm" TargetMode="External"/><Relationship Id="rId79" Type="http://schemas.openxmlformats.org/officeDocument/2006/relationships/hyperlink" Target="https://www.sec.gov/Archives/edgar/data/1855467/000149315225012596/ex10-1.htm" TargetMode="External"/><Relationship Id="rId80" Type="http://schemas.openxmlformats.org/officeDocument/2006/relationships/hyperlink" Target="https://www.sec.gov/Archives/edgar/data/1855467/000149315225017858/ex10-48.htm" TargetMode="External"/><Relationship Id="rId81" Type="http://schemas.openxmlformats.org/officeDocument/2006/relationships/hyperlink" Target="https://www.sec.gov/Archives/edgar/data/1855467/000149315225017858/ex10-49.htm" TargetMode="External"/><Relationship Id="rId82" Type="http://schemas.openxmlformats.org/officeDocument/2006/relationships/hyperlink" Target="https://www.sec.gov/Archives/edgar/data/1855467/000149315225017858/ex10-50.htm" TargetMode="External"/><Relationship Id="rId83" Type="http://schemas.openxmlformats.org/officeDocument/2006/relationships/hyperlink" Target="https://www.sec.gov/Archives/edgar/data/1855467/000149315225017858/ex10-51.htm" TargetMode="External"/><Relationship Id="rId84" Type="http://schemas.openxmlformats.org/officeDocument/2006/relationships/hyperlink" Target="https://www.sec.gov/Archives/edgar/data/1855467/000149315225017858/ex10-52.htm" TargetMode="External"/><Relationship Id="rId85" Type="http://schemas.openxmlformats.org/officeDocument/2006/relationships/hyperlink" Target="https://www.sec.gov/Archives/edgar/data/1855467/000149315225017858/ex10-53.htm" TargetMode="External"/><Relationship Id="rId86" Type="http://schemas.openxmlformats.org/officeDocument/2006/relationships/hyperlink" Target="https://www.sec.gov/Archives/edgar/data/1855467/000149315226000731/ex10-1.htm" TargetMode="External"/><Relationship Id="rId87" Type="http://schemas.openxmlformats.org/officeDocument/2006/relationships/hyperlink" Target="https://www.sec.gov/Archives/edgar/data/1855467/000149315226000731/ex10-2.htm" TargetMode="External"/><Relationship Id="rId88" Type="http://schemas.openxmlformats.org/officeDocument/2006/relationships/hyperlink" Target="https://www.sec.gov/Archives/edgar/data/1855467/000149315226000731/ex10-3.htm" TargetMode="External"/><Relationship Id="rId89" Type="http://schemas.openxmlformats.org/officeDocument/2006/relationships/hyperlink" Target="https://www.sec.gov/Archives/edgar/data/1855467/000149315226019180/ex10-57.htm" TargetMode="External"/><Relationship Id="rId90" Type="http://schemas.openxmlformats.org/officeDocument/2006/relationships/hyperlink" Target="https://www.sec.gov/Archives/edgar/data/1855467/000149315226019180/ex10-58.htm" TargetMode="External"/><Relationship Id="rId91" Type="http://schemas.openxmlformats.org/officeDocument/2006/relationships/hyperlink" Target="https://www.sec.gov/Archives/edgar/data/1855467/000149315226024661/ex10-3.htm" TargetMode="External"/><Relationship Id="rId92" Type="http://schemas.openxmlformats.org/officeDocument/2006/relationships/hyperlink" Target="https://www.sec.gov/Archives/edgar/data/1855467/000149315226024661/ex10-4.htm" TargetMode="External"/><Relationship Id="rId93" Type="http://schemas.openxmlformats.org/officeDocument/2006/relationships/hyperlink" Target="https://www.sec.gov/Archives/edgar/data/1855467/000149315226024661/ex10-5.htm" TargetMode="External"/><Relationship Id="rId94" Type="http://schemas.openxmlformats.org/officeDocument/2006/relationships/hyperlink" Target="https://www.sec.gov/Archives/edgar/data/1855467/000149315226029436/ex10-62.htm" TargetMode="External"/><Relationship Id="rId95" Type="http://schemas.openxmlformats.org/officeDocument/2006/relationships/hyperlink" Target="https://www.sec.gov/Archives/edgar/data/1855467/000149315226030338/ex10-1.htm" TargetMode="External"/><Relationship Id="rId96" Type="http://schemas.openxmlformats.org/officeDocument/2006/relationships/hyperlink" Target="https://www.sec.gov/Archives/edgar/data/1855467/000149315226038848/ex10-1.htm" TargetMode="External"/><Relationship Id="rId97" Type="http://schemas.openxmlformats.org/officeDocument/2006/relationships/hyperlink" Target="https://www.sec.gov/Archives/edgar/data/1855467/000149315226038848/ex10-7.htm" TargetMode="External"/><Relationship Id="rId98" Type="http://schemas.openxmlformats.org/officeDocument/2006/relationships/hyperlink" Target="https://www.sec.gov/Archives/edgar/data/1855467/000149315226040658/ex10-5.htm" TargetMode="External"/><Relationship Id="rId99" Type="http://schemas.openxmlformats.org/officeDocument/2006/relationships/hyperlink" Target="https://www.sec.gov/Archives/edgar/data/1855467/000149315226040658/ex10-4.htm" TargetMode="External"/><Relationship Id="rId100" Type="http://schemas.openxmlformats.org/officeDocument/2006/relationships/hyperlink" Target="https://www.sec.gov/Archives/edgar/data/1855467/000149315226040658/ex10-2.htm" TargetMode="External"/><Relationship Id="rId101" Type="http://schemas.openxmlformats.org/officeDocument/2006/relationships/hyperlink" Target="https://www.sec.gov/Archives/edgar/data/1855467/000149315226040658/ex10-1.htm" TargetMode="External"/><Relationship Id="rId102" Type="http://schemas.openxmlformats.org/officeDocument/2006/relationships/hyperlink" Target="https://www.sec.gov/Archives/edgar/data/1855467/000149315226040658/ex10-3.htm" TargetMode="External"/><Relationship Id="rId103" Type="http://schemas.openxmlformats.org/officeDocument/2006/relationships/hyperlink" Target="https://www.sec.gov/Archives/edgar/data/1855467/000149315226001921/ex21-1.htm" TargetMode="External"/><Relationship Id="rId104" Type="http://schemas.openxmlformats.org/officeDocument/2006/relationships/image" Target="media/image2.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117876</Words>
  <Characters>633087</Characters>
  <CharactersWithSpaces>758001</CharactersWithSpaces>
  <Paragraphs>22253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