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s-1a.htm"/>
      <w:bookmarkStart w:id="1" w:name="ksforms1a"/>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333-296928</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xdx_902_edei--AmendmentDescription_c2026"/>
      <w:bookmarkEnd w:id="2"/>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3" w:name="xdx_901_edei--DocumentType_dxL_c20260101"/>
      <w:bookmarkEnd w:id="3"/>
      <w:r>
        <w:rPr>
          <w:rFonts w:ascii="Times New Roman;Times;Serif" w:hAnsi="Times New Roman;Times;Serif"/>
          <w:b/>
          <w:i w:val="false"/>
          <w:caps w:val="false"/>
          <w:smallCaps w:val="false"/>
          <w:sz w:val="36"/>
        </w:rPr>
        <w:t>S-1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MOBIX LABS,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Exact name of registrant as specified in its charter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7020" w:type="dxa"/>
        <w:jc w:val="left"/>
        <w:tblInd w:w="0" w:type="dxa"/>
        <w:tblLayout w:type="fixed"/>
        <w:tblCellMar>
          <w:top w:w="0" w:type="dxa"/>
          <w:left w:w="0" w:type="dxa"/>
          <w:bottom w:w="0" w:type="dxa"/>
          <w:right w:w="0" w:type="dxa"/>
        </w:tblCellMar>
      </w:tblPr>
      <w:tblGrid>
        <w:gridCol w:w="2585"/>
        <w:gridCol w:w="60"/>
        <w:gridCol w:w="2405"/>
        <w:gridCol w:w="60"/>
        <w:gridCol w:w="1910"/>
      </w:tblGrid>
      <w:tr>
        <w:trPr/>
        <w:tc>
          <w:tcPr>
            <w:tcW w:w="25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3674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5_edei--EntityTaxIdentificationNum"/>
            <w:bookmarkEnd w:id="5"/>
            <w:r>
              <w:rPr>
                <w:rFonts w:ascii="Times New Roman;Times;Serif" w:hAnsi="Times New Roman;Times;Serif"/>
                <w:b/>
                <w:i w:val="false"/>
                <w:caps w:val="false"/>
                <w:smallCaps w:val="false"/>
                <w:sz w:val="20"/>
              </w:rPr>
              <w:t>98-1591717</w:t>
            </w:r>
          </w:p>
        </w:tc>
      </w:tr>
      <w:tr>
        <w:trPr/>
        <w:tc>
          <w:tcPr>
            <w:tcW w:w="2585"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05"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(Primary Standard Industrial</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Classification Code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xdx_909_edei--EntityAddressAddressLine1_"/>
      <w:bookmarkEnd w:id="6"/>
      <w:r>
        <w:rPr>
          <w:rFonts w:ascii="Times New Roman;Times;Serif" w:hAnsi="Times New Roman;Times;Serif"/>
          <w:b/>
          <w:i w:val="false"/>
          <w:caps w:val="false"/>
          <w:smallCaps w:val="false"/>
          <w:sz w:val="20"/>
        </w:rPr>
        <w:t xml:space="preserve">1 Venture, </w:t>
      </w:r>
      <w:bookmarkStart w:id="7" w:name="xdx_908_edei--EntityAddressAddressLine2_"/>
      <w:bookmarkEnd w:id="7"/>
      <w:r>
        <w:rPr>
          <w:rFonts w:ascii="Times New Roman;Times;Serif" w:hAnsi="Times New Roman;Times;Serif"/>
          <w:b/>
          <w:i w:val="false"/>
          <w:caps w:val="false"/>
          <w:smallCaps w:val="false"/>
          <w:sz w:val="20"/>
        </w:rPr>
        <w:t>Suite 220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CityOrTown_c2"/>
      <w:bookmarkEnd w:id="8"/>
      <w:r>
        <w:rPr>
          <w:rFonts w:ascii="Times New Roman;Times;Serif" w:hAnsi="Times New Roman;Times;Serif"/>
          <w:b/>
          <w:i w:val="false"/>
          <w:caps w:val="false"/>
          <w:smallCaps w:val="false"/>
          <w:sz w:val="20"/>
        </w:rPr>
        <w:t xml:space="preserve">Irvine, </w:t>
      </w:r>
      <w:bookmarkStart w:id="9" w:name="xdx_906_edei--EntityAddressStateOrProvin"/>
      <w:bookmarkEnd w:id="9"/>
      <w:r>
        <w:rPr>
          <w:rFonts w:ascii="Times New Roman;Times;Serif" w:hAnsi="Times New Roman;Times;Serif"/>
          <w:b/>
          <w:i w:val="false"/>
          <w:caps w:val="false"/>
          <w:smallCaps w:val="false"/>
          <w:sz w:val="20"/>
        </w:rPr>
        <w:t xml:space="preserve">California </w:t>
      </w:r>
      <w:bookmarkStart w:id="10" w:name="xdx_905_edei--EntityAddressPostalZipCode"/>
      <w:bookmarkEnd w:id="10"/>
      <w:r>
        <w:rPr>
          <w:rFonts w:ascii="Times New Roman;Times;Serif" w:hAnsi="Times New Roman;Times;Serif"/>
          <w:b/>
          <w:i w:val="false"/>
          <w:caps w:val="false"/>
          <w:smallCaps w:val="false"/>
          <w:sz w:val="20"/>
        </w:rPr>
        <w:t>92618</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F_edei--CityAreaCode_c20260101__20"/>
      <w:bookmarkEnd w:id="11"/>
      <w:r>
        <w:rPr>
          <w:rFonts w:ascii="Times New Roman;Times;Serif" w:hAnsi="Times New Roman;Times;Serif"/>
          <w:b/>
          <w:i w:val="false"/>
          <w:caps w:val="false"/>
          <w:smallCaps w:val="false"/>
          <w:sz w:val="20"/>
        </w:rPr>
        <w:t xml:space="preserve">(949) </w:t>
      </w:r>
      <w:bookmarkStart w:id="12" w:name="xdx_906_edei--LocalPhoneNumber_c20260101"/>
      <w:bookmarkEnd w:id="12"/>
      <w:r>
        <w:rPr>
          <w:rFonts w:ascii="Times New Roman;Times;Serif" w:hAnsi="Times New Roman;Times;Serif"/>
          <w:b/>
          <w:i w:val="false"/>
          <w:caps w:val="false"/>
          <w:smallCaps w:val="false"/>
          <w:sz w:val="20"/>
        </w:rPr>
        <w:t>808-8888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Address, including zip code, and telephone number, including area code, of registrant’s principal executive offices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8_edei--ContactPersonnelName_c2026"/>
      <w:bookmarkEnd w:id="13"/>
      <w:r>
        <w:rPr>
          <w:rFonts w:ascii="Times New Roman;Times;Serif" w:hAnsi="Times New Roman;Times;Serif"/>
          <w:b/>
          <w:i w:val="false"/>
          <w:caps w:val="false"/>
          <w:smallCaps w:val="false"/>
          <w:sz w:val="20"/>
        </w:rPr>
        <w:t>Keyvan Samini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F_edei--EntityAddressAddressLine1_"/>
      <w:bookmarkEnd w:id="14"/>
      <w:r>
        <w:rPr>
          <w:rFonts w:ascii="Times New Roman;Times;Serif" w:hAnsi="Times New Roman;Times;Serif"/>
          <w:b/>
          <w:i w:val="false"/>
          <w:caps w:val="false"/>
          <w:smallCaps w:val="false"/>
          <w:sz w:val="20"/>
        </w:rPr>
        <w:t xml:space="preserve">1 Venture, </w:t>
      </w:r>
      <w:bookmarkStart w:id="15" w:name="xdx_90C_edei--EntityAddressAddressLine2_"/>
      <w:bookmarkEnd w:id="15"/>
      <w:r>
        <w:rPr>
          <w:rFonts w:ascii="Times New Roman;Times;Serif" w:hAnsi="Times New Roman;Times;Serif"/>
          <w:b/>
          <w:i w:val="false"/>
          <w:caps w:val="false"/>
          <w:smallCaps w:val="false"/>
          <w:sz w:val="20"/>
        </w:rPr>
        <w:t>Suite 220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4_edei--EntityAddressCityOrTown_c2"/>
      <w:bookmarkEnd w:id="16"/>
      <w:r>
        <w:rPr>
          <w:rFonts w:ascii="Times New Roman;Times;Serif" w:hAnsi="Times New Roman;Times;Serif"/>
          <w:b/>
          <w:i w:val="false"/>
          <w:caps w:val="false"/>
          <w:smallCaps w:val="false"/>
          <w:sz w:val="20"/>
        </w:rPr>
        <w:t xml:space="preserve">Irvine, </w:t>
      </w:r>
      <w:bookmarkStart w:id="17" w:name="xdx_909_edei--EntityAddressStateOrProvin"/>
      <w:bookmarkEnd w:id="17"/>
      <w:r>
        <w:rPr>
          <w:rFonts w:ascii="Times New Roman;Times;Serif" w:hAnsi="Times New Roman;Times;Serif"/>
          <w:b/>
          <w:i w:val="false"/>
          <w:caps w:val="false"/>
          <w:smallCaps w:val="false"/>
          <w:sz w:val="20"/>
        </w:rPr>
        <w:t xml:space="preserve">California </w:t>
      </w:r>
      <w:bookmarkStart w:id="18" w:name="xdx_90A_edei--EntityAddressPostalZipCode"/>
      <w:bookmarkEnd w:id="18"/>
      <w:r>
        <w:rPr>
          <w:rFonts w:ascii="Times New Roman;Times;Serif" w:hAnsi="Times New Roman;Times;Serif"/>
          <w:b/>
          <w:i w:val="false"/>
          <w:caps w:val="false"/>
          <w:smallCaps w:val="false"/>
          <w:sz w:val="20"/>
        </w:rPr>
        <w:t>92618</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xdx_90C_edei--CityAreaCode_c20260101__20"/>
      <w:bookmarkEnd w:id="19"/>
      <w:r>
        <w:rPr>
          <w:rFonts w:ascii="Times New Roman;Times;Serif" w:hAnsi="Times New Roman;Times;Serif"/>
          <w:b/>
          <w:i w:val="false"/>
          <w:caps w:val="false"/>
          <w:smallCaps w:val="false"/>
          <w:sz w:val="20"/>
        </w:rPr>
        <w:t xml:space="preserve">(949) </w:t>
      </w:r>
      <w:bookmarkStart w:id="20" w:name="xdx_903_edei--LocalPhoneNumber_c20260101"/>
      <w:bookmarkEnd w:id="20"/>
      <w:r>
        <w:rPr>
          <w:rFonts w:ascii="Times New Roman;Times;Serif" w:hAnsi="Times New Roman;Times;Serif"/>
          <w:b/>
          <w:i w:val="false"/>
          <w:caps w:val="false"/>
          <w:smallCaps w:val="false"/>
          <w:sz w:val="20"/>
        </w:rPr>
        <w:t>808-8888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Address, including zip code, and telephone number, including area code, of agent for service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Raymond Lee,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Laurie L. Green,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Greenberg Traurig,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18565 Jamboree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500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 92612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(949) 732-6510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From time to time after this registration statement becomes effective.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left"/>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2060"/>
        <w:gridCol w:w="1580"/>
        <w:gridCol w:w="194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1" w:name="xdx_90D_edei--EntityFilerCategory_c20260"/>
            <w:bookmarkEnd w:id="21"/>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2" w:name="xdx_900_edei--EntitySmallBusiness_c20260"/>
            <w:bookmarkEnd w:id="22"/>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0_edei--EntityEmergingGrowthCompan"/>
            <w:bookmarkEnd w:id="23"/>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bookmarkStart w:id="24" w:name="xdx_90D_edei--EntityExTransitionPeriod_c"/>
      <w:bookmarkEnd w:id="24"/>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JULY 9, 2026</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These securities may not be sold until the registration statement filed with the SEC is effective. This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3337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33750" cy="4286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mobix labs,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3,744,161</w:t>
      </w:r>
      <w:r>
        <w:rPr>
          <w:rFonts w:ascii="Times New Roman;Times;Serif" w:hAnsi="Times New Roman;Times;Serif"/>
          <w:b w:val="false"/>
          <w:i w:val="false"/>
          <w:caps/>
          <w:sz w:val="20"/>
        </w:rPr>
        <w:t xml:space="preserve"> </w:t>
      </w:r>
      <w:r>
        <w:rPr>
          <w:rFonts w:ascii="Times New Roman;Times;Serif" w:hAnsi="Times New Roman;Times;Serif"/>
          <w:b/>
          <w:i w:val="false"/>
          <w:caps/>
          <w:sz w:val="20"/>
        </w:rPr>
        <w:t>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registration of the resale or other distribution by the selling stockholders named herein (the “Selling Stockholders”) of up to 3,744,161 shares of Class A Common Stock of Mobix Labs, Inc. (the “Class A Common Stock”), consisting of: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rFonts w:ascii="Times New Roman;Times;Serif" w:hAnsi="Times New Roman;Times;Serif"/>
                <w:sz w:val="20"/>
              </w:rPr>
              <w:t>Up to 2,000,000</w:t>
            </w:r>
            <w:r>
              <w:rPr/>
              <w:t xml:space="preserve"> </w:t>
            </w:r>
            <w:r>
              <w:rPr>
                <w:rFonts w:ascii="Times New Roman;Times;Serif" w:hAnsi="Times New Roman;Times;Serif"/>
                <w:sz w:val="20"/>
              </w:rPr>
              <w:t xml:space="preserve">shares issuable to an investor (1) upon the conversion of 2,000 shares of Series A 10% Convertible Preferred Stock, (2) upon the conversion of 6,000 shares of Series A 10% Convertible Preferred Stock issuable upon exercise of a Preferred Stock Purchase Warrant (the “Preferred Warrant”) and (3) in connection with the transaction. The shares of Series A 10% Convertible Preferred Stock issued and underlying the Preferred Warrant, including any future shares issued as a dividend on the Preferred Stock, are hereinafter referred to as the “Preferred Shares”;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Up to 1,207,942 shares issued to lenders in satisfaction of outstanding debt;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sz w:val="20"/>
              </w:rPr>
            </w:pPr>
            <w:r>
              <w:rPr>
                <w:sz w:val="20"/>
              </w:rPr>
              <w:t xml:space="preserve">Up to 71,267 shares issued in connection with the settlement of litigation; and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sz w:val="20"/>
              </w:rPr>
            </w:pPr>
            <w:r>
              <w:rPr>
                <w:sz w:val="20"/>
              </w:rPr>
              <w:t>Up to 464,952 shares issued as earnout shares in connection with our acquisition of RaGE Systems, Inc.</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that may be sold by the Selling Stockholders are collectively referred to in this prospectus as the “Offered Securities.” Our registration of the resale of the Offered Securities does not mean that the Selling Stockholders will offer or sell any of the Offered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by the Selling Stockholders of any of the Offered Securities. We may receive up to $6,000,000 to the extent the Preferred Warrant is exercised. We intend to use any proceeds from the exercise of the Preferred Warrant for working capital and general corporate purposes. We will bear all costs, expenses and fees in connection with the registration of the resale of the Offered Securities. The Selling Stockholders will bear all commissions and discounts, if any, attributable to their respective sales of the Offered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Securities being offered for resale in this prospectus represent a substantial percentage of the total outstanding shares of our Class A Common Stock as of June 8, 2026. Assuming the issuance of all of the Offered Securities being registered for resale pursuant to this prospectus to the Selling Stockholders, the Offered Securities would represent approximately 25% of the outstanding Class A Common Stock as of June 8, 2026. The resale of the Offered Securities, or the perception that these sales could occur, pursuant to this prospectus, could result in a significant decline in the public trading price of our Class A Common Stock. In addition to the Selling Stockholders, certain other stockholders may resell a substantial number of our securities pursuant to separate resale prospectuses. The sale of the shares offered hereby together with the sale of these additional securities, or the perception that these sales could occur, could depress the market price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offer and sell the securities covered by this prospectus in a number of different ways and at varying prices. We provide more information about how the Selling Stockholders may sell the securities in the section titled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markets, including by the Selling Stockholders, who obtained their shares at prices or values below the current market price, or the perception in the market that such sales could occur, could result in a significant decline in the public trading price of the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read this prospectus, and any applicable prospectus supplement, before you invest in any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are listed on Nasdaq Stock Market LLC (“Nasdaq”) and our public warrants (the “Public Warrants”) are listed on Nasdaq under the symbols “MOBX” and “MOBXW,” respectively. On July 8, 2026, the last closing price of the Class A Common Stock as reported on Nasdaq was $2.06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“smaller reporting company” as defined under the federal securities laws and, as such, have elected to comply with certain reduced public company reporting requirements for this prospectus and may elect to do so in future filings. See “Implications of being an Emerging Growth Company and Smaller Reporting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You should carefully read and consider the risk factors included in our periodic reports filed with the Securities and Exchange Commission (the “SEC”), in any applicable prospectus supplement relating to a specific offering of securities and in any other documents we file with the SEC. See the section entitled “Risk Factors” on page 4 of this prospectus, in our other filings with the SEC and in the applicable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or any prospectus supplement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07"/>
        <w:gridCol w:w="298"/>
      </w:tblGrid>
      <w:tr>
        <w:trPr/>
        <w:tc>
          <w:tcPr>
            <w:tcW w:w="9907" w:type="dxa"/>
            <w:tcBorders/>
            <w:shd w:fill="CCEEFF" w:val="clear"/>
            <w:vAlign w:val="center"/>
          </w:tcPr>
          <w:p>
            <w:pPr>
              <w:pStyle w:val="TableContents"/>
              <w:bidi w:val="0"/>
              <w:spacing w:before="0" w:after="283"/>
              <w:jc w:val="left"/>
              <w:rPr/>
            </w:pPr>
            <w:hyperlink w:anchor="sp_001">
              <w:r>
                <w:rPr>
                  <w:rStyle w:val="InternetLink"/>
                  <w:rFonts w:ascii="Times New Roman;Times;Serif" w:hAnsi="Times New Roman;Times;Serif"/>
                  <w:b w:val="false"/>
                  <w:i w:val="false"/>
                  <w:caps w:val="false"/>
                  <w:smallCaps w:val="false"/>
                  <w:sz w:val="20"/>
                </w:rPr>
                <w:t>ABOUT THIS PROSPECTUS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r>
      <w:tr>
        <w:trPr/>
        <w:tc>
          <w:tcPr>
            <w:tcW w:w="9907" w:type="dxa"/>
            <w:tcBorders/>
            <w:shd w:fill="FFFF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IMPLICATIONS OF BEING AN EMERGING GROWTH COMPANY AND A SMALLER REPORTING COMPANY</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907" w:type="dxa"/>
            <w:tcBorders/>
            <w:shd w:fill="CCEE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RISK FACTORS SUMMARY</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9907" w:type="dxa"/>
            <w:tcBorders/>
            <w:shd w:fill="FFFFFF" w:val="clear"/>
            <w:vAlign w:val="center"/>
          </w:tcPr>
          <w:p>
            <w:pPr>
              <w:pStyle w:val="TableContents"/>
              <w:bidi w:val="0"/>
              <w:spacing w:before="0" w:after="283"/>
              <w:jc w:val="left"/>
              <w:rPr/>
            </w:pPr>
            <w:hyperlink w:anchor="sp_004">
              <w:r>
                <w:rPr>
                  <w:rStyle w:val="InternetLink"/>
                  <w:rFonts w:ascii="Times New Roman;Times;Serif" w:hAnsi="Times New Roman;Times;Serif"/>
                  <w:b w:val="false"/>
                  <w:i w:val="false"/>
                  <w:caps w:val="false"/>
                  <w:smallCaps w:val="false"/>
                  <w:sz w:val="20"/>
                </w:rPr>
                <w:t>SOURCES OF INDUSTRY AND MARKET DATA</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r>
      <w:tr>
        <w:trPr/>
        <w:tc>
          <w:tcPr>
            <w:tcW w:w="9907" w:type="dxa"/>
            <w:tcBorders/>
            <w:shd w:fill="CCEEFF" w:val="clear"/>
            <w:vAlign w:val="center"/>
          </w:tcPr>
          <w:p>
            <w:pPr>
              <w:pStyle w:val="TableContents"/>
              <w:bidi w:val="0"/>
              <w:spacing w:before="0" w:after="283"/>
              <w:jc w:val="left"/>
              <w:rPr/>
            </w:pPr>
            <w:hyperlink w:anchor="sp_005">
              <w:r>
                <w:rPr>
                  <w:rStyle w:val="InternetLink"/>
                  <w:rFonts w:ascii="Times New Roman;Times;Serif" w:hAnsi="Times New Roman;Times;Serif"/>
                  <w:b w:val="false"/>
                  <w:i w:val="false"/>
                  <w:caps w:val="false"/>
                  <w:smallCaps w:val="false"/>
                  <w:sz w:val="20"/>
                </w:rPr>
                <w:t>CAUTIONARY NOTE REGARDING FORWARD-LOOKING STATEMENTS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r>
      <w:tr>
        <w:trPr/>
        <w:tc>
          <w:tcPr>
            <w:tcW w:w="9907" w:type="dxa"/>
            <w:tcBorders/>
            <w:shd w:fill="FFFFFF" w:val="clear"/>
            <w:vAlign w:val="center"/>
          </w:tcPr>
          <w:p>
            <w:pPr>
              <w:pStyle w:val="TableContents"/>
              <w:bidi w:val="0"/>
              <w:spacing w:before="0" w:after="283"/>
              <w:jc w:val="left"/>
              <w:rPr/>
            </w:pPr>
            <w:hyperlink w:anchor="sp_006">
              <w:r>
                <w:rPr>
                  <w:rStyle w:val="InternetLink"/>
                  <w:rFonts w:ascii="Times New Roman;Times;Serif" w:hAnsi="Times New Roman;Times;Serif"/>
                  <w:b w:val="false"/>
                  <w:i w:val="false"/>
                  <w:caps w:val="false"/>
                  <w:smallCaps w:val="false"/>
                  <w:sz w:val="20"/>
                </w:rPr>
                <w:t>SUMMARY OF THE PROSPECTUS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07" w:type="dxa"/>
            <w:tcBorders/>
            <w:shd w:fill="CCEEFF" w:val="clear"/>
            <w:vAlign w:val="center"/>
          </w:tcPr>
          <w:p>
            <w:pPr>
              <w:pStyle w:val="TableContents"/>
              <w:bidi w:val="0"/>
              <w:spacing w:before="0" w:after="283"/>
              <w:jc w:val="left"/>
              <w:rPr/>
            </w:pPr>
            <w:hyperlink w:anchor="sp_007">
              <w:r>
                <w:rPr>
                  <w:rStyle w:val="InternetLink"/>
                  <w:rFonts w:ascii="Times New Roman;Times;Serif" w:hAnsi="Times New Roman;Times;Serif"/>
                  <w:b w:val="false"/>
                  <w:i w:val="false"/>
                  <w:caps w:val="false"/>
                  <w:smallCaps w:val="false"/>
                  <w:sz w:val="20"/>
                </w:rPr>
                <w:t>THE OFFERING</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907" w:type="dxa"/>
            <w:tcBorders/>
            <w:shd w:fill="FFFFFF" w:val="clear"/>
            <w:vAlign w:val="center"/>
          </w:tcPr>
          <w:p>
            <w:pPr>
              <w:pStyle w:val="TableContents"/>
              <w:bidi w:val="0"/>
              <w:spacing w:before="0" w:after="283"/>
              <w:jc w:val="left"/>
              <w:rPr/>
            </w:pPr>
            <w:hyperlink w:anchor="sp_008">
              <w:r>
                <w:rPr>
                  <w:rStyle w:val="InternetLink"/>
                  <w:rFonts w:ascii="Times New Roman;Times;Serif" w:hAnsi="Times New Roman;Times;Serif"/>
                  <w:b w:val="false"/>
                  <w:i w:val="false"/>
                  <w:caps w:val="false"/>
                  <w:smallCaps w:val="false"/>
                  <w:sz w:val="20"/>
                </w:rPr>
                <w:t>RISK FACTORS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907" w:type="dxa"/>
            <w:tcBorders/>
            <w:shd w:fill="CCEEFF" w:val="clear"/>
            <w:vAlign w:val="center"/>
          </w:tcPr>
          <w:p>
            <w:pPr>
              <w:pStyle w:val="TableContents"/>
              <w:bidi w:val="0"/>
              <w:spacing w:before="0" w:after="283"/>
              <w:jc w:val="left"/>
              <w:rPr/>
            </w:pPr>
            <w:hyperlink w:anchor="sp_009">
              <w:r>
                <w:rPr>
                  <w:rStyle w:val="InternetLink"/>
                  <w:rFonts w:ascii="Times New Roman;Times;Serif" w:hAnsi="Times New Roman;Times;Serif"/>
                  <w:b w:val="false"/>
                  <w:i w:val="false"/>
                  <w:caps w:val="false"/>
                  <w:smallCaps w:val="false"/>
                  <w:sz w:val="20"/>
                </w:rPr>
                <w:t>USE OF PROCEEDS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907" w:type="dxa"/>
            <w:tcBorders/>
            <w:shd w:fill="FFFFFF" w:val="clear"/>
            <w:vAlign w:val="center"/>
          </w:tcPr>
          <w:p>
            <w:pPr>
              <w:pStyle w:val="TableContents"/>
              <w:bidi w:val="0"/>
              <w:spacing w:before="0" w:after="283"/>
              <w:jc w:val="left"/>
              <w:rPr/>
            </w:pPr>
            <w:hyperlink w:anchor="sp_010">
              <w:r>
                <w:rPr>
                  <w:rStyle w:val="InternetLink"/>
                  <w:rFonts w:ascii="Times New Roman;Times;Serif" w:hAnsi="Times New Roman;Times;Serif"/>
                  <w:b w:val="false"/>
                  <w:i w:val="false"/>
                  <w:caps w:val="false"/>
                  <w:smallCaps w:val="false"/>
                  <w:sz w:val="20"/>
                </w:rPr>
                <w:t>MARKET PRICE OF THE CLASS A COMMON STOCK AND DIVIDENDS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07" w:type="dxa"/>
            <w:tcBorders/>
            <w:shd w:fill="CCEEFF" w:val="clear"/>
            <w:vAlign w:val="center"/>
          </w:tcPr>
          <w:p>
            <w:pPr>
              <w:pStyle w:val="TableContents"/>
              <w:bidi w:val="0"/>
              <w:spacing w:before="0" w:after="283"/>
              <w:jc w:val="left"/>
              <w:rPr/>
            </w:pPr>
            <w:hyperlink w:anchor="sp_011">
              <w:r>
                <w:rPr>
                  <w:rStyle w:val="InternetLink"/>
                  <w:rFonts w:ascii="Times New Roman;Times;Serif" w:hAnsi="Times New Roman;Times;Serif"/>
                  <w:b w:val="false"/>
                  <w:i w:val="false"/>
                  <w:caps w:val="false"/>
                  <w:smallCaps w:val="false"/>
                  <w:sz w:val="20"/>
                </w:rPr>
                <w:t>MANAGEMENT’S DISCUSSION AND ANALYSIS OF FINANCIAL CONDITION AND RESULTS OF OPERATIONS OF MOBIX LABS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907" w:type="dxa"/>
            <w:tcBorders/>
            <w:shd w:fill="FFFFFF" w:val="clear"/>
            <w:vAlign w:val="center"/>
          </w:tcPr>
          <w:p>
            <w:pPr>
              <w:pStyle w:val="TableContents"/>
              <w:bidi w:val="0"/>
              <w:spacing w:before="0" w:after="283"/>
              <w:jc w:val="left"/>
              <w:rPr/>
            </w:pPr>
            <w:hyperlink w:anchor="sq_001">
              <w:r>
                <w:rPr>
                  <w:rStyle w:val="InternetLink"/>
                  <w:rFonts w:ascii="Times New Roman;Times;Serif" w:hAnsi="Times New Roman;Times;Serif"/>
                  <w:b w:val="false"/>
                  <w:i w:val="false"/>
                  <w:caps w:val="false"/>
                  <w:smallCaps w:val="false"/>
                  <w:sz w:val="20"/>
                </w:rPr>
                <w:t>BUSINESS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907" w:type="dxa"/>
            <w:tcBorders/>
            <w:shd w:fill="CCEEFF" w:val="clear"/>
            <w:vAlign w:val="center"/>
          </w:tcPr>
          <w:p>
            <w:pPr>
              <w:pStyle w:val="TableContents"/>
              <w:bidi w:val="0"/>
              <w:spacing w:before="0" w:after="283"/>
              <w:jc w:val="left"/>
              <w:rPr/>
            </w:pPr>
            <w:hyperlink w:anchor="sq_002">
              <w:r>
                <w:rPr>
                  <w:rStyle w:val="InternetLink"/>
                  <w:rFonts w:ascii="Times New Roman;Times;Serif" w:hAnsi="Times New Roman;Times;Serif"/>
                  <w:b w:val="false"/>
                  <w:i w:val="false"/>
                  <w:caps w:val="false"/>
                  <w:smallCaps w:val="false"/>
                  <w:sz w:val="20"/>
                </w:rPr>
                <w:t>MANAGEMENT</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9907" w:type="dxa"/>
            <w:tcBorders/>
            <w:shd w:fill="FFFFFF" w:val="clear"/>
            <w:vAlign w:val="center"/>
          </w:tcPr>
          <w:p>
            <w:pPr>
              <w:pStyle w:val="TableContents"/>
              <w:bidi w:val="0"/>
              <w:spacing w:before="0" w:after="283"/>
              <w:jc w:val="left"/>
              <w:rPr/>
            </w:pPr>
            <w:hyperlink w:anchor="sq_003">
              <w:r>
                <w:rPr>
                  <w:rStyle w:val="InternetLink"/>
                  <w:rFonts w:ascii="Times New Roman;Times;Serif" w:hAnsi="Times New Roman;Times;Serif"/>
                  <w:b w:val="false"/>
                  <w:i w:val="false"/>
                  <w:caps w:val="false"/>
                  <w:smallCaps w:val="false"/>
                  <w:sz w:val="20"/>
                </w:rPr>
                <w:t>EXECUTIVE AND DIRECTOR COMPENSATION</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9907" w:type="dxa"/>
            <w:tcBorders/>
            <w:shd w:fill="CCEEFF" w:val="clear"/>
            <w:vAlign w:val="center"/>
          </w:tcPr>
          <w:p>
            <w:pPr>
              <w:pStyle w:val="TableContents"/>
              <w:bidi w:val="0"/>
              <w:spacing w:before="0" w:after="283"/>
              <w:jc w:val="left"/>
              <w:rPr/>
            </w:pPr>
            <w:hyperlink w:anchor="sq_004">
              <w:r>
                <w:rPr>
                  <w:rStyle w:val="InternetLink"/>
                  <w:rFonts w:ascii="Times New Roman;Times;Serif" w:hAnsi="Times New Roman;Times;Serif"/>
                  <w:b w:val="false"/>
                  <w:i w:val="false"/>
                  <w:caps w:val="false"/>
                  <w:smallCaps w:val="false"/>
                  <w:sz w:val="20"/>
                </w:rPr>
                <w:t>DESCRIPTION OF SECURITIES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9907" w:type="dxa"/>
            <w:tcBorders/>
            <w:shd w:fill="FFFFFF" w:val="clear"/>
            <w:vAlign w:val="center"/>
          </w:tcPr>
          <w:p>
            <w:pPr>
              <w:pStyle w:val="TableContents"/>
              <w:bidi w:val="0"/>
              <w:spacing w:before="0" w:after="283"/>
              <w:jc w:val="left"/>
              <w:rPr/>
            </w:pPr>
            <w:hyperlink w:anchor="sq_005">
              <w:r>
                <w:rPr>
                  <w:rStyle w:val="InternetLink"/>
                  <w:rFonts w:ascii="Times New Roman;Times;Serif" w:hAnsi="Times New Roman;Times;Serif"/>
                  <w:b w:val="false"/>
                  <w:i w:val="false"/>
                  <w:caps w:val="false"/>
                  <w:smallCaps w:val="false"/>
                  <w:sz w:val="20"/>
                </w:rPr>
                <w:t>SECURITIES ACT RESTRICTIONS ON RESALE OF SECURITIES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9907" w:type="dxa"/>
            <w:tcBorders/>
            <w:shd w:fill="CCEEFF" w:val="clear"/>
            <w:vAlign w:val="center"/>
          </w:tcPr>
          <w:p>
            <w:pPr>
              <w:pStyle w:val="TableContents"/>
              <w:bidi w:val="0"/>
              <w:spacing w:before="0" w:after="283"/>
              <w:jc w:val="left"/>
              <w:rPr/>
            </w:pPr>
            <w:hyperlink w:anchor="sq_006">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9907" w:type="dxa"/>
            <w:tcBorders/>
            <w:shd w:fill="FFFFFF" w:val="clear"/>
            <w:vAlign w:val="center"/>
          </w:tcPr>
          <w:p>
            <w:pPr>
              <w:pStyle w:val="TableContents"/>
              <w:bidi w:val="0"/>
              <w:spacing w:before="0" w:after="283"/>
              <w:jc w:val="left"/>
              <w:rPr/>
            </w:pPr>
            <w:hyperlink w:anchor="sq_007">
              <w:r>
                <w:rPr>
                  <w:rStyle w:val="InternetLink"/>
                  <w:rFonts w:ascii="Times New Roman;Times;Serif" w:hAnsi="Times New Roman;Times;Serif"/>
                  <w:b w:val="false"/>
                  <w:i w:val="false"/>
                  <w:caps w:val="false"/>
                  <w:smallCaps w:val="false"/>
                  <w:sz w:val="20"/>
                </w:rPr>
                <w:t>SELLING STOCKHOLDERS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9907" w:type="dxa"/>
            <w:tcBorders/>
            <w:shd w:fill="CCEEFF" w:val="clear"/>
            <w:vAlign w:val="center"/>
          </w:tcPr>
          <w:p>
            <w:pPr>
              <w:pStyle w:val="TableContents"/>
              <w:bidi w:val="0"/>
              <w:spacing w:before="0" w:after="283"/>
              <w:jc w:val="left"/>
              <w:rPr/>
            </w:pPr>
            <w:hyperlink w:anchor="sq_008">
              <w:r>
                <w:rPr>
                  <w:rStyle w:val="InternetLink"/>
                  <w:rFonts w:ascii="Times New Roman;Times;Serif" w:hAnsi="Times New Roman;Times;Serif"/>
                  <w:b w:val="false"/>
                  <w:i w:val="false"/>
                  <w:caps w:val="false"/>
                  <w:smallCaps w:val="false"/>
                  <w:sz w:val="20"/>
                </w:rPr>
                <w:t>CERTAIN RELATIONSHIPS AND RELATED TRANSACTIONS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9907" w:type="dxa"/>
            <w:tcBorders/>
            <w:shd w:fill="FFFFFF" w:val="clear"/>
            <w:vAlign w:val="center"/>
          </w:tcPr>
          <w:p>
            <w:pPr>
              <w:pStyle w:val="TableContents"/>
              <w:bidi w:val="0"/>
              <w:spacing w:before="0" w:after="283"/>
              <w:jc w:val="left"/>
              <w:rPr/>
            </w:pPr>
            <w:hyperlink w:anchor="sq_009">
              <w:r>
                <w:rPr>
                  <w:rStyle w:val="InternetLink"/>
                  <w:rFonts w:ascii="Times New Roman;Times;Serif" w:hAnsi="Times New Roman;Times;Serif"/>
                  <w:b w:val="false"/>
                  <w:i w:val="false"/>
                  <w:caps w:val="false"/>
                  <w:smallCaps w:val="false"/>
                  <w:sz w:val="20"/>
                </w:rPr>
                <w:t>PLAN OF DISTRIBUTION</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9907" w:type="dxa"/>
            <w:tcBorders/>
            <w:shd w:fill="CCEEFF" w:val="clear"/>
            <w:vAlign w:val="center"/>
          </w:tcPr>
          <w:p>
            <w:pPr>
              <w:pStyle w:val="TableContents"/>
              <w:bidi w:val="0"/>
              <w:spacing w:before="0" w:after="283"/>
              <w:jc w:val="left"/>
              <w:rPr/>
            </w:pPr>
            <w:hyperlink w:anchor="sq_010">
              <w:r>
                <w:rPr>
                  <w:rStyle w:val="InternetLink"/>
                  <w:rFonts w:ascii="Times New Roman;Times;Serif" w:hAnsi="Times New Roman;Times;Serif"/>
                  <w:b w:val="false"/>
                  <w:i w:val="false"/>
                  <w:caps w:val="false"/>
                  <w:smallCaps w:val="false"/>
                  <w:sz w:val="20"/>
                </w:rPr>
                <w:t>LEGAL MATTERS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9907" w:type="dxa"/>
            <w:tcBorders/>
            <w:shd w:fill="FFFFFF" w:val="clear"/>
            <w:vAlign w:val="center"/>
          </w:tcPr>
          <w:p>
            <w:pPr>
              <w:pStyle w:val="TableContents"/>
              <w:bidi w:val="0"/>
              <w:spacing w:before="0" w:after="283"/>
              <w:jc w:val="left"/>
              <w:rPr/>
            </w:pPr>
            <w:hyperlink w:anchor="sq_011">
              <w:r>
                <w:rPr>
                  <w:rStyle w:val="InternetLink"/>
                  <w:rFonts w:ascii="Times New Roman;Times;Serif" w:hAnsi="Times New Roman;Times;Serif"/>
                  <w:b w:val="false"/>
                  <w:i w:val="false"/>
                  <w:caps w:val="false"/>
                  <w:smallCaps w:val="false"/>
                  <w:sz w:val="20"/>
                </w:rPr>
                <w:t>EXPERTS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9907" w:type="dxa"/>
            <w:tcBorders/>
            <w:shd w:fill="CCEEFF" w:val="clear"/>
            <w:vAlign w:val="center"/>
          </w:tcPr>
          <w:p>
            <w:pPr>
              <w:pStyle w:val="TableContents"/>
              <w:bidi w:val="0"/>
              <w:spacing w:before="0" w:after="283"/>
              <w:jc w:val="left"/>
              <w:rPr/>
            </w:pPr>
            <w:hyperlink w:anchor="sq_012">
              <w:r>
                <w:rPr>
                  <w:rStyle w:val="InternetLink"/>
                  <w:rFonts w:ascii="Times New Roman;Times;Serif" w:hAnsi="Times New Roman;Times;Serif"/>
                  <w:b w:val="false"/>
                  <w:i w:val="false"/>
                  <w:caps w:val="false"/>
                  <w:smallCaps w:val="false"/>
                  <w:sz w:val="20"/>
                </w:rPr>
                <w:t>WHERE YOU CAN FIND ADDITIONAL INFORMATION</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9907" w:type="dxa"/>
            <w:tcBorders/>
            <w:shd w:fill="FFFFFF" w:val="clear"/>
            <w:vAlign w:val="center"/>
          </w:tcPr>
          <w:p>
            <w:pPr>
              <w:pStyle w:val="TableContents"/>
              <w:bidi w:val="0"/>
              <w:spacing w:before="0" w:after="283"/>
              <w:jc w:val="left"/>
              <w:rPr/>
            </w:pPr>
            <w:hyperlink w:anchor="f_1">
              <w:r>
                <w:rPr>
                  <w:rStyle w:val="InternetLink"/>
                  <w:rFonts w:ascii="Times New Roman;Times;Serif" w:hAnsi="Times New Roman;Times;Serif"/>
                  <w:b w:val="false"/>
                  <w:i w:val="false"/>
                  <w:caps w:val="false"/>
                  <w:smallCaps w:val="false"/>
                  <w:sz w:val="20"/>
                </w:rPr>
                <w:t>INDEX TO FINANCIAL STATEMENTS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5" w:name="sp_001"/>
      <w:bookmarkEnd w:id="25"/>
      <w:r>
        <w:rPr>
          <w:rFonts w:ascii="Times New Roman;Times;Serif" w:hAnsi="Times New Roman;Times;Serif"/>
          <w:b/>
          <w:i w:val="false"/>
          <w:caps/>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Stockholders identified in this prospectus under the caption “Selling Stockholders,” from time to time, of up to an aggregate of 3,744,161 shares of Class A Common Stock. We are not selling any shares of Class A Common Stock under this prospectus, and we will not receive any proceeds from the sale of shares of Class A Common Stock offered hereby by the Selling Stockholders. We may receive up to $6,000,000 to the extent the Preferred Warrant is exercised.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file a prospectus supplement or additional post-effective amendments to the registration statement of which this prospectus forms a part that may contain material information relating to these offerings. The prospectus supplement or any additional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Before purchasing any securities, you should carefully read this prospectus, any post-effective amendment, and any applicable prospectus supplement, together with the additional information described under the heading “Where You Can Find Additional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have authorized anyone to provide you with any information or to make any representations other than those contained in this prospectus, any post-effective amendment, or any applicable prospectus supplement prepared by or on behalf of us or to which we have referred you. We and the Selling Stockholders take no responsibility for and can provide no assurance as to the reliability of any other information that others may give you. We and the Selling Stockholders will not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contains, and any post-effective amendment or any prospectus supplement may contain, market data and industry statistics and forecasts that are based on independent industry publications and other publicly available information. In addition, the market and industry data and forecasts that may be included in this prospectus, any post-effective amendment or any prospectus supplement may involve estimates, assumptions and other risks and uncertainties and are subject to change based on various factors, including those discussed under the heading “Risk Factors” contained in this prospectus, any post-effective amendment and the applicable prospectus supplement. Accordingly, investors should not place undue reliance on this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an offer to sell only the securities offered hereby and only under circumstances and in jurisdictions where it is lawful to do so. This prospectus is not an offer to sell securities, and it is not soliciting an offer to buy securities, in any jurisdiction where the offer or sale is not permitted.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all references to “Mobix,” “Company,” “Registrant,” “we,” “our,” “ours” and “us” refer to Mobix Labs, Inc. and its subsidiaries. When we refer to “you” in this section, we mean all purchasers of the securities being offered by this prospectus and any accompanying prospectus supplement, whether they are the holders or only indirect owners of those securities.</w:t>
      </w:r>
    </w:p>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6" w:name="sp_002"/>
      <w:bookmarkEnd w:id="26"/>
      <w:r>
        <w:rPr>
          <w:rFonts w:ascii="Times New Roman;Times;Serif" w:hAnsi="Times New Roman;Times;Serif"/>
          <w:b/>
          <w:i w:val="false"/>
          <w:caps/>
          <w:sz w:val="20"/>
        </w:rPr>
        <w:t>IMPLICATIONS OF BEING AN EMERGING GROWTH COMPANY AND A SMALLER REPORTING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$1.235 billion in revenue during its most recently completed fiscal year, we qualify as an “emerging growth company” as defined in the Jumpstart Our Business Startups Act of 2012, as amended (the “JOBS Act”). As an emerging growth company, we may take advantage of specified reduced reporting and other requirements that are otherwise applicable generally to public companies. These provisions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about the Company’s executive compensation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non-binding shareholder advisory votes on executive compensation or golden parachute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election under Section 107(b) of the Jumpstart Our Business Startups Act of 2012 to delay adoption of new or revised accounting standards with different effective dates for public and private companies until those standards would otherwise apply to private companies;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auditor attestation requirement under Section 404(b) of the Sarbanes-Oxley Act of 2002 in respect of management’s assessment of the Company’s internal control over financial reporting, which requirement would otherwise apply if we ceased to qualify as a smaller reporting company under the rules of the SEC.</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these accommodations until the last day of the fiscal year following the fifth anniversary of the date on which it first sells common equity securities pursuant to a registration statement under the Securities Act, or such earlier time that we are no longer an emerging growth company. We will remain an “emerging growth company” until the earliest of (a) the last day of the first fiscal year in which our annual gross revenues exceed $1.235 billion, (b) the date that we become a “large accelerated filer” as defined in Rule 12b-2 under the Exchange Act, (c) the date on which we have issued more than $1.0 billion in nonconvertible debt during the preceding three-year period or (d) the last day of our fiscal year containing the fifth anniversary of the date on which we completed our initial public offering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investors will find the Common Shares less attractive because we rely upon certain of these exemptions. If some investors find the Common Shares less attractive as a result, there may be a less active trading market for the Common Shares and the Common Share price may be more volatile. On the other hand, if we no longer qualify as an emerging growth company, we would be required to divert additional management time and attention from the Company’s development and other business activities and incur increased legal and financial costs to comply with the additional associated reporting requirements, which could negatively impact the Company’s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no longer be an “emerging growth company” effective September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(i) the market value of our voting and non-voting common stock held by non-affiliates is less than $250 million measured on the last business day of our second fiscal quarter or (ii) our annual revenue is less than $100 million during the most recently completed fiscal year and the market value of our voting and non-voting common stock held by non-affiliates is less than $700 million measured on the last business day of our second fiscal quarter. Specifically, as a smaller reporting company, we may choose to present only the two most recent fiscal years of audited financial statements in our Annual Reports on Form 10-K and have reduced disclosure obligations regarding executive compensation, and, as long as we are a smaller reporting company with less than $100 million in annual revenue, we are not required to obtain an attestation report on internal control over financial reporting from our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to take advantage of some or all of these exemptions. We have taken advantage of reduced reporting requirements in this prospectus. Accordingly, the information contained herein may be different from the information you receive from other public companies in which you hold stock.</w:t>
      </w:r>
    </w:p>
    <w:p>
      <w:pPr>
        <w:pStyle w:val="TextBody"/>
        <w:bidi w:val="0"/>
        <w:spacing w:before="0" w:after="0"/>
        <w:ind w:left="0" w:right="0" w:firstLine="72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7" w:name="sp_003"/>
      <w:bookmarkEnd w:id="27"/>
      <w:r>
        <w:rPr>
          <w:rFonts w:ascii="Times New Roman;Times;Serif" w:hAnsi="Times New Roman;Times;Serif"/>
          <w:b/>
          <w:i w:val="false"/>
          <w:caps/>
          <w:sz w:val="20"/>
        </w:rPr>
        <w:t>RISK FACTORS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numerous risks and uncertainties, including those highlighted in the section titled “risk factors,” that represent challenges that we face in connection with the successful implementation of our strategy and the growth of our business. In particular, the following risks, among others, may offset our competitive strengths or have a negative effect on our business strategy, which could cause a decline in the price of the Class A Common Stock or public warrants and result in a loss of all or a portion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early-stage company, and it remains difficult to evaluate our future prospects and the risks and challenges we may encounter.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we will maintain revenue growth.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losses in the operation of our business and anticipate that our expenses will increase, potentially leading to continued losses from operations in the near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achieve or maintain profitability and there is substantial doubt about our ability to continue as a going concern.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raise additional capital in the future to execute our business plan.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non-binding letter of intent to acquire Vision Aerial, Inc., and any such acquisition is subject to significant uncertainty and may require additional dilutive financing.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issue shares of Class A Common Stock upon conversion of the Series A 10% Convertible Preferred Stock and exercise of the Preferred Warrant is limited by Nasdaq listing standards unless we obtain stockholder approval, and conversions of the Series A 10% Convertible Preferred Stock may be substantially dilutive.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fail to successfully acquire or integrate new businesses, products, and technology.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customers are unable to achieve widespread market acceptance of their products which incorporate our products, we may not be able to generate the revenue necessary to support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generally require our products to undergo a lengthy qualification process.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Markets for our mmWave wireless semiconductor products are still developing and may not develop at the speed and scale as expected.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execute our growth strategies effectively, our business may be adversely affected.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our semiconductor products and solutions are highly competitive.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and solutions are subject to intense competition.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will depend on our ability to successfully introduce new products and solutions for our markets that meet the needs of our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or vertical integration of our customers may adversely affect our financial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a substantial portion of our revenues from one customer and expect that we will generate revenue from a limited number of customers in the near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do not obtain long-term purchase commitments.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Defects in our products or poor design and engineering solutions could adversely affect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third-party offshore suppliers for many of the components and materials used in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and unfavorable global economic conditions could adversely affect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manage the growth of our operations, our performance may suffer.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laws and regulations to which we are subject could have a material adverse effect on our business, prospects, financial condition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trade policy, tariffs and import/export regulations may have a material adverse effect on our business, financial condition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on our ability to retain key employees and to attract qualified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material weaknesses in our internal control over financial reporting. If we are unable to remediate these material weaknesses or otherwise fail to maintain effective internal control over financial reporting, we may not be able to accurately or timely report our financial condition.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could suffer in the event of a security breach involving our information technology (“IT”) systems or our intellectual property or other confidential or proprietary information.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Instituting and defending against intellectual property or other types of litigation and administrative proceedings could cause us to spend substantial resources.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and must remain in compliance with, laws and governmental regulations across various jurisdictions concerning the development and sale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upon our officers and directors, and their loss could adversely affect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potential customers may require us to comply with additional regulatory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adversely affected by violations of applicable anti-corruption laws or violations of our internal policies designed to ensure ethical business practices.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applications may not be issued or granted or may take longer than expected, which may have a material adverse effect on our ability to enforce our intellectual property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our intellectual property, and our failure to protect that intellectual property could adversely affect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state, federal and international privacy and data protection laws and regulations.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Related to Ownership of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are unable to maintain compliance with Nasdaq’s continued listing standards, Nasdaq may delist our securities from trading on its exchange, which could limit investors’ ability to make transactions in our securities and subject us to additional trading restrictions.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Has Led to a Decrease in the Overall Market Capitalization of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securities may be volatile.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equity research analysts do not publish research or reports, or if they publish unfavorable research or reports about our company, our stock price and its trading volume could decline.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changing laws and regulations regarding regulatory matters, corporate governance and public disclosure that have increased both our costs and the risk of non-compliance.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dual class structure of our Common Stock has the effect of concentrating voting control with the holders of our Class B Common Stock, most of whom are our directors or management.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has limited experience in operating a public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timely regain compliance with the Nasdaq listing requirements, including the $1.00 minimum bid price requirement and to remain in compliance with the other Nasdaq listing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securities or class action litigation.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our stockholders will experience dilution in the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“smaller reporting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paying any cash dividends on our Class A Common Stock in the foreseeable future. As a result, capital appreciation, if any, of the Class A Common Stock will be your sole source of gain for the foreseeable future, if any, and you may never receive a return on your investment.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our Class A Common Stock may cause the market price to drop significantly.</w:t>
            </w:r>
          </w:p>
        </w:tc>
      </w:tr>
    </w:tbl>
    <w:p>
      <w:pPr>
        <w:pStyle w:val="TextBody"/>
        <w:bidi w:val="0"/>
        <w:spacing w:before="0" w:after="0"/>
        <w:ind w:left="0" w:right="0" w:hanging="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8" w:name="sp_004"/>
      <w:bookmarkEnd w:id="28"/>
      <w:r>
        <w:rPr>
          <w:rFonts w:ascii="Times New Roman;Times;Serif" w:hAnsi="Times New Roman;Times;Serif"/>
          <w:b/>
          <w:i w:val="false"/>
          <w:caps/>
          <w:sz w:val="20"/>
        </w:rPr>
        <w:t>SOURCES OF INDUSTRY AND MARKET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information has been sourced from a third party, the source of such information has been identified. Unless otherwise indicated, the information contained in this prospectus on the market environment, market developments, growth rates, market trends and competition in the markets in which we operate is taken from publicly available sources, including third-party sources, or reflects our estimates that are principally based on information from publicly available sources.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9" w:name="sp_005"/>
      <w:bookmarkEnd w:id="29"/>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prospectus, the accompanying prospectus and the documents we incorporate by reference herein and thereto may constitute “forward-looking statements” for purposes of the federal securities laws. These forward-looking statements include, but are not limited to, statements regarding our and our management team’s expectations, hopes, beliefs, intentions or strategies regarding the future. The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and the documents we incorporate by reference into this prospectus may include, for example, statements about: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and business performance;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listing rules of Nasdaq;</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identify possible acquisition targets, as well as any impact on our business and results of operations;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growth of the markets in which we operate;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 to pursue acquisitions of companies and technologies;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strategy, future operations, financial position, estimated revenues and losses, forecasts, projected costs, prospects and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 to commit significant resources to technology and product innovation and development;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regarding our ability to continue as a going concern and ability to obtain sufficient liquidity to meet our operating needs and satisfy our obligations;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acquisitions of EMI Solutions, Inc. (“EMI Solutions”) and RaGE Systems, Inc. (“RaGE Systems”), and any impact on our business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market acceptance and success of our products and technology in the wireless and connectivity markets and in potential new categories for expansion;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and the drivers of that demand including our expectations regarding our ability to develop new communication solutions for both domestic and international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opportunities and strategies for growth;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 the advantages of our products and technology over competing products and technology existing in the market, and competitive factors including with respect to technological capabilities, cost and scalability;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scale in a cost-effective manner and maintain and expand our manufacturing and supply chain relationships;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that we will incur substantial expenses and continuing losses for the foreseeable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reliance on a limited number of customers and efforts to diversify our customer base;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ability to obtain and maintain intellectual property protection and not infringe on the rights of others;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timing of obtaining stockholder approval for certain issuances;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socio-political conditions and their impact on demand for our technology and on the supply chain on which we rely;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capital requirements and sources and uses of cash;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known and unknown litigation and regulatory proceedings.</w:t>
            </w:r>
          </w:p>
        </w:tc>
      </w:tr>
    </w:tbl>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our views as of any subsequent date, and we undertake no obligations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maintain compliance with the Nasdaq listing standards;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meet future capital requirements and risks related to our ability to raise additional capital in the future on attractive terms or at all, as well as the dilutive impact that may have on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are unable to successfully commercialize our products and solutions, or experience significant delays in doing so;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not be able to generate income from operations in the foreseeable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concerning our ability to continue as a going concern;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experience difficulties in managing our growth and expanding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not be able to consummate planned strategic acquisitions, or fully realize anticipated benefits from past or future acquisitions or investments;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litigation may be commenced against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our patent applications may not be approved or may take longer than expected, and we may incur substantial costs in enforcing and protecting our intellectual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grow our customer base;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price of our securities may be volatile due to a variety of factors, including changes in the highly competitive industries in which we operate, variations in performance across competitors, changes in laws, regulations, technologies, the global supply chain, and macro-economic and social environments affecting our business and changes in the combined capital structure;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described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below.</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geopolitical tensions, including further escalation of war between Russia and Ukraine, or the conflict pertaining to the Middle East, and there may be additional risks that we consider immaterial, or which are unknown. It is not possible to predict or identify all such risks. However, we encourage you to review our risk factors as set forth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on page 4 of this prospectus, in our annual report on Form 10-K for our fiscal year ended September 30, 2025, filed with the SEC on January 13, 2026 or in other periodic and current reports that we file with the SEC.</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vi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0" w:name="sp_006"/>
      <w:bookmarkEnd w:id="30"/>
      <w:r>
        <w:rPr>
          <w:rFonts w:ascii="Times New Roman;Times;Serif" w:hAnsi="Times New Roman;Times;Serif"/>
          <w:b/>
          <w:i w:val="false"/>
          <w:caps/>
          <w:sz w:val="20"/>
        </w:rPr>
        <w:t>SUMMARY OF THE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selected information from this prospectus and may not contain all of the information that is important to you in making an investment decision. Before investing in our securities, you should carefully read this entire prospectus, including our financial statements and the related notes included in this prospectus and the information set forth under the sections titled “Risk Factors” and “Management’s Discussion and Analysis of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in Irvine, California, Mobix Labs designs, develops and sells components and systems for advanced wireless and wired connectivity, radio frequency (“RF”), switching and electromagnetic interference (“EMI”) filtering technologies. Our solutions are used in the consumer commercial, industrial, automotive, medical, aerospace, defense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Our wireless systems solutions include products for advanced RF and millimeter wave (“mmWave”) 5G communications, mmWave imaging, software defined radio and custom RF integrated circuits (“ICs”) targeting the commercial, industrial, and defense and aerospace sectors. Our interconnect products, including EMI filter inserts and filtered and non-filtered connectors, are designed for and are currently used in aerospace, military, defense and medical applications. Our True Xero active optical cables (“AOCs”) are designed to meet customer needs for high-quality active optical cable solutions at an affordable price. These innovative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consummated the merger pursuant to the business combination agreement, dated November 15, 2022 (as amended, supplemented or otherwise modified, the “Business Combination Agreement”), by and among Chavant Capital Acquisition Corp.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(the “Company”) and Legacy Mobix changed its name from “Mobix Labs, Inc.” to “Mobix Labs Operations,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with the goal of simplifying the development and maximizing the performance of wireless mmWave 5G products by designing and developing high performance, cost-effective and ultra-compact semiconductor components and solutions used for signal processing applications in wireless products. Since our inception, our corporate strategy has evolved to encompass the pursuit of acquisitions in diverse industry sectors, including aerospace, military, defense, medical and high reliability (“HiRel”) technology, as part of our commitment to enhancing communication services. We have developed and/or acquired an extensive intellectual property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completed the acquisition of substantially all of the assets including intellectual property of Cosemi, an Irvine, California-based global supplier of high-speed connectivity solutions. The acquired products and intellectual property included a broad range of AOCs and optical engines that deliver optimal connectivity to a wide range of applications-including home entertainment, gaming, augmented reality and virtual reality, video conferencing, medical, mobile devices and monitors-and built the foundation for our current connectivity business. We believe the patented cable technology and AOC optical chip solutions from Cosemi along with our innovative wireless semiconductor technologies provide more opportunities in the wireless C-Band and mmWave 5G market as the need for faster, more reliable data transmission becomes ever more apparent, whether it is for the data center, infrastructure, home entertainment or consumer electronics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we completed the acquisition of EMI Solutions when we acquired all of the issued and outstanding common shares of EMI Solutions. EMI Solutions is a manufacturer of interconnect products, including electromagnetic interference filtering products for aerospace, military, defense and medical applications. We believe the acquisition of EMI Solutions complements our existing product offerings, expanded our customer base and allows us to deliver solutions that address a wider variety of applications and markets. Consideration for the acquisition of EMI Solutions consisted of 96,491 shares of Legacy Mobix common stock and $2.2 million in cash. We valued the common stock at $8.9 million, based on the fair value of the Legacy Mobix common stock at the time of the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Kips Financing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a securities purchase agreement with Kips Bay Select, LP (“Kips”), pursuant to which we agreed to sell to Kips (i) 2,000 shares of Series A 10% Convertible Preferred Stock (“Series A Preferred Stock”) for aggregate gross proceeds of $2.4 million, and (ii) the Preferred Warrant to purchase up to an additional 6,000 shares of Series A Preferred Stock at an exercise price of $1,000.00 per share. Dividends are payable in cash, or at our option, in additional shares of Series A Preferred Stock. The Preferred Shares are convertible into shares of our Class A Common Stock in accordance with the terms of the Certificate of Designation of Preferences, Rights and Limitations of Series A 10% Convertible Preferred Stock (the “COD”). In connection with the transaction, on May 19, 2026, we also entered into a registration rights agreement, as amended on June 18, 2026, with Kips pursuant to which we agreed to register the resale of shares of Class A Common Stock issuable upon conversion of the Preferred Shares and 294,117 shares of Class A Common Stock as consideration for extending the filing deadlines in the registration rights agreement. We are registering the resale of the shares of Class A Common Stock pursuant to this prospectus to comply with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Proposed Acquisition of Vision Aerial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letter of intent relating to the proposed acquisition of Vision Aerial, Inc. (“Vision Aerial”). The letter of intent contemplates aggregate consideration of approximately $15 million, payable in a combination of cash and shares of our Class A Common Stock. The proposed transaction remains subject to the negotiation and execution of a definitive agreement, the completion of due diligence and the satisfaction of customary closing conditions. There can be no assurance that we will enter into a definitive agreement, or that any transaction will be completed on the terms contemplated by the letter of intent, or at all. We expect that any cash portion of the consideration would be funded through additional financing, which may be dilutive to our stockholders.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Expected Financing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seek to raise additional capital in the near future to support potential mergers and acquisitions activity, including the potential Vision Aerial transaction, and for working capital and general corporate purposes. We have not entered into definitive agreements for any such financing transactions, and the structures, terms, timing, size, pricing, investors, securities to be issued and conditions of any such transactions are currently unknown and subject to market conditions and further negotiation.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financing transactions may involve the issuance of equity, equity-linked securities, debt securities, convertible securities, warrants or other instruments, and may result in dilution to existing stockholders. There can be no assurance that we will be able to raise capital on acceptable terms, in a timely manner, or at all.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Upcoming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hold a meeting of stockholders in July 2026. At the meeting, we expect to request that stockholders approve, among other matters:</w:t>
      </w:r>
    </w:p>
    <w:p>
      <w:pPr>
        <w:pStyle w:val="TextBody"/>
        <w:shd w:fill="FFFFFF" w:val="clear"/>
        <w:bidi w:val="0"/>
        <w:spacing w:before="0" w:after="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46"/>
        <w:gridCol w:w="9984"/>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our Class A Common Stock to Kips in connection with the conversion of the Series A Preferred Stock;</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our Class A Common Stock to Leviston Resources, LLC (“Leviston”) in connection with the conversion of a senior secured promissory note in the principal amount of $2,800,000 (the “June 2026 Promissory Note”);</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amendment to our certificate of incorporation to remove certain restrictions on the issuance of shares of our Class B Common Stock;</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the number of shares available for issuance under our equity incentive award plan; and</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 specified number of shares of our Class A Common Stock, or securities convertible into or exercisable for Class A Common Stock, for purposes of future fundraising transactions and acquisitions.</w:t>
            </w:r>
          </w:p>
        </w:tc>
      </w:tr>
    </w:tbl>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filed preliminary or definitive proxy materials for the expected stockholder meeting. The specific terms of the proposals, including the number of shares subject to the proposals and the full text of any proposed charter amendment or equity incentive plan amendment, will be set forth in our proxy materials when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not provided any assurance that the expected stockholder meeting will occur on the anticipated timeline or that the proposals described above will be approved by stockholders. If we do not obtain the required stockholder approvals, our ability to complete certain financing transactions, issue securities in connection with acquisitions, including the potential Vision Aerial transaction, or implement certain corporate-governance and compensation-related matters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Settlements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agreed to issue 107,571 shares of Class A Common Stock to Agile Capital Funding, LLC (“Agile”) in exchange for satisfaction of debt owed to them in the amount of $785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we agreed to issue 488,506 shares of Class A Common Stock to Rocket Capital NY LLC (“Rocket”) in exchange for satisfaction of a portion of the debt owed to them in the amount of $850 thousand. On June 8, 2026 we agreed to issue 344,431 shares to Rocket in satisfaction of the remaining debt owed to them in the amount of $779 thousand.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April 2026 Reverse Stock Split</w:t>
      </w:r>
    </w:p>
    <w:p>
      <w:pPr>
        <w:pStyle w:val="TextBody"/>
        <w:bidi w:val="0"/>
        <w:spacing w:before="0" w:after="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special meeting of our stockholders held on March 23, 2026, our stockholders approved a reverse stock split of our outstanding shares of common stock (the “Reverse Stock Split”), at a specific ratio, ranging from 1-for-10 to 1-for-50, to be determined by our board of directors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special meeting, our board approved a ratio of 1-for-10 for the Reverse Stock Split. The Reverse Stock Split became effective after market close on April 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Reverse Stock Split was to help us regain compliance with the $1 minimum bid requirement for continued listing on the Nasdaq Capital Market, which we did, as discussed below. All shares and per share amounts set forth in this prospectus give effect to the reverse stock split, including Legacy Mobix common stock figures, as Legacy Mobix shares were converted to Class A Common Stock shares. Per share prices may be affected by rounding as a result of the adjustments made in connection with the Reverse Stock Split. The number of outstanding Public Warrants has not been adjusted to reflect the reverse stock split; however, the number of shares underlying such Public Warrants has been adjusted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March 2026 Convertible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we entered into a securities purchase agreement with Leviston, pursuant to which we agreed to issue a senior secured convertible promissory note with a principal amount of $3 million. On May 13, 2026, we entered into a first amendment to the securities purchase agreement and promissory note with Leviston, amending the promissory note originally issued on March 31, 2026. Pursuant to the amendment, Leviston advanced an additional $833,000 to us, increasing the total funded amount under the original convertible note to $3.3 million. The amendment increased the aggregate principal amount of the original convertible note from $3 million to $4 million. On May 18, 2026, we satisfied in full the entire $4 million of outstanding principal under the convertible note, together with all accrued interest thereon, through the conversion of such amounts into 2,500,000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Leviston Investor Rights Agreement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we entered into an investor rights agreement (“Investor Rights Agreement”) with Leviston. Pursuant to the Investor Rights Agreement, we granted Leviston the right, but not the obligation, to purchase one or more additional senior secured convertible notes from us during the seven-month period commencing May 13, 2026 and ending December 13, 2026, in an aggregate principal amount not to exceed $4 million. On June 22, 2026 we issued the June 2026 Promissory Note with a principal amount of $2.8 million. Additionally, on June 22, 2026, we entered into an amendment to the registration rights agreement entered into on March 31, 2026 with Leviston, pursuant to which we agreed to register the resale of shares underlying the June 2026 Promissory Note.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Letter of Intent</w:t>
      </w:r>
    </w:p>
    <w:p>
      <w:pPr>
        <w:pStyle w:val="TextBody"/>
        <w:shd w:fill="FFFFFF" w:val="clear"/>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submitted a non-binding letter of intent to acquire a rare earth company. There can be no assurance that definitive agreements will be entered into or any acquisition will be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completed the Merger, pursuant to which we were renamed “Mobix Labs, Inc.” As of the open of trading on December 22, 2023, the Class A Common Stock and Public Warrants of Mobix Labs, Inc., formerly those of Chavant, began trading on the Nasdaq Stock Market under the ticker symbols “MOBX” and “MOBXW,”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principal executive offices are located at 1 Venture, Suite 220, Irvine, CA 92618, and our telephone number at that location is (949) 808-8888. Our website address is </w:t>
      </w:r>
      <w:r>
        <w:rPr>
          <w:rFonts w:ascii="Times New Roman;Times;Serif" w:hAnsi="Times New Roman;Times;Serif"/>
          <w:b w:val="false"/>
          <w:i/>
          <w:caps w:val="false"/>
          <w:smallCaps w:val="false"/>
          <w:sz w:val="20"/>
        </w:rPr>
        <w:t>https://www.mobixlabs.com</w:t>
      </w:r>
      <w:r>
        <w:rPr>
          <w:rFonts w:ascii="Times New Roman;Times;Serif" w:hAnsi="Times New Roman;Times;Serif"/>
          <w:b w:val="false"/>
          <w:i w:val="false"/>
          <w:caps w:val="false"/>
          <w:smallCaps w:val="false"/>
          <w:sz w:val="20"/>
        </w:rPr>
        <w:t>. Information contained on our website is not a part of this prospectus, and the inclusion of our website address in this prospectus is an inactive textual reference only.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1" w:name="sp_007"/>
      <w:bookmarkEnd w:id="31"/>
      <w:r>
        <w:rPr>
          <w:rFonts w:ascii="Times New Roman;Times;Serif" w:hAnsi="Times New Roman;Times;Serif"/>
          <w:b/>
          <w:i w:val="false"/>
          <w:caps/>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7"/>
        <w:gridCol w:w="60"/>
        <w:gridCol w:w="8238"/>
      </w:tblGrid>
      <w:tr>
        <w:trPr/>
        <w:tc>
          <w:tcPr>
            <w:tcW w:w="1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Class A Common Stock offered by the Selling Stockholders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3,744,161 shares of Class A Common Stock, consisting of up to (i) 2,000,000 shares issuable upon conversion of the Preferred Shares and shares of Class A Common Stock issuable to the investor in connection with the transaction, (ii) 1,207,942 shares of Class A Common Stock issued in settlement of debt owed to lenders, (iii) 71,267 shares issued in connection with the settlement of litigation, and (iv) 464,952 shares issued as earnout shares in connection with our acquisition of RaGE Systems, Inc.</w:t>
            </w:r>
          </w:p>
        </w:tc>
      </w:tr>
      <w:tr>
        <w:trPr/>
        <w:tc>
          <w:tcPr>
            <w:tcW w:w="190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of Class A Common Stock outstanding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14,998,187 shares (as of June 8, 2026).</w:t>
            </w:r>
          </w:p>
        </w:tc>
      </w:tr>
      <w:tr>
        <w:trPr/>
        <w:tc>
          <w:tcPr>
            <w:tcW w:w="190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of Class B Common Stock outstanding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200,491 shares (as of June 8, 2026).</w:t>
            </w:r>
          </w:p>
        </w:tc>
      </w:tr>
      <w:tr>
        <w:trPr/>
        <w:tc>
          <w:tcPr>
            <w:tcW w:w="190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resale of shares of Class A Common Stock included in this prospectus by the Selling Stockholders. We may receive up to $6,000,000 to the extent the Preferred Warrant is exercised. We intend to use any proceeds from the exercise of the Preferred Warrant for working capital and general corporate purposes.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w:t>
            </w:r>
          </w:p>
        </w:tc>
      </w:tr>
      <w:tr>
        <w:trPr/>
        <w:tc>
          <w:tcPr>
            <w:tcW w:w="190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ticker symbols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MOBX” and “MOBXW” for the Class A Common Stock and Public Warrants,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outstanding is based on 14,998,187 shares of Class A Common Stock as of June 8, 2026 and excludes, in addition to the shares issuable upon conversion of the Preferred Shares, the following, in each case as of June 8, 2026, except as otherwise noted: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200,491 shares of Class A Common Stock issuable upon conversion of the Class B common stock, par value $0.00001 per share (“Class B Common Stock” and, together with the Class A Common Stock, the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210,009 shares of Class A Common Stock issuable upon the exercise of outstanding options under the Legacy Mobix equity plans that were assumed in the Merger;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574,477 shares of Class A Common Stock issuable upon settlement of restricted stock units;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439,007 shares of Class A Common Stock reserved for future issuance under the 2023 Equity Incentive Plan and 68,705 shares of Class A Common Stock reserved for future issuance under the 2023 Employee Stock Purchase Plan;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2,608,568 shares of Class A Common Stock issuable upon exercise of outstanding warrants at exercise prices ranging from $0.10 to $57.90;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350,000 shares of Class A Common Stock issuable as earnout shares to certain Legacy Mobix stockholders and option holders based on the achievement of trading price targets during the seven-year earnout period;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324,611 shares of Class A Common Stock underlying outstanding convertible promissory notes. </w:t>
            </w:r>
          </w:p>
        </w:tc>
      </w:tr>
    </w:tbl>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2" w:name="sp_008"/>
      <w:bookmarkEnd w:id="32"/>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you make a decision to buy our securities, in addition to the risks and uncertainties discussed above under the section titled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early-stage company, and it remains difficult to evaluate our future prospects and the risks and challenges we may encounter.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2020, we have invested a significant amount of time and expense into the design and development of technology for our current and anticipated future products, including mmWave wireless technology. We have also grown through acquisitions of other businesses, including our fiscal year 2024 acquisitions of RaGE Systems and EMI Solutions, which expanded our operations to the aerospace, military, defense, medical and other markets. However, it remains difficult to evaluate our future prospects and the risks and challenges we may encounter. Risks and challenges we have faced or expect to face include, but are not limited to, our ability to:</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develop and commercialize new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 and grow sales of our existing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our growth strategies including through mergers and acquisitions;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forecast our revenue and budget for and manage our expenses;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raise additional capital on acceptable terms to execute our business plan;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as a going concern;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new customers, retain existing customers and expand existing commercial relationships;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compete successfully in the highly competitive industries in which we operate;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for and manage capital expenditures for our current and future products, and manage our supply chain and supplier relationships related to our current and future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existing and new or modified laws and regulations applicable to our business in and outside the United States, including compliance requirements of U.S. customs and export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 and respond to macroeconomic changes and changes in the markets in which we operate;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enhance the value of our reputation and brand;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manage our growth and business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and protect intellectual property;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enhance the security of our IT system;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integrate and retain talented people at all levels of our organization;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defend our company in any legal proceeding that may arise and enforce our rights in any legal proceedings we may initiate;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and mitigate the adverse effects on our business of any public health emergencies, natural disasters, widespread travel disruptions, security risks including IT security, data privacy, cyber risks, international conflicts, geopolitical tension and other events beyond our control.</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address the risks and difficulties that we face, including those associated with the challenges listed above as well as those described elsewhere in this “</w:t>
      </w:r>
      <w:r>
        <w:rPr>
          <w:rFonts w:ascii="Times New Roman;Times;Serif" w:hAnsi="Times New Roman;Times;Serif"/>
          <w:b w:val="false"/>
          <w:i/>
          <w:caps w:val="false"/>
          <w:smallCaps w:val="false"/>
          <w:sz w:val="20"/>
        </w:rPr>
        <w:t>Risks Related to Our Business and Industry</w:t>
      </w:r>
      <w:r>
        <w:rPr>
          <w:rFonts w:ascii="Times New Roman;Times;Serif" w:hAnsi="Times New Roman;Times;Serif"/>
          <w:b w:val="false"/>
          <w:i w:val="false"/>
          <w:caps w:val="false"/>
          <w:smallCaps w:val="false"/>
          <w:sz w:val="20"/>
        </w:rPr>
        <w:t>” section, our business, financial condition, and results of operations could be adversely affected. Moreover, as we have limited historical financial data and operate in a rapidly evolving and highly competitive market, any predictions about our future revenue and expenses may not be as accurate as they would be if we had a longer operating history or operated in a more predictable market.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predict whether we will succeed in maintaining revenue growth, or when we will be able to generate income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we will succeed in maintaining revenue growth or when we will be able to generate income from operations. Our revenue has been, and may continue to be, adversely impacted if we are unable to obtain sufficient finished goods to fill customer orders and to maintain or increase our profit margins due to manufacturing limitations, replacement costs, and our capital constraints.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losses in the operation of our business and anticipate that our expenses will increase, potentially leading to continued losses from operations in the near future. Moreover, we may not be able to achieve or generate sufficient income from operations to sustain ourselves.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operating losses and negative cash flows, primarily due to our ongoing investment in product development. For the fiscal years ended September 30, 2025 and 2024, we incurred losses from operations of $37.7 million and $46.4 million, respectively. For the six months ended March 31, 2026 and 2025, we incurred losses from operations of $14.9 million and $22.5 million, respectively. As of March 31, 2026, we had an accumulated deficit of $166.6 million. Since then, we have continued to incur losses from operations, and we expect this trend to persist, along with negative cash flows from operations, for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not achieve or generate sufficient income from operations to sustain ourselves. We may incur substantial losses for reasons, including changes in demand for our products, increasing competition, challenging macroeconomic conditions, regulatory changes and other risks discussed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assure you that we will achieve or maintain profitability or that we will be 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is substantial doubt concerning our ability to continue as a going concern as we currently do not have adequate liquidity to meet our operating needs and satisfy our obligations for at least the next twelve months. We will need to raise additional working capital to continue our normal and planned operations. We will need to generate and sustain significant revenue levels in future periods in order to become profitable, and, even if we do, we may not be able to maintain or increase our level of profitability. In addition, as a public company, we will continue to incur increased accounting, legal, and other expenses which make it necessary for us to continue to raise additional working capital. Our efforts to grow our business may be costlier than expected, and we may not be able to generate sufficient revenue to offset our increased operating expenses. We may incur significant losses in the future for a number of reasons, including unforeseen expenses, difficulties, complications, delays, and other unknown events. Accordingly, substantial doubt exists about our ability to continue as a going concern, and we cannot assure you that we will achieve sustainable operating profits as we continue to expand our business and otherwise implement our growth initiatives and strategies.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included in this prospectus have been prepared on a going concern basis. We may not be able to generate profitable operations in the future and/or obtain the necessary financing to meet our obligations and pay liabilities arising from normal business operations when they come due. The outcome of these matters cannot be predicted with any certainty at this time. These factors raise substantial doubt that we will be able to continue as a going concern. We plan to continue to provide for our capital needs through sales of our securities, issuance of debt, and/or related party advances. Our financial statements do not include any adjustments to the amounts and classification of assets and liabilities that may be necessary should we be unable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to raise additional capital in the future to fund our operations and execute our business plan, which may not be available on terms acceptable to us, or at all. Any fundraising involving the sale and issuance of equity securities can substantially dilute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will require additional capital to respond to technological advancements, competitive dynamics, customer demands, business opportunities, challenges, acquisitions, or unforeseen circumstances. We may determine to engage in equity or debt financings or enter into credit facilities for other reasons. In order to further business relationships with current or potential customers or partners, we may also issue equity or equity-linked securities to current or potential customers or partners.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If we are unable to obtain adequate financing or financing on terms satisfactory to us, when we require it, our ability to continue to grow or support our business and to respond to business challenges could be significantly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entered into a non-binding letter of intent to acquire Vision Aerial, and any such acquisition is subject to significant uncertainty and may require additional dilutive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letter of intent relating to the proposed acquisition of Vision Aerial for aggregate consideration of approximately $15 million, payable in a combination of cash and shares of our Class A Common Stock. The letter of intent and the proposed transaction is subject to the negotiation and execution of a definitive agreement, the completion of due diligence and the satisfaction of customary closing conditions. We may not enter into a definitive agreement, and any transaction may not be completed on the terms contemplated, or at all. If we complete the proposed acquisition, we expect to fund the cash portion of the consideration through additional debt or equity financing, which may not be available on acceptable terms, or at all, and which may be dilutive to our stockholders, and we may issue shares of Class A Common Stock as part of the consideration, which would further dilute our existing stockholders. In addition, acquisitions involve numerous risks, including difficulties integrating the acquired business, the assumption of unknown liabilities and the diversion of management attention, any of which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issue shares of Class A Common Stock upon conversion of the Series A Preferred Stock, exercise of the Preferred Warrant, and conversion of the June 2026 Promissory Note is limited by Nasdaq listing standards unless we obtain stockholder approval, and conversions of the Series A Preferred Stock may be substantially 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Nasdaq listing standards, our ability to issue shares of Class A Common Stock to Kips Bay Select, LP upon conversion of the Series A Preferred Stock and exercise of the Preferred Warrant may be limited to 19.99% of our outstanding Class A Common Stock unless we obtain stockholder approval. Separately, our ability to issue shares of Class A Common Stock to Leviston upon conversion of the June 2026 Promissory Note may be limited to 19.99% of our outstanding Class A Common Stock unless we obtain stockholder approval. We currently expect to seek such approvals at an upcoming meeting of our stockholders. If we do not obtain stockholder approval, the number of shares of Class A Common Stock issuable upon conversion of the Series A Preferred Stock and exercise of the Preferred Warrant, and therefore the number of shares that may be resold under this prospectus, may be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successfully acquire or integrate new businesses, products, and technology, and we may not realize expected benefits, resulting in harm to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growing our businesses, including through the acquisition of complementary businesses, products, or technologies rather than through internal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suitable acquisition candidates can be difficult, time-consuming, and costly, and we may not be able to identify suitable candidates or successfully complete identified acquisitions. In addition, completing an acquisition could divert our management and key personnel from our business operations, which could harm the business and affect financial results. Even if we complete an acquisition, we may not be able to successfully integrate newly acquired organizations, products, technologies, or employees into our operations or may not fully realize some of the expected synergies. An acquired company may have deficiencies in product quality, regulatory marketing authorizations or certifications, or intellectual property protections, which are not detected during due diligence activities or which are unasserted at the time of acquisition. It may be difficult, expensive, and time-consuming for us to re-establish market access, regulatory compliance, or cure such deficiencies in product quality or intellectual property protection in such cases, which may have a material adverse impact on our business, financial condition, or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customers are unable to achieve widespread market acceptance of their products which incorporate our products, we may not be able to generate the revenue necessary to support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factors, among others, may affect the level of market acceptance of our products:</w:t>
      </w:r>
    </w:p>
    <w:p>
      <w:pPr>
        <w:pStyle w:val="TextBody"/>
        <w:bidi w:val="0"/>
        <w:spacing w:before="0" w:after="0"/>
        <w:ind w:left="0" w:right="0" w:firstLine="72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170"/>
        <w:gridCol w:w="95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customers’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industry or user perceptions of the convenience, safety, efficiency and benefits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sales and marketing efforts of our independent sales representative organizations and distributors;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support and rate of acceptance of our products and solutions;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achieve or maintain market acceptance of our products, and if our products do not win widespread market acceptance, our business may be significantly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customers generally require our products to undergo a lengthy qualification process, which does not assure product sales. If we are unsuccessful or delayed in qualifying these products with a customer, our business and operating results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purchasing our products, our customers generally require that our products and solutions undergo extensive qualification processes, which involve testing of the products and solutions. This qualification process can take several months, and qualification of a product by a customer does not assure any sales of the product to that customer. If we are unsuccessful or delayed in qualifying these products with a customer, our business and operating results may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Markets for our mmWave wireless semiconductor products are still developing and may not develop at the speed and scale as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products designed for mmWave wireless communication are relatively new and still developing, which makes our business and future prospects difficult to evaluate, and thus the estimates and forecasts of total addressable market and serviceable addressable market are subject to significant uncertainty. We and our customers are pursuing opportunities in markets that are undergoing rapid changes, including technological and regulatory changes, and it is difficult to predict the timing and size of the opportunities. Many of the wireless and wired applications we and our customers are working towards commercializing require complex technology and are subject to uncertainties with respect to, among other things, the heavy capital investment required to commercialize those applications, the competitive landscape, the rate of consumer acceptance and the impact of current or future regulations. Regulatory, safety or reliability developments, many of which are outside of our and our customers’ control, could also cause delays or otherwise impair commercial adoption of new technologies and solutions, which may adversely affect our growth.</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develop mmWave wireless semiconductor products, we face the risk that potential customers may not value or be willing to bear the cost of incorporating our products into their product offerings, particularly if they believe their customers are satisfied with prior offerings. If we are unable to sell mmWave semiconductor products we seek to develop, and subsequent generations of such products, the growth prospects of our mmWave wireless semiconductor products would be negatively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execute our growth strategies effectively, our business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scale our business quickly enough to meet customer and market demand, which could result in lower profitability or cause us to fail to execute on our business strategies. In order to grow our business, we will need to continue to evolve and scale our business and operations to meet customer and market demand. Evolving and scaling our business and operations places increased demands on our management as well as our financial and operational resources to:</w:t>
      </w:r>
    </w:p>
    <w:p>
      <w:pPr>
        <w:pStyle w:val="TextBody"/>
        <w:bidi w:val="0"/>
        <w:spacing w:before="0" w:after="0"/>
        <w:ind w:left="0" w:right="0" w:firstLine="72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new customers and grow our customer base;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additional products and services to our existing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 in our technology and product offerings;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manage organizational 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 and/or refocus research and development activities;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sales and marketing efforts;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broaden customer support and services capabilities;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or increase operational efficiencies;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 appropriate operational and financial systems;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effective financial disclosure, controls and procedures.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evolve and scale our business and operations effectively, we may not be able to execute our business strategies in a cost-effective manner, and our business, financial condition, profitability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markets for our semiconductor products and solutions are highly competitive, and some market participants have substantially greater resources. We compete against both established competitors and new market entrants with respect to, among other things, cost, technology, and engineering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semiconductor products and solutions are highly competitive. Our future success in commercializing any semiconductor products and solutions we develop will depend on whether we can deliver the technology, products, and solutions solving our target customers’ engineering challenges and continue to develop semiconductor products and solutions in a timely manner. Additionally, it will depend on whether we can successfully compete with existing and new competitors. Some of our competitors have longer operating histories, greater name recognition, more established customer bases, and significantly greater financial, technical, research and development, marketing, and other resources than we do. In some cases, our competitors may be better positioned to initiate or withstand substantial price competition. If we are not able to maintain favorable pricing for our products and solutions, our profit margin and profitability could suffer. Certain competitors may be better positioned to acquire competitive solutions and take advantage of acquisition or other similar expansion opportunities. Increased competition may result in pricing pressure and reduced margins, impeding our ability to increase the sales of our products or causing us to lose market share. Any of these outcomes will adversely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interconnect products are also subject to intense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our interconnect products and solutions are competitive and fragmented and are subject to changing technology and shifting customer needs. A number of vendors produce and market products and services that compete to varying extents with our offerings, both in terms of performance and price. We expect this competition to continue and intensify. Moreover, changes affecting the markets for our interconnect products could increase the chances that we will face competition from new products or service offerings from both existing and new competitors.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will greatly depend on our ability to successfully introduce new products and solutions for our markets that meet the needs of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will depend on our ability to introduce new products and improve and enhance our existing products. In furtherance of these efforts, we expect to invest significantly in ongoing research and development. If we do not adequately fund our research and development efforts, or if our investments in research and development do not translate into material enhancements to our products, we may not be able to compete effectively, and our business, results of operations, and financial condition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given the rapidly evolving nature of the markets in which we compete, our products and technology could be rendered obsolete by alternative or competing technologies. The markets in which we operate are characterized by changing technology and evolving industry standards. We may not be successful in identifying, developing, and marketing products or systems that respond to rapid technological change, evolving technical standards, and systems developed by others. If we do not continue to develop, manufacture, and market innovative technologies or applications that meet customers’ requirements, sales may suffer, and our growth prospects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consolidation of our customers may adversely affect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is characterized by the high costs associated with developing marketable semiconductor products and solutions as well as high levels of investment in production capabilities. As a result, the semiconductor industry and the markets we serve have experienced, and may continue to experience, consolidation among our competitors or customers. Larger competitors resulting from consolidations may have certain advantages over us, including, but not limited to, substantially greater financial and other resources with which to withstand adverse economic or market conditions and pursue development, engineering, manufacturing, marketing, and distribution of their products; longer operating histories; presence in key markets; patent protection; and greater name recognition. In addition, we may be at a competitive disadvantage to our peers if we fail to identify attractive opportunities to acquire companies to expand our business. Consolidation among our competitors or customers could erode our market share, negatively impact our capacity to compete and require us to restructure our operations, any of which could have a material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generate a substantial portion of our revenues from one customer and expect that we will generate revenue from a limited number of customers in the near future; and the loss of any key customer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customers are organizations that sell product solutions for defense, aerospace, commercial, industrial and other applications. We have also engaged with several OEMs and ODMs in an effort to secure them as customers for our mmWave ICs when the products are available for sale. If they do purchase our mmWave ICs, we expect them to purchase these products on a purchase order basis when we complete development and commence sales, which is customary in the semiconductor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sales to Leidos Holdings, Inc. accounted for approximately 50% of our net revenues and no other customer accounted for 10% or more of our net revenues. The loss of this customer would have a material adverse impact on our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generally do not obtain long-term purchase commitments, and although most of our customer orders are non-cancellable, some customers may choose to unilaterally cancel their purchase order which may adversely impact our revenue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limited exceptions, we generally do not obtain long-term commitments with our customers. While a majority of our customers are not permitted to cancel their product orders, in some cases, customers may unilaterally cancel their orders, which may adversely impact our revenue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Defects in our products or poor design and engineering solutions could result in lost sales and subject us to substantial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products perform poorly, whether due to design, engineering, or other reasons, we could lose sales. In certain cases, if our products are found to be the component that leads to failure or a failure to meet the performance specifications of our customer, we could be required to pay monetary damages to our customer. A defect in any of our products could give rise to significant costs, including expenses relating to recalling the products, replacing defective items and writing down defective inventory as well as lead to the loss of potential sales. In addition, the occurrence of such defects may give rise to product liability claims, including liability for damages caused by such defects if our semiconductors or the consumer products based on them malfunction and result in personal injury or death. Such claims could result in significant costs and expenses relating to damages and attorneys’ fees. Moreover, since the cost of replacing defective semiconductor devices is often much higher than the value of the devices themselves, we may at times face damage claims from customers that are in excess of the amounts paid to us for products, including consequential damages. We may even be named in product liability claims where there is no evidence that our products caused the damage in question. We maintain insurance to protect against certain types of claims associated with the use of our products, but our insurance coverage may not adequately cover any such claims. In addition, even claims that ultimately are unsuccessful could result in expenditures of funds in connection with litigation and divert management’s time and other resources. We also may incur costs and expenses relating to a recall of one or more of our products. In addition, our products could be subject to recalls directly or indirectly through the recall of products of our customers in which our products may be embedded. The process of identifying recalled products that have been widely distributed may be lengthy and require significant resources, and we may incur significant replacement costs, contract damage claims from our customers, and significant harm to our reputation. The occurrence of these problems could result in the delay or loss of market acceptance of our products and could adversely affect our business, operating results,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third-party suppliers for many of the components used in our products, and in the event of a disruption in our supply chain, any efforts to develop alternative supply sources may take longer to take effect than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third party suppliers, including suppliers outside the United States, for many of the components and materials used in our products. We cannot be sure that these suppliers will remain in business. Our reliance on offshore suppliers subjects us to a number of risks that include,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shortages, delivery delays and potential discontinuation of supply as a result of any recurrence of pandemics such as COVID-19, or other reasons outside of our control;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legal and economic changes, crises or instability and civil unrest in the jurisdictions where our manufacturers’ plants are located, such as changes in China-Taiwan relations that may adversely affect our manufacturers’ operations in Taiwan;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conversion risks and exchange rate fluctuations;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requirements of U.S. customs and international trade regulations.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U.S. and non-U.S. suppliers to secure parts, components and sub-systems used in our products also exposes us to volatility in the prices and availability of these materials and services. In some instances, we depend upon a single source of supply, manufacturing, services support or assembly or we may be subject to specific procurement requirements that limit the types of materials we use, which may further limit the suppliers and subcontractors we may utilize. Although the components and materials we require may be available from other suppliers, any attempt to transition our supply arrangement to one or more other suppliers could entail expense and could lead to delays in production. If we are unable to arrange for sufficient supply of the components and materials we require, we may encounter difficulty in meeting customer requirements or increases in our operating costs which could have a material adverse effect on our competitive position, results of operations, cash flows or financial condition.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and unfavorable global economic conditions could adversely affect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could be adversely affected by general conditions in the global economy and in the global financial markets, including conditions that are outside of our control, such as the impact of health and safety concerns, recent and ongoing price inflation in the United States, foreign and domestic government sanctions, and other disruptions to global supply chains. A severe or prolonged economic downturn, whether due to inflationary pressures or otherwise, could result in a variety of risks to our business, including weakened demand for our products, or the inability to raise additional capital when needed on acceptable terms, or at all. A weak or declining economy could strain our suppliers, possibly resulting in supply disruption, or cause delays in payments for our products by our customers. Any of the foregoing could harm our business and we cannot anticipate all the ways in which the current economic climate and financial market conditions could adversely impact us. If inflation increases, we may not be able to adjust prices sufficiently to offset the effect without negatively impacting our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sustained uncertainty about, or worsening of, geopolitical tensions could result in a global economic slowdown and long-term changes to global trade. Any or all of these factors could negatively affect our business, results of operations, financial condition and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manage expected growth in the scale and complexity of our operations, our performance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the commercialization of any of our products. Future growth would impose significant added responsibilities on members of our management. Our management, finance, development personnel, systems, and facilities currently in place may not be adequate to support this future growth. We need to effectively manage our operations, growth, and controls, and we continue to develop more robust business processes and improve our systems and procedures in each of these areas and to attract and retain enough numbers of talented employees. We may be unable to successfully implement these tasks on a larger scale, and, accordingly, may not achieve our growth goals.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comply with the laws and regulations to which we are subject could have a material adverse effect on our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and products are subject to export control and import laws and regulations. The failure to comply with any applicable regulations or requirements could subject us to investigations, sanctions, enforcement actions, fines, damages, civil or criminal penalties, or injunctions. Complying with import/export control and sanctions regulations may limit where, and with whom, we may do business. In addition, responding to any action will likely result in a significant diversion of management’s attention and financial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trade policy, tariffs and import/export regulations may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global political, regulatory, and economic conditions or in laws and policies governing foreign trade, manufacturing, development, and investment in the territories or countries where we may purchase, manufacture, or sell our products or conduct our business could adversely affect our business. In recent years, the United States has instituted or proposed changes in trade policies that include export control restrictions, the negotiation or termination of trade agreements, the imposition of higher tariffs on imports into the United States, increased economic sanctions on individuals, corporations, or countries, and other government regulations affecting trade between the United States and other countries where we conduct our business or plan to conduct business. A number of other nations have proposed or instituted similar measures directed at trade with the United States in response. As a result of these developments, there may be greater restrictions and economic disincentives on international trade that could adversely affect our business. It may be time-consuming and expensive for us to alter our business operations to adapt to or comply with any such changes, and any failure to do so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depends on our ability to retain key employees, and to attract, retain and motivate qualified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depends, in part, on our ability to attract and retain key personnel, including engineers, technicians, machinists, and management personnel. For example, our research and development efforts rely on hiring and retaining qualified engineers. Competition for highly skilled engineers is extremely intense, and we may face difficulty in identifying and hiring qualified engineers in many areas of our business. Additionally, our future hinges on the continued contributions of our executive officers and other key management and technical personnel, each of whom would be challenging to replace. We do not maintain a key person life insurance policy on our chairman of the board, our chief executive officer, or our president and chief financial officer. The loss of the services of one or more of our senior executive officers or key personnel, or the inability to continue to attract qualified personnel, could potentially delay product development cycles or otherwise materially harm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upon our officers and directors, and their loss could adversely affect our ability to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dependent upon a relatively small group of individuals and, in particular, our officers and directors. We believe that our success depends on the continued service of our officers and directors. None of our directors are required to commit any specified amount of time to our affairs and, accordingly, will have conflicts of interest in allocating their time among various business activities. The unexpected loss of the services of one or more of our directors or officers could have a detrimental effect on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identified material weaknesses in our internal control over financial reporting. If we are unable to maintain effective internal control over financial reporting, we may not be able to accurately or timely report our financial condition or results of operations, which may adversely affect our business and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an effective control environment commensurate with our financial reporting requirements. Specifically, we lacked a sufficient complement of personnel with an appropriate level of accounting knowledge, training and experience to appropriately analyze, record and disclose accounting matters timely and accurately. Additionally, the insufficient complement of personnel resulted in an inability to consistently establish appropriate authorities and responsibilities in pursuit of financial reporting objectives, as demonstrated by, among other things, insufficient segregation of duties in its finance and accounting functions;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an effective risk assessment process at a precise enough level to identify new and evolving risks of material misstatement in the financial statements. Specifically, changes to existing controls or the implementation of new controls have not been sufficient to respond to changes to the risks of material misstatement to financial reporting.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contributed to the following additional material weaknesses: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formal accounting policies, procedures and controls to achieve complete, accurate and timely financial accounting, reporting and disclosures, including controls over (i) the preparation and review of account reconciliations and journal entries, (ii) maintaining appropriate segregation of duties, (iii) determining the appropriate grant date for stock options and evaluating the assumptions used within the Black-Scholes model to determine the fair value of option grants, and (iv) the review of the completeness and accuracy of the income tax provision and related disclosures. Additionally, we did not design and maintain controls over the classification and presentation of accounts and disclosures in the financial statements and to ensure revenue transactions are recorded in the correct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to identify and account for certain non-routine, unusual or complex transactions, including the proper application of U.S. GAAP of such transactions. Specifically, we did not design and maintain effective controls to (i) timely identify, account for and value business combinations and asset acquisitions, including the associated tax implications and (ii) timely identify, account for and value financing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to verify transactions are properly authorized, executed, and accounted for, including transactions related to incentive compensation arrangements.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resulted in adjustments to revenue, accrued expenses, general and administrative expenses, inventory, costs of products sold, the accounting for and classification of redeemable convertible preferred stock, founders preferred and common stock, stock-based compensation expense, other current assets, income tax expense and deferred tax liabilities, as well as the purchase price allocation for the business combination, as of and for the years ended September 30, 2022 and 2021; adjustments to stock-based compensation expense, accrued expenses, other current liabilities and the PIPE make-whole liability, as well as the purchase price allocations for our business combinations as of and for the interim periods ended December 31, 2023 and June 30, 2024, and as of and for the year ended September 30, 2024; and, an adjustment to the number of shares of our Class B Common Stock reported as issued and outstanding as of June 30, 2025.</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IT general controls for information systems that are relevant to the preparation of the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 These deficiencies did not result in a misstatement to the financial statements.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these material weaknesses could result in a misstatement of substantially all of our accounts or disclosures that would result in a material misstatement to the annual or interim financial statements that would not be prevented or detected.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working to remediate the material weaknesses as efficiently and effectively as possible. At this time, we cannot provide an estimate of costs expected to be incurred in connection with implementing this remediation plan; however, these remediation measures will be time consuming, will result in us incurring significant costs and will place significant demands on our financial and operational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designing and implementing measures to remediate our existing material weaknesses, we cannot predict the success of such measures or the outcome of our assessment of these measures at this time. We can give no assurance that these measures will remediate any of the deficiencies in our internal control over financial reporting, or that we will not identify additional material weaknesses in our internal control over financial reporting in the future. Our current controls and any new controls that we develop may become inadequate because of changes in conditions in our business, personnel, IT systems and applications, or other factors. Any failure to design or maintain effective internal control over financial reporting or any difficulties encountered in their implementation or improvement could increase compliance costs, negatively impact share trading prices, or otherwise harm our operating results or cause us to fail to meet our reporting obligations.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our ability to record, process, summarize and report information within the time periods specified in the rules and forms of the SEC could be adversely affected, which, in turn, may adversely affect our reputation and business and the market price of our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to furnish a report by management on, among other things, the effectiveness of our internal control over financial reporting. Our independent registered public accounting firm is not required to attest to the effectiveness of our internal control over financial reporting until after we are no longer an “emerging growth company,” as defined in the JOBS Act, or a “smaller reporting company,” as defined in Item 10(f)(1) of Regulation S-K. We may not be able to conclude on an ongoing basis that we have effective internal control over financial reporting, in which case our independent registered public accounting firm could not issue an unqualified opinion related to the effectiveness of our internal control over financial reporting. If we continue to conclude that we have ineffective internal control over financial reporting and our independent registered public accounting firm is unable to issue an unqualified opinion related to the effectiveness of our internal control over financial reporting, investors could lose confidence in our reported financial information, which could have a material adverse effect on the trading price of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suffer in the event of a security breach involving our IT systems, intellectual property or other proprietary or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the efficient and uninterrupted operation of complex information technology applications, systems, and networks to conduct our business. The reliability and security of our information technology infrastructure and software, as well as our ability to expand and continually update technologies in response to changing needs, are critical to our operations. Any significant interruption in these applications, systems, or networks - such as new system implementations, computer viruses, cyberattacks, security breaches, facility issues, or energy blackouts - could result in misappropriation of our intellectual property or other proprietary or confidential information and could have a material adverse impact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also depends on various outsourced IT services. We rely on third-party vendors to provide critical services and to adequately address cybersecurity threats to their own systems. Any failure of third-party systems and services to operate effectively could disrupt our operations and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Instituting and defending against intellectual property or other types of litigation and administrative proceedings could cause us to spend substantial resources, distract our personnel from their normal responsibilities, and have uncertain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been, are currently, and may in the future be involved in actual and threatened litigation, regulatory proceedings, and commercial or contractual disputes that may be significant. These matters may include, without limitation, disputes with suppliers and customers, competitors, intellectual property disputes, government investigations, and stockholder litigation. In such matters, government agencies or private parties may seek to recover very large, indeterminate amounts of monetary damages or penalties from us, including, in some cases, treble or punitive damages. These types of litigation and proceedings could require significant management time and attention or could involve substantial legal liability. They could have a material adverse impact on our operating results and financial position, and our established reserves or our available insurance may not sufficiently mitigate this impact.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potential customers, including those in the military and aerospace industries, may require us to comply with additional regulatory requirements, which will increase our compliance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potential customers, including those in the military and aerospace industries, may require us to comply with additional regulatory requirements. These additional regulations may impose added costs on our business and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be adversely affected by violations of applicable anti-corruption laws or violations of our internal policies designed to ensure ethical business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risk that we, our U.S. employees or employees located in other jurisdictions or any third parties that we engage to do work on our behalf in foreign countries may take action determined to be in violation of anti-corruption laws in any jurisdiction in which we conduct business, including the U.S. Foreign Corrupt Practices Act of 1977 (the “FCPA”). Any violation of the FCPA or any similar anti-corruption law or regulation could result in substantial fines, sanctions, civil and/or criminal penalties and curtailment of operations in certain jurisdictions and might adversely affect our business, results of operations or financial condition. In addition, we have internal ethics policies that we require our employees to comply with in order to ensure that our business is conducted in a manner that our management deems appropriate. If these anti-corruption laws or internal policies were to be violated, our reputation and operations could also be substantially harmed.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intellectual property applications, including patent and trademark applications, may not be issued or granted or may take longer than expected to result in an issuance or grant, which may have a material adverse effect on our ability to enforce our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number of patents and pending patent applications for our business. In addition, we have had both registered trademarks and pending trademark applications. We cannot be certain that our applications for patent and trademark protection will be successful, and even if issued or granted, we cannot guarantee that such patents or trademarks will provide meaningful protection of our intellectual property. In addition, we may not be able to file and/or prosecute all necessary or desirable applications for intellectual property registrations at a reasonable cost or in a timely manner or pursue or obtain protection in all relevant markets, which could adversely affect our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our intellectual property, and our failure to protect that intellectual property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protect our existing intellectual property rights may result in the loss of exclusivity or the right to use our technologies. If we do not adequately ensure our freedom to use certain technology, we may have to pay others for rights to use their intellectual property, pay damages for infringement or misappropriation, and/or be enjoined from using such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our technology and products do not or will not infringe upon the intellectual property rights of third parties. If infringement were to occur, our development, manufacturing, sales and distribution of such technology or products may be disrupted.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patent, trade secret, trademark and copyright law to protect our intellectual property. Our patent position is subject to complex factual and legal issues that may give rise to uncertainty as to the validity, scope and enforceability of a particular patent. Accordingly, we cannot assure that any of the patents we have filed or other patents that third parties license to us will not be invalidated, circumvented, challenged, rendered unenforceable, or licensed to others or that any of our pending or future patent applications will be issued with the breadth of claim coverage we seek, if issued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patent, trademark, copyright and trade secret protection may be unavailable, limited or not applied for in certain foreign countries. For instance, it may be difficult for us to enforce certain of our intellectual property rights against third parties who may have inappropriately acquired interests in our intellectual property rights by filing unauthorized trademark applications in foreign countries to register our marks because of their familiarity with our business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proprietary intellectual property is not protected by any patent or patent application, and, despite our precautions, it may be possible for third parties to obtain and use such intellectual property without authorization. We have generally sought to protect such proprietary intellectual property in part by confidentiality agreements and, if applicable, inventors’ rights agreements with strategic partners and employees, although such agreements have not been put in place in every instance. We cannot guarantee that these agreements adequately protect our trade secrets and other intellectual property or proprietary rights. In addition, we cannot ensure that these agreements will not be breached, that we will have adequate remedies for any breach or that such persons or institutions will not assert rights to intellectual property arising out of these relationships. Furthermore, the steps we have taken and may take in the future may not prevent misappropriation of our solutions or technologies, particularly in respect of officers and employees who are no longer employed by us or in foreign countries where laws or law enforcement practices may not protect our proprietary rights as fully as in the United States.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state, federal and international privacy and data protection laws and regulations. Our failure to comply with these laws and regulations could have an adverse effect on our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state, federal and international privacy and data protection-related laws and regulations that impose obligations on us in connection with the collection, storage, use, processing, disclosure, protection, transmission, retention and disposal of personal, sensitive, regulated and confidential data. We also may be bound by contractual obligations relating to our collection, use and disclosure of personal, confidential and other data. While we strive to comply with all applicable privacy, data protection and information security laws and regulations, as well as our contractual obligations and applicable industry standards, such laws, regulations, obligations and standards continue to evolve and are becoming increasingly complex, which makes compliance challenging and expensive. Any failure or perceived failure by us to comply with laws, regulations, industry standards or contractual or other legal obligations relating to privacy, data protection or information security could have an adverse effect on our reputation,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and must remain in compliance with, numerous laws and governmental regulations across various jurisdictions concerning the development and sale of our products, including engagement of employees and contractors.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and sell products that contain electronic components, and such components may contain materials that are subject to government regulation in both the locations where the products are manufactured and assembled, as well as the locations where the products are sold. Since we sell products internationally and intend to significantly increase our sales as we commercialize our semiconductor products, this will be a complex process that will require continuous monitoring of regulations and an ongoing compliance process to ensure that we, and our suppliers and manufacturers, are in compliance with all existing regulations. If there is an unanticipated new regulation that significantly impacts our use of various components or requires more expensive components, that regulation could materially adversely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event that we are unable to maintain compliance with Nasdaq’s continued listing standards, Nasdaq may delist our securities from trading on its exchange, which could limit investors’ ability to make transactions in our securities and subject us to additional trading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Class A Common Stock and the Public Warrants are traded on Nasdaq. However, we cannot assure you that our securities will continue to be listed on Nasdaq in the future. In order to continue listing our securities on Nasdaq, we are required to maintain certain financial, distribution, and stock price levels. We are required to maintain a minimum bid price of $1.00 per share (the “Minimum Bid Price Requirement”). On April 28, 2025, we received a delinquency notification letter (the “Notice”) from Nasdaq’s Listing Qualifications Staff (the “Staff”) due to the non-compliance with Nasdaq Listing Rule 5550(a)(2) as a result of our failure to maintain the Minimum Bid Price Requirement. The Notice stated that, as of its date, the stock price of the Class A Common Stock was below $1.00 for 30 consecutive business days and gave us 180 calendar days, or until October 27, 2025, to regain compliance by maintaining a closing bid price of at least $1.00 per share for a minimum of ten consecutive business days (the “Initial Compliance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we submitted a request to Nasdaq for an additional 180-day period (the “Second Compliance Period”) to provide additional time for us to demonstrate compliance with the Minimum Bid Price Requirement. On October 29, 2025 we received written notice from Nasdaq (the “Extension Letter”) granting us an extension through April 27, 2026 (the “Extension Deadline”), to regain compliance with the Minimum Bid Price Requirement. On March 23, 2026, our stockholders approved a proposal to effect the Reverse Stock Split. The Reverse Stock Split went effective after market close on April 6, 2026. The effects of the Reverse Stock Split allowed us to regain compliance with the Minimum Bid Price Requirement as of April 21, 2026; however, the Reverse Stock Split is subject to certain risks, which are outlined below. We may in the future fail to meet the Minimum Bid Price Requirement and in such event, if we fail to timely regain compliance with the Minimum Bid Price Requirement, Nasdaq will provide written notification to us that our common stock is subject to delisting. Nasdaq rules provide that any listed company that fails to meet the Minimum Bid Price Requirement and has effected a reverse stock split over the prior one-year period, or has effected one or more reverse stock splits over the prior two-year period with a cumulative ratio of 250 shares or more to one, will not be eligible for an automatic 180-day grace compliance period and the Staff is obligated to immediately issue a delisting determination. Therefore, if we were to fall out of compliance with the Minimum Bid Price Requirement prior to April 6, 2027, we would not be able to effect a reverse stock split and would immediately be issued a delisting determination.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required to maintain a minimum market capitalization (generally $35 million) and a minimum number of holders of our listed securities (generally 400 public holders). On January 15, 2026, we received a delinquency notification letter (the “MVLS Notice”) from the Staff that we are not compliant with Nasdaq Listing Rule 5550(b)(2) as a result of our failure to maintain a minimum Market Value of Listed Securities (“MVLS Requirement”) of $35 million. We have subsequently regained compliance with the MVLS Requirement. However, we may in the future fail to meet the MVLS Requirement and in such event, if we fail to timely regain compliance with the MVLS Requirement, Nasdaq will provide written notification to us that our common stock is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Securities Markets Improvement Act of 1996, which is a federal statute, prevents or preempts the states from regulating the sale of certain securities, which are referred to as “covered securities.” Since our Class A Common Stock and our Public Warrants are listed on Nasdaq, they are covered securities. If we are no longer listed on Nasdaq, our securities would not be covered securities and we would be subject to regulation in each state in which we offer our securities.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Reverse Stock Split Has Led to a Decrease in the Overall Market Capitalization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may be viewed negatively by the market. Following the Reverse Stock Split, our per share market price has declined, which has resulted in a decrease in our overall market capitalization. If there are further decreases in the per share market price of our Class A Common Stock, then our value, as measured by our market capitalization, will be reduced.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securities is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securities has been and may continue to be volatile. The price of our securities may fluctuate significantly in response to a number of factors, many of which are outside our control, and investors in our securities may experience decreases in the value of those securities, including decreases unrelated to our operating performance. In addition, price volatility may be greater if the public float and trading volume of our Class A Common Stock is 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the market price of our securities to fluctuate or decline include,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operating results from period to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expectations regarding our growth, profitability or other performance metrics;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regarding our business, including contracts, acquisitions, financings, strategic partnerships or joint ventures;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or recommendations by securities analysts, or the failure to meet analysts’ or investors’ expectations;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or stock price performance of other companies that investors may view as comparable to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or expected sales of a significant number of shares of our Class A Common Stock by us or by our directors, executive officers or other large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including future issuances of equity or convertible securities or the incurrence of additional indebtedness;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 litigation, regulatory matters or governmental investigations involving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regulations, accounting standards or interpretations applicable to us or our industry;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economic, industry and geopolitical conditions, including recessions, interest rate changes, currency fluctuations and acts of war, terrorism or natural disasters.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broad market and industry factors, including those unrelated to our actual or expected operating performance, may materially and adversely affect the market price of our securities. As a result, you may not be able to resell such securities at or above the price you paid and may lose all or part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equity research analysts do not publish research or reports, or if they publish unfavorable research or reports about our company,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Class A Common Stock may be influenced by the research and reports that equity research analysts publish about us and our business. In the event we do have equity research analyst coverage, the information and opinions about our Class A Common Stock that is available to investors may be limited, which could reduce demand for our stock. The price of our stock could decline if one or more equity research analysts downgrade the stock or issue other unfavorable commentary or research. If one or more equity research analysts ceases coverage of us or fails to publish reports regularly, demand for our stock could decrease, which, in turn, could cause our stock price or trading volume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changing laws and regulations regarding corporate governance and public disclosure that have increased both our costs and the risk of non-compliance and may adversely affect our business, and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and regulations enacted by national, regional and local governments. In particular, we are required to comply with certain SEC and other legal requirements. Our efforts to comply with new and changing laws and regulations have resulted in and are likely to continue to result in, increased general and administrative expenses and a diversion of management time and attention from revenue-generating activities to compliance activities. Those laws and regulations and their interpretation and application may also change from time to time, and those changes could have a material adverse effect on our business, investments and results of operations.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 In addition, a failure to comply with applicable laws or regulations, as interpreted and applied, could have a material adverse effect on our business, and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dual class structure of our Common Stock has the effect of concentrating voting control with the holders of our Class B Common Stock, most of whom are our directors or management; this may limit your ability to influence corporate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Common Stock has ten votes per share and Class A Common Stock has one vote per share. Stockholders who hold shares of Class B Common Stock, including certain of our executive officers and directors and their affiliates, together hold a substantial portion of the voting power of our outstanding capital stock. Because of the ten-to-one voting ratio between the Class B Common Stock and the Class A Common Stock, the holders of Class B Common Stock collectively control a substantial portion of the combined voting power of the Common Stock and therefore may be able to significantly influence matters submitted to our stockholders for approval. This may limit the ability of holders of our Class A Common Stock to influence corporate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by holders of Class B Common Stock will generally result in those shares automatically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of Class B Common Stock until the automatic conversion of the outstanding shares of Class B Common Stock into shares of Class A Common Stock on December 21, 2030.</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securities or class action litigation, which is expensive and could divert management’s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price may be volatile and, in the past, companies that have experienced volatility in the market price of their stock have been subject to securities litigation, including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or any amounts paid to settle any such actual or threatened litigation could require that we make significant payments and/or could also subject us to significant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and if we take advantage of certain exemptions from disclosure requirements available to emerging growth companies or smaller reporting companies, our securities could be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we will not be required to comply with the auditor attestation requirements of Section 404(b) of the Sarbanes-Oxley Act, we will be exempt from any rules that could be adopted by the Public Company Accounting Oversight Board requiring mandatory audit firm rotations or requiring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earlier of (i) the last day of the fiscal year (a) following the fifth anniversary of the initial public offering of Chavant, which occurred on July 19, 2021, (b) in which we have total annual gross revenue of at least $1.235 billion or (c) in which we are deemed to be a large accelerated filer, which means the market value of our common equity that is held by non-affiliates exceeds $700 million as of the last business day of our most recently completed second fiscal quarter, and (ii) the date on which we have issued more than $1.0 billion in non-convertible debt securities during the prior three-year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exact implications of the JOBS Act are subject to interpretation and guidance by the SEC and other regulatory agencies, and we cannot assure you that we will be able to take advantage of all of the benefits of the JOBS Act. In addition, investors may find the Class A Common Stock less attractive to the extent we rely on the exemptions and relief granted by the JOBS Act. If some investors find the Class A Common Stock less attractive as a result, there may be a less active trading market for the Class A Common Stock and our stock price may decline or become more volatile.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equity held by non-affiliates exceeds $250 million as of the last business day of the most recently completed second fiscal quarter or (ii) the market value of our common equity held by non-affiliates exceeds $700 million as of the last business day of the most recently completed second fiscal quarter and our annual revenue in the most recent fiscal year completed before the last business day of such second fiscal quarter exceeded $100 million. To the extent we take advantage of such reduced disclosure obligations, it may make comparison of our financial statements with other public companies difficult or impossible.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do not anticipate paying any cash dividends on our Class A Common Stock in the foreseeable future, capital appreciation, if any, will be your sole source of gains and you may never receive a return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on an investment in the Class A Common Stock to provide dividend income. We currently intend to retain our future earnings, if any, to fund the development and growth of our business. In addition, the terms of any future debt agreements we may elect to utilize are likely to preclude us from paying dividends. As a result, capital appreciation, if any, of the Class A Common Stock will be your sole source of gain for the foreseeable future. Investors seeking cash dividends should not purchase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Class A Common Stock may cause the market price of our Class A Common Stock to drop significantly, even if our business is doing well.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shares of Class A Common Stock owned by current stockholders will likely be diluted because of equity issuances for acquisitions, capital market transactions, or otherwise, including, without limitation, equity awards that we may grant to our directors, officers, and employees, exercise of warrants or meeting the conditions triggering the issuance of the Earnout Shares and conversion of Class B Common Stock. These issuances will have a dilutive effect on our earnings per share, which could adversely affect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Class A Common Stock in the public market, or the perception that such sales could occur, could adversely affect the market price of our Class A Common Stock and may make it more difficult for investors to sell their shares of our Class A Common Stock at a time and price that investors deem appropriate. In October 2025, we entered into an At The Market Offering Agreement with Roth Capital Partners, LLC (“Manager”) under which we may offer and sell, from time to time at our sole discretion, up to $15.8 million in shares of our Class A Common Stock through the Manager acting in its capacity as our sales agent. In addition, we may issue a substantial number of Class A Common Stock upon conversion of the Preferred Shares and the June 2026 Promissory Note, including pursuant to the adjustment provisions of the Preferred Shares and the June 2026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2024, March 28, 2025, and April 27, 2026, we filed registration statements on Form S-8 under the Securities Act with the SEC to register shares of our Class A Common Stock that may be issued under our equity incentive plans from time to time, as well as any shares of our Class A Common Stock underlying outstanding options and restricted stock units (“RSUs”) that have been granted or promised to our directors, executive officers and other employees, all of which are subject to time-based vesting conditions. Shares registered under these registration statements will be available for sale in the public market upon issuance subject to vesting arrangements and exercise of options, as well as Rule 144 in the case of our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Class A Common Stock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Class A Common Stock at a time and price that you deem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continuous sales of a substantial number of our shares of Class A Common Stock in the public market pursuant to resale registration statements, or the perception that these sales might occur, could depress the market price of our securities. The frequency of such sales could cause the market price of our securities to decline or increase the volatility in the market price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the effect that these sales, particularly sales by our directors, executive officers and significant stockholders, may have on the prevailing market price of our Class A Common Stock. If holders of these shares sell, or indicate an intent to sell, substantial amounts of our Class A Common Stock in the public market, the trading price of our Class A Common Stock could decline significantly and make it difficult for us to raise funds through securities offerings in the future.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outstanding warrants are exercisable for Class A Common Stock, and, if exercised, would increase the number of shares eligible for future resale in the public market and would result in dilution 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8, 2026, we have warrants outstanding, which are exercisable to purchase an aggregate of 2,608,568 shares of our Class A Common Stock for prices ranging from $0.10 to $57.90 per share (subject to adjustments as set forth in the applicable warrants). In addition, we may issue 6,000 shares of Series A Preferred Stock upon exercise of the Preferred Warrant, which shares of Series A Preferred Stock are convertible into shares of Class A Common Stock. To the extent such warrants are exercised, additional shares of Class A Common Stock will be issued, which will result in dilution to the holders of Class A Common Stock and will increase the number of shares eligible for resale in the public market. Sales of substantial numbers of such shares in the public market or the fact that such warrants may be exercised could adversely affect the market price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and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as amended (the “</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and Bylaws provide, that: (i) unless we consent in writing to the selection of an alternative forum, the Court of Chancery of the State of Delaware (or, if such court does not have subject matter jurisdiction thereof, another state or federal court located within the State of Delaware) will, to the fullest extent permitted by law, be the sole and exclusive forum for (a) any derivative action or proceeding brought on behalf of us, (b) any action asserting a claim of breach of fiduciary duty owed by any director, officer or employee of us to us or the stockholders, (c) any civil action to interpret, apply or enforce any provision of the Delaware General Corporation Law, (d) any civil action to interpret, apply, enforce or determine the validity of the provisions of the Charter or the Bylaws or (e) any action asserting a claim governed by the internal affairs doctrine, in all cases, subject to the court having personal jurisdiction over the indispensable parties named as defendants, provided, however, that the foregoing would not apply to any causes of action arising under the Securities Act or the Exchange Act; (ii) unless we consent in writing to the selection of an alternative forum, the federal district courts of the United States will, to the fullest extent permitted by law, be the sole and exclusive forum for the resolution of any complaint asserting a cause of action arising under the Securities Act, and the rules and regulations promulgated thereunder, provided, however, that the foregoing will not apply to any action asserting claims under the Exchange Act; (iii) any person or entity purchasing or otherwise acquiring or holding any interest in shares of capital stock of us will be deemed to have notice of and consented to these provisions; and (iv) failure to enforce the foregoing provisions would cause us irreparable harm, and it would be entitled to equitable relief, including injunctive relief and specific performance, to enforce the foregoing provisions. Nothing in our Charter or Bylaws precludes stockholders that assert claims under the Exchange Act from bringing such claims in federal court to the extent that the Exchange Act confers exclusive federal jurisdiction over such claims, subject to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provisions may limit a stockholder’s ability to bring a claim in a judicial forum that it finds favorable for disputes with us or any of our current or former director, officer, or other employee, which may discourage such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 and provisions in the Charter and the Bylaws could make a takeover proposal more difficult.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Charter, the Bylaws, and laws of the State of Delaware could discourage, delay, defer, or prevent a merger, tender offer, proxy contest, or other change of control transaction that a stockholder may consider favorable, including those attempts that might result in a premium over the market price for our Class A Common Stock. Among other things, the Charter and Bylaws include provisions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a dual class common stock structure, which provides the holders of Class B Common Stock, most of whom are our management, with the ability to control the outcome of matters requiring stockholder approval, even if they collectively own significantly less than a majority of the shares of Mobix Labs’ outstanding Class A Common Stock and Class B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a classified board of directors with staggered, three-year terms, which could delay the ability of stockholders to change the membership of a majority of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so long as any shares of Class B Common Stock remain outstanding, the holders of a majority of the voting power of the shares of Class B Common Stock then outstanding will be entitled to elect three members of the board of directors (“Class B Directors”) and for so long as there are three Class B Directors, each class will contain no more than one Class B Director;</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 cumulative voting in the election of directors, which limits the ability of minority stockholders to elect director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the exclusive right of the Board to elect a director to fill a vacancy created by the expansion of the Board or the resignation, death or removal of a director not elected by the holders of a class or series of capital stock of Mobix Labs or pursuant to the Charter, which prevents stockholders from being able to fill vacancies on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Board to issue shares of common stock and preferred stock, including “blank check” preferred stock, and to determine the price and other terms of those shares, including preferences and voting rights of the preferred stock, without stockholder approval, which could be used to significantly dilute the ownership of a hostile acquirer;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 stockholder action by written consent, which forces stockholder action to be taken at an annual or special meeting of stockholders, provided that any action to be taken at any meeting of the holders of Class B Common Stock may be taken without a meeting and by written consent;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special meetings of stockholders be called (a) solely by the Chairperson of the Board, the Chief Executive Officer, or the President of Mobix Labs or by the Mobix Labs Board, and (b) by the Board upon the written request (made in accordance with the Charter and Bylaws) of the holders of not less than ten percent of the voting power of the outstanding shares of capital stock of Mobix Labs, which may delay the ability of stockholders to force consideration of a proposal or to take action, including the removal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advance notice requirements for nominations for election to the Board (other than directors elected by the holders of any class or series of capital stock of Mobix Labs pursuant to the Charter, initially being the Class B Directors) or for proposing matters that can be acted upon by stockholders at annual meetings of stockholders (other than matters on which the holders of any class or series of capital stock of Mobix Labs are entitled to vote on as a single class pursuant to the Charter), which could preclude stockholders from bringing matters before annual meetings of stockholders and delay changes in the Board and also may discourage or deter a potential acquirer from conducting a solicitation of proxies to elect the acquirer’s own slate of directors or otherwise attempting to obtain control of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a supermajority vote of stockholders to amend certain provisions of the Charter or the Bylaws;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right of the Board to make, alter or repeal the Bylaws, which may allow the Board to take additional actions to prevent an unsolicited takeover and inhibit the ability of an acquirer to amend the Bylaws to facilitate an unsolicited takeover attempt.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alone or together, could delay hostile takeovers and changes in control of our company or changes in the Board and our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Delaware corporation, we are also subject to provisions of Delaware law, including Section 203 of the DGCL, which prevents some stockholders holding more than 15% of outstanding Class A Common Stock from engaging in certain business combinations without approval of the holders of substantially all of the Class A Common Stock. Any provision of our Charter or Bylaws or Delaware law that has the effect of delaying or deterring a change in control could limit the opportunity for stockholders to receive a premium for their shares of Class A Common Stock and could also affect the price that some investors are willing to pay for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redeem your unexpired Public Warrants prior to their exercise at a time that is disadvantageous to you, thereby rendering your warrants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ability to redeem outstanding Public Warrants at any time after they become exercisable and prior to their expiration, at a price of $0.10 per Public Warrant, provided that the closing price of our Class A Common Stock equals or exceeds $90.60 per share (as adjusted for share subdivisions, share capitalizations, reorganizations, recapitalizations, and the like, and for certain issuances of Class A Common Stock and equity-linked securities for capital-raising purposes) for any 20 trading days within a 30 trading-day period commencing once the Public Warrants become exercisable and ending on the third trading day prior to proper notice of such redemption and provided that certain other conditions are met on the date we give notice of redemption. We will not redeem the Public Warrants unless an effective registration statement under the Securities Act covering the Class A Common Stock issuable upon exercise of the Public Warrants is effective and a current prospectus relating to those shares of Class A Common Stock is available throughout the 30-day redemption period, except if the Public Warrants may be exercised on a cashless basis and such cashless exercise is exempt from warrant registration under the Securities Act. If and when the Public Warrants become redeemable by us, we may exercise our redemption right even if we are unable to register or qualify the underlying securities for sale under all applicable state securities laws.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accept the nominal redemption price, which, at the time the outstanding Public Warrants are called for redemption, is likely to be substantially less than the market value of your Public Warrants. None of the Public Warrants will be redeemable by us so long as they are held by their initial purchasers or their permitted transferees.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amend the terms of the Public Warrants in a manner that may be adverse to warrant holders. As a result, the exercise price of your Public Warrants could be increased, the Public Warrants could be converted into cash or stock (at a ratio different than initially provided), the exercise period could be shortened, and the number of shares of Class A Common Stock purchasable upon exercise of a Public Warrant could be decreased, all without the approval of a warrant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Accordingly, we may amend the terms of the Public Warrants in a manner adverse to a holder of Public Warrants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Public Warrants, convert the Public Warrants into cash or shares, shorten the exercise period, or decrease the number of Class A Common Stock purchasable upon exercise of a Public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3" w:name="sp_009"/>
      <w:bookmarkEnd w:id="33"/>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shares of Class A Common Stock that may be offered and sold from time to time by the Selling Stockholders. All of our shares offered by the Selling Stockholders pursuant to this prospectus will be sold by the Selling Stockholders for their own accounts. We will not receive any of the proceeds from these sales. We may receive up to $6,000,000 to the extent the Preferred Warrant is exercised. We intend to use any proceeds from the exercise of the Preferred Warrant for working capital and general corporate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pay any underwriting fees, discounts, selling commissions, stock transfer taxes and certain legal expenses incurred by such Selling Stockholders, as applicable, in disposing of their shares of Class A Common Stock,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4" w:name="sp_010"/>
      <w:bookmarkEnd w:id="34"/>
      <w:r>
        <w:rPr>
          <w:rFonts w:ascii="Times New Roman;Times;Serif" w:hAnsi="Times New Roman;Times;Serif"/>
          <w:b/>
          <w:i w:val="false"/>
          <w:caps/>
          <w:sz w:val="20"/>
        </w:rPr>
        <w:t>MARKET PRICE OF THE CLASS A COMMON STOCK AND DIVIDENDS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Price of the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Common Stock and the Public Warrants are listed on Nasdaq under the symbols “MOBX” and “MOBXW,”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2026, the last closing price of the Class A Common Stock and the Public Warrants as reported on Nasdaq were $2.06 per share and $0.085 per warrant,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8, 2026, there were 14,998,187 shares of Class A Common Stock outstanding held of record by 237 holders, 200,491 shares of Class B Common Stock outstanding held of record by 5 holders and Public Warrants to purchase 600,000 shares of Class A Common Stock outstanding held of record by 16 holders. The number of record holders does not include The Depository Trust Company participants or beneficial owners holding shares or Public Warrants through banks, brokers, other financial institutions or other nominees.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any cash dividends on the Common Stock. The payment of cash dividends in the future will be dependent upon revenues and earnings, if any, capital requirements and general financial condition from time to time. The payment of any cash dividends will be within the discretion of the Board. It is presently expected that we will retain all earnings for use in our business operations and, accordingly, it is not expected that the Board will declare any dividends in the foreseeable future.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5" w:name="sp_011"/>
      <w:bookmarkEnd w:id="35"/>
      <w:r>
        <w:rPr>
          <w:rFonts w:ascii="Times New Roman;Times;Serif" w:hAnsi="Times New Roman;Times;Serif"/>
          <w:b/>
          <w:i w:val="false"/>
          <w:caps/>
          <w:sz w:val="20"/>
        </w:rPr>
        <w:t>MANAGEMENT’S DISCUSSION AND ANALYSIS OF FINANCIAL CONDITION AND RESULTS OF OPERATIONS OF MOBIX LABS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our consolidated financial statements included elsewhere in this prospectus. The following discussion contains forward-looking statements based upon current beliefs that involve risks, uncertainties, and assumptions, such as statements regarding our plans, objectives, expectations, intentions, and projections. Our actual results and the timing of selected events could differ materially from those described in or implied by these forward-looking statements as a result of several factors, including those set forth under “Risk Factors” and elsewhere in this prospectus. You should carefully read the “Risk Factors” section and the Cautionary Note Regarding Forward-Looking Statements as well as the risks and uncertainties set forth in this prospectus to gain an understanding of the important factors that could cause actual results to differ materially from our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amounts in this “Management’s Discussion and Analysis of Financial Condition and Results of Operations” are in thousands, except numbers of shares and per share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 develop and sell components and systems for advanced wireless and wired connectivity, RF,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Our wireless systems solutions include products for advanced RF and mmWave 5G communications, mmWave imaging, software defined radio and custom RF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with the goal of simplifying the development and maximizing the performance of mmWave wireless products by designing and developing high performance system-level solutions used for signal processing applications in wireless products. Since our inception, our corporate strategy has evolved to encompass the pursuit of acquisitions serving diverse industry sectors, including aerospace, military, defense, medical HiRel technology, as part of our commitment to enhancing communication services. We have developed and/or acquired an extensive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consummated the merger pursuant to the Business Combination Agreement by and among Merger Sub, and Legacy Mobix, pursuant to which, among other things, Merger Sub merged with and into Legacy Mobix, with Legacy Mobix surviving the merger as a wholly-owned direct subsidiary of Chavant. In connection with the Closing, Chavant changed its name from “Chavant Capital Acquisition Corp.” to “Mobix Labs, Inc.” and Legacy Mobix changed its name from “Mobix Labs, Inc.” to “Mobix Labs Operations,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discussion, unless otherwise noted or otherwise suggested by context, all references to “we,” “us” or “our” refer to Legacy Mobix prior to the consummation of the Merger, and to the Company and its subsidiaries after the consummation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Kips Financing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a Securities Purchase Agreement with Kips (the “May 2026 Purchase Agreement”), pursuant to which we agreed to sell to Kips (i) 2,000 shares of Series A Preferred Stock for aggregate gross proceeds of $2,400, and (ii) the Preferred Warrant to purchase up to an additional 6,000 shares of Series A Preferred Stock at an exercise price of $1,000.00 per share. Dividends are payable in cash, or at our option, in additional shares of Series A Preferred Stock. The Preferred Shares are convertible into shares of our Class A Common Stock in accordance with the terms of the COD. In connection with the transaction, on May 19, 2026, we also entered into a registration rights agreement, as amended on June 18, 2026, with Kips (the “May 2026 Registration Rights Agreement”) pursuant to which we agreed to register the resale of shares of Class A Common Stock issuable upon conversion of the Preferred Shares and 294,117 shares of Class A Common Stock as consideration for extending the filing deadlines in the May 2026 Registration Rights Agreement. We are registering the resale of the shares of Class A Common Stock pursuant to this prospectus to comply with the May 2026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Proposed Acquisition of Vision Aerial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letter of intent relating to the proposed acquisition of Vision Aerial. The letter of intent contemplates aggregate consideration of approximately $15 million, payable in a combination of cash and shares of our Class A Common Stock. The proposed transaction remains subject to the negotiation and execution of a definitive agreement, the completion of due diligence and the satisfaction of customary closing conditions. There can be no assurance that we will enter into a definitive agreement, or that any transaction will be completed on the terms contemplated by the letter of intent, or at all. We expect that any cash portion of the consideration would be funded through additional financing, which may be dilutive to our stockholders.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Expected Financing Activities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seek to raise additional capital in the near future to support potential mergers and acquisitions activity, including the potential Vision Aerial transaction, and for working capital and general corporate purposes. We have not entered into definitive agreements for any such financing transactions, and the structures, terms, timing, size, pricing, investors, securities to be issued and conditions of any such transactions are currently unknown and subject to market conditions and further negotiation.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financing transactions may involve the issuance of equity, equity-linked securities, debt securities, convertible securities, warrants or other instruments, and may result in dilution to existing stockholders. There can be no assurance that we will be able to raise capital on acceptable terms, in a timely manner, or at all.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Upcoming Meeting of Stockholders</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hold a meeting of stockholders in July 2026. At the meeting, we expect to request that stockholders approve, among other matters:</w:t>
      </w:r>
    </w:p>
    <w:p>
      <w:pPr>
        <w:pStyle w:val="TextBody"/>
        <w:shd w:fill="FFFFFF" w:val="clear"/>
        <w:bidi w:val="0"/>
        <w:spacing w:before="0" w:after="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49"/>
        <w:gridCol w:w="9981"/>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our Class A Common Stock to Kips in connection with our previously disclosed May 19, 2026 transaction;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our Class A Common Stock to Leviston in connection with the conversion of the June 2026 Promissory Note;</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amendment to our certificate of incorporation to remove certain restrictions on the issuance of shares of our Class B Common Stock;</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the number of shares available for issuance under our equity incentive award plan; and</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 specified number of shares of our Class A Common Stock, or securities convertible into or exercisable for Class A Common Stock, for purposes of future fundraising transactions and acquisitions.</w:t>
            </w:r>
          </w:p>
        </w:tc>
      </w:tr>
    </w:tbl>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filed preliminary or definitive proxy materials for the expected stockholder meeting. The specific terms of the proposals, including the number of shares subject to the proposals and the full text of any proposed charter amendment or equity incentive plan amendment, will be set forth in our proxy materials when filed with the SEC.</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not provided any assurance that the expected stockholder meeting will occur on the anticipated timeline or that the proposals described above will be approved by stockholders. If we do not obtain the required stockholder approvals, our ability to complete certain financing transactions, issue securities in connection with acquisitions, including the potential Vision Aerial transaction, or implement certain corporate-governance and compensation-related matters may be limited.</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April 2026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23, 2026, our stockholders approved a proposal authorizing the Board to effect the Reverse Stock Split of our outstanding Class A Common Stock and Class B Common Stock at a ratio within a range of one-for-ten to one-for-fifty. Stockholders also granted the Board sole discretion to determine the specific ratio within that range and the timing of the reverse stock split. The Reverse Stock Split became effective after market close on April 6, 2026, at a ratio of 1-for-10. Unless otherwise stated, all share and per share figures (including Legacy Mobix common stock figures, as Legacy Mobix shares were converted to Class A Common Stock shares) in this prospectus have been adjusted to reflect the Reverse Stock Split at the 1-for-10 ratio. Per share prices may be affected by rounding as a result of the adjustments made in connection with the Reverse Stock Split. The number of outstanding Public Warrants has not been adjusted to reflect the reverse stock split; however, the number of shares underlying such Public Warrants has been adjusted accordingly. </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March 2026 Convertible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we entered into a securities purchase agreement with Leviston, pursuant to which we agreed to issue a senior secured convertible promissory note with a principal amount of $3,000. On May 13, 2026, we entered into a first amendment to the securities purchase agreement and promissory note with Leviston, amending the promissory note originally issued on March 31, 2026. Pursuant to the amendment, Leviston advanced an additional $833 to us, increasing the total funded amount under the original convertible note to $3,333. The amendment increased the aggregate principal amount of the original convertible note from $3,000 to $4,000. On May 18, 2026, we satisfied in full the entire $4,000 of outstanding principal under the convertible note, together with all accrued interest thereon, through the conversion of such amounts into 2,500,000 shares of Class A Common Stock.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shd w:fill="FFFFFF" w:val="clear"/>
        <w:bidi w:val="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Leviston Investor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we entered into an investor rights agreement with Leviston. Pursuant to the Investor Rights Agreement, we granted Leviston the right, but not the obligation, to purchase one or more additional senior secured convertible notes from us during the seven-month period commencing May 13, 2026 and ending December 13, 2026, in an aggregate principal amount not to exceed $4,000.</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June 2026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we entered into an amendment to the Investor Rights Agreement, pursuant to which we issued the June 2026 Promissory Note with a principal amount of $2,800 to Leviston.</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and Security Agreement Settlement</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2026, we amended an existing loan and security agreement, dated August 13, 2025, pursuant to which we were provided with a closed-end commercial loan in the original principal amount of $600. Under the amendment, we agreed to cure a prior payment default, make an additional interim payment of $33, and make a principal reduction payment of $233. The amendment also provided for an equity-based settlement of the remaining obligations under the loan, subject to the effectiveness of a registration statement covering shares of our common stock held by or for the benefit of Maximcash Solutions LLC and our timely payment of the required cash amounts.</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2026, we settled the remaining outstanding indebtedness under the arrangement. In connection with the settlement, indebtedness of $232, consisting of principal of $140 and accrued interest of $92, was settled through the issuance or delivery of 169,375 shares of our Class A Common Stock. Based on the fair value of the shares issued or delivered at the time of settlement of $376, or $2.22 per share, we recognized a loss on extinguishment of debt of $144, which was recorded in other non-operating (gains) losses, net in the condensed consolidated statements of operations and comprehensive loss.</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caps w:val="false"/>
          <w:smallCaps w:val="false"/>
          <w:sz w:val="20"/>
          <w:shd w:fill="FFFFFF" w:val="clear"/>
        </w:rPr>
        <w:t>2026 Financings</w:t>
      </w:r>
      <w:r>
        <w:rPr>
          <w:rFonts w:ascii="Times New Roman;Times;Serif" w:hAnsi="Times New Roman;Times;Serif"/>
          <w:b w:val="false"/>
          <w:i w:val="false"/>
          <w:caps w:val="false"/>
          <w:smallCaps w:val="false"/>
          <w:sz w:val="20"/>
          <w:shd w:fill="FFFFFF" w:val="clea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agreed to issue an aggregate of 206,876 shares of Class A Common Stock to three of our creditors in exchange for satisfaction of our debt owed to such creditors in the aggregate amount of $3,000. Of the 206,876 shares to be issued, 107,571 shares were allocated to Agile.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23, 2026 and March 16, 2026, we issued convertible bridge promissory notes with an aggregate principal amount of $554. These bridge notes mature on December 30, 2026 and January 15, 2027 and require aggregate scheduled payments of $621.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we agreed to issue 488,506 shares of Class A Common Stock to Rocket in exchange for satisfaction of a portion of the debt owed to them in the amount of $850. On June 8, 2026 we agreed to issue 344,431 shares to Rocket in satisfaction of the remaining debt owed to them in the amount of $779.</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January 2026 Offering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January 6, 2026, we entered into securities purchase agreements with investors relating to a public offering of </w:t>
      </w:r>
      <w:r>
        <w:rPr>
          <w:rFonts w:ascii="Times New Roman;Times;Serif" w:hAnsi="Times New Roman;Times;Serif"/>
          <w:b w:val="false"/>
          <w:i w:val="false"/>
          <w:caps w:val="false"/>
          <w:smallCaps w:val="false"/>
          <w:sz w:val="20"/>
        </w:rPr>
        <w:t>3,000,000 shares of our Class A Common Stock at a price to the public of $2.00 per share. The net proceeds to us from the January 2026 Offering were approximately $5,360, after deducting placement agent fees and commissions and other estimated offering expenses payable by us.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 of Intent</w:t>
      </w:r>
    </w:p>
    <w:p>
      <w:pPr>
        <w:pStyle w:val="TextBody"/>
        <w:shd w:fill="FFFFFF" w:val="clear"/>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submitted a non-binding letter of intent to acquire a rare earth company. There can be no assurance that any definitive agreement will be entered into or that the acquisition will be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accounted for the Merger as a reverse recapitalization. Under this method of accounting, Chavant is treated as the “acquired” company for financial reporting purposes. This determination was primarily based on holders of Legacy Mobix capital stock comprising a majority of the voting power of our common stock upon consummation of the Merger and having the ability to nominate the majority of our board of directors, Legacy Mobix’ senior management comprising our senior management, and Legacy Mobix’ operations comprising our ongoing operations. Accordingly, for accounting purposes, our financial statements represent a continuation of the financial statements of Legacy Mobix with the Merger being treated as the equivalent of Legacy Mobix issuing shares for the net assets of Chavant, accompanied by a recapitalization. We recognized the net assets of Chavant as of the Closing at historical cost, with no goodwill or other intangible assets recorded. Our operations prior to the Merger are presented as those of Legacy Mobix and the accumulated deficit of Legacy Mobix has been carried forward after Closing. All issued and outstanding securities of Chavant at the time of the Closing were treated as issuances of securities by us upon the consummation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we raised gross proceeds of $21,014, including the contribution of $1,264 of cash held in Chavant’s trust account and the $19,750 private investment in public equity (“PIPE”) at $100.00 per share of Chavant’s Class A Common Stock. Our Class A Common Stock and Public Warrants began trading on Nasdaq under the symbols “MOBX” and “MOBXW,” respectively, on December 22, 2023.</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7433" w:type="dxa"/>
        <w:jc w:val="left"/>
        <w:tblInd w:w="0" w:type="dxa"/>
        <w:tblLayout w:type="fixed"/>
        <w:tblCellMar>
          <w:top w:w="0" w:type="dxa"/>
          <w:left w:w="0" w:type="dxa"/>
          <w:bottom w:w="28" w:type="dxa"/>
          <w:right w:w="0" w:type="dxa"/>
        </w:tblCellMar>
      </w:tblPr>
      <w:tblGrid>
        <w:gridCol w:w="3740"/>
        <w:gridCol w:w="60"/>
        <w:gridCol w:w="142"/>
        <w:gridCol w:w="644"/>
        <w:gridCol w:w="96"/>
        <w:gridCol w:w="60"/>
        <w:gridCol w:w="142"/>
        <w:gridCol w:w="644"/>
        <w:gridCol w:w="95"/>
        <w:gridCol w:w="60"/>
        <w:gridCol w:w="140"/>
        <w:gridCol w:w="635"/>
        <w:gridCol w:w="95"/>
        <w:gridCol w:w="60"/>
        <w:gridCol w:w="60"/>
        <w:gridCol w:w="455"/>
        <w:gridCol w:w="305"/>
      </w:tblGrid>
      <w:tr>
        <w:trPr/>
        <w:tc>
          <w:tcPr>
            <w:tcW w:w="3740" w:type="dxa"/>
            <w:tcBorders>
              <w:bottom w:val="single" w:sz="8" w:space="0" w:color="000000"/>
            </w:tcBorders>
            <w:vAlign w:val="center"/>
          </w:tcPr>
          <w:p>
            <w:pPr>
              <w:pStyle w:val="TableContents"/>
              <w:bidi w:val="0"/>
              <w:spacing w:before="0" w:after="283"/>
              <w:jc w:val="left"/>
              <w:rPr/>
            </w:pPr>
            <w:r>
              <w:rPr/>
              <w:t>(dollars in thousands)</w:t>
            </w:r>
          </w:p>
        </w:tc>
        <w:tc>
          <w:tcPr>
            <w:tcW w:w="60" w:type="dxa"/>
            <w:tcBorders/>
            <w:tcMar>
              <w:bottom w:w="0" w:type="dxa"/>
            </w:tcMar>
            <w:vAlign w:val="center"/>
          </w:tcPr>
          <w:p>
            <w:pPr>
              <w:pStyle w:val="TableContents"/>
              <w:bidi w:val="0"/>
              <w:spacing w:before="0" w:after="283"/>
              <w:jc w:val="left"/>
              <w:rPr/>
            </w:pPr>
            <w:r>
              <w:rPr/>
              <w:t> </w:t>
            </w:r>
          </w:p>
        </w:tc>
        <w:tc>
          <w:tcPr>
            <w:tcW w:w="1728" w:type="dxa"/>
            <w:gridSpan w:val="6"/>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March</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31,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6"/>
            <w:tcBorders>
              <w:bottom w:val="single" w:sz="8" w:space="0" w:color="000000"/>
            </w:tcBorders>
            <w:vAlign w:val="center"/>
          </w:tcPr>
          <w:p>
            <w:pPr>
              <w:pStyle w:val="TableContents"/>
              <w:bidi w:val="0"/>
              <w:spacing w:before="0" w:after="283"/>
              <w:jc w:val="center"/>
              <w:rPr>
                <w:b/>
              </w:rPr>
            </w:pPr>
            <w:r>
              <w:rPr>
                <w:b/>
              </w:rPr>
              <w:t>Change</w:t>
            </w:r>
          </w:p>
        </w:tc>
        <w:tc>
          <w:tcPr>
            <w:tcW w:w="305" w:type="dxa"/>
            <w:tcBorders/>
            <w:tcMar>
              <w:bottom w:w="0" w:type="dxa"/>
            </w:tcMar>
            <w:vAlign w:val="center"/>
          </w:tcPr>
          <w:p>
            <w:pPr>
              <w:pStyle w:val="TableContents"/>
              <w:bidi w:val="0"/>
              <w:spacing w:before="0" w:after="283"/>
              <w:jc w:val="left"/>
              <w:rPr/>
            </w:pPr>
            <w:r>
              <w:rPr/>
              <w:t> </w:t>
            </w:r>
          </w:p>
        </w:tc>
      </w:tr>
      <w:tr>
        <w:trPr/>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 w:type="dxa"/>
            <w:gridSpan w:val="2"/>
            <w:tcBorders>
              <w:bottom w:val="single" w:sz="8" w:space="0" w:color="000000"/>
            </w:tcBorders>
            <w:vAlign w:val="center"/>
          </w:tcPr>
          <w:p>
            <w:pPr>
              <w:pStyle w:val="TableContents"/>
              <w:bidi w:val="0"/>
              <w:spacing w:before="0" w:after="283"/>
              <w:jc w:val="center"/>
              <w:rPr>
                <w:b/>
              </w:rPr>
            </w:pPr>
            <w:r>
              <w:rPr>
                <w:b/>
              </w:rPr>
              <w:t>2026</w:t>
            </w:r>
          </w:p>
        </w:tc>
        <w:tc>
          <w:tcPr>
            <w:tcW w:w="9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8" w:space="0" w:color="000000"/>
            </w:tcBorders>
            <w:vAlign w:val="center"/>
          </w:tcPr>
          <w:p>
            <w:pPr>
              <w:pStyle w:val="TableContents"/>
              <w:bidi w:val="0"/>
              <w:spacing w:before="0" w:after="283"/>
              <w:jc w:val="center"/>
              <w:rPr>
                <w:b/>
              </w:rPr>
            </w:pPr>
            <w:r>
              <w:rPr>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gridSpan w:val="2"/>
            <w:tcBorders>
              <w:bottom w:val="single" w:sz="8" w:space="0" w:color="000000"/>
            </w:tcBorders>
            <w:vAlign w:val="center"/>
          </w:tcPr>
          <w:p>
            <w:pPr>
              <w:pStyle w:val="TableContents"/>
              <w:bidi w:val="0"/>
              <w:spacing w:before="0" w:after="283"/>
              <w:jc w:val="center"/>
              <w:rPr>
                <w:b/>
              </w:rPr>
            </w:pPr>
            <w:r>
              <w:rPr>
                <w:b/>
              </w:rPr>
              <w:t>%</w:t>
            </w:r>
          </w:p>
        </w:tc>
        <w:tc>
          <w:tcPr>
            <w:tcW w:w="305" w:type="dxa"/>
            <w:tcBorders/>
            <w:tcMar>
              <w:bottom w:w="0" w:type="dxa"/>
            </w:tcMar>
            <w:vAlign w:val="center"/>
          </w:tcPr>
          <w:p>
            <w:pPr>
              <w:pStyle w:val="TableContents"/>
              <w:bidi w:val="0"/>
              <w:spacing w:before="0" w:after="283"/>
              <w:jc w:val="left"/>
              <w:rPr/>
            </w:pPr>
            <w:r>
              <w:rPr/>
              <w:t> </w:t>
            </w:r>
          </w:p>
        </w:tc>
      </w:tr>
      <w:tr>
        <w:trPr/>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 w:type="dxa"/>
            <w:gridSpan w:val="2"/>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gridSpan w:val="2"/>
            <w:tcBorders/>
            <w:tcMar>
              <w:bottom w:w="0" w:type="dxa"/>
            </w:tcMar>
            <w:vAlign w:val="center"/>
          </w:tcPr>
          <w:p>
            <w:pPr>
              <w:pStyle w:val="TableContents"/>
              <w:bidi w:val="0"/>
              <w:spacing w:before="0" w:after="283"/>
              <w:jc w:val="left"/>
              <w:rPr/>
            </w:pPr>
            <w:r>
              <w:rPr/>
              <w:t> </w:t>
            </w:r>
          </w:p>
        </w:tc>
        <w:tc>
          <w:tcPr>
            <w:tcW w:w="305" w:type="dxa"/>
            <w:tcBorders/>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Products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644" w:type="dxa"/>
            <w:tcBorders/>
            <w:shd w:fill="FFFFFF" w:val="clear"/>
            <w:tcMar>
              <w:bottom w:w="0" w:type="dxa"/>
            </w:tcMar>
            <w:vAlign w:val="center"/>
          </w:tcPr>
          <w:p>
            <w:pPr>
              <w:pStyle w:val="TableContents"/>
              <w:bidi w:val="0"/>
              <w:spacing w:before="0" w:after="283"/>
              <w:jc w:val="right"/>
              <w:rPr/>
            </w:pPr>
            <w:r>
              <w:rPr/>
              <w:t>669</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644" w:type="dxa"/>
            <w:tcBorders/>
            <w:shd w:fill="FFFFFF" w:val="clear"/>
            <w:tcMar>
              <w:bottom w:w="0" w:type="dxa"/>
            </w:tcMar>
            <w:vAlign w:val="center"/>
          </w:tcPr>
          <w:p>
            <w:pPr>
              <w:pStyle w:val="TableContents"/>
              <w:bidi w:val="0"/>
              <w:spacing w:before="0" w:after="283"/>
              <w:jc w:val="right"/>
              <w:rPr/>
            </w:pPr>
            <w:r>
              <w:rPr/>
              <w:t>1,457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35" w:type="dxa"/>
            <w:tcBorders/>
            <w:shd w:fill="FFFFFF" w:val="clear"/>
            <w:tcMar>
              <w:bottom w:w="0" w:type="dxa"/>
            </w:tcMar>
            <w:vAlign w:val="center"/>
          </w:tcPr>
          <w:p>
            <w:pPr>
              <w:pStyle w:val="TableContents"/>
              <w:bidi w:val="0"/>
              <w:spacing w:before="0" w:after="283"/>
              <w:jc w:val="right"/>
              <w:rPr/>
            </w:pPr>
            <w:r>
              <w:rPr/>
              <w:t>(788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(54</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644" w:type="dxa"/>
            <w:tcBorders>
              <w:bottom w:val="single" w:sz="8" w:space="0" w:color="000000"/>
            </w:tcBorders>
            <w:shd w:fill="CCEEFF" w:val="clear"/>
            <w:vAlign w:val="center"/>
          </w:tcPr>
          <w:p>
            <w:pPr>
              <w:pStyle w:val="TableContents"/>
              <w:bidi w:val="0"/>
              <w:spacing w:before="0" w:after="283"/>
              <w:jc w:val="right"/>
              <w:rPr/>
            </w:pPr>
            <w:r>
              <w:rPr/>
              <w:t>301</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644" w:type="dxa"/>
            <w:tcBorders>
              <w:bottom w:val="single" w:sz="8" w:space="0" w:color="000000"/>
            </w:tcBorders>
            <w:shd w:fill="CCEEFF" w:val="clear"/>
            <w:vAlign w:val="center"/>
          </w:tcPr>
          <w:p>
            <w:pPr>
              <w:pStyle w:val="TableContents"/>
              <w:bidi w:val="0"/>
              <w:spacing w:before="0" w:after="283"/>
              <w:jc w:val="right"/>
              <w:rPr/>
            </w:pPr>
            <w:r>
              <w:rPr/>
              <w:t>1,054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(753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(71</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970</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2,511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(1,541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(61</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456</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1,067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(611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(57</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FFFFFF" w:val="clear"/>
            <w:vAlign w:val="center"/>
          </w:tcPr>
          <w:p>
            <w:pPr>
              <w:pStyle w:val="TableContents"/>
              <w:bidi w:val="0"/>
              <w:spacing w:before="0" w:after="283"/>
              <w:jc w:val="left"/>
              <w:rPr/>
            </w:pPr>
            <w:r>
              <w:rPr/>
              <w:t> </w:t>
            </w:r>
          </w:p>
        </w:tc>
        <w:tc>
          <w:tcPr>
            <w:tcW w:w="644" w:type="dxa"/>
            <w:tcBorders>
              <w:bottom w:val="single" w:sz="8" w:space="0" w:color="000000"/>
            </w:tcBorders>
            <w:shd w:fill="FFFFFF" w:val="clear"/>
            <w:vAlign w:val="center"/>
          </w:tcPr>
          <w:p>
            <w:pPr>
              <w:pStyle w:val="TableContents"/>
              <w:bidi w:val="0"/>
              <w:spacing w:before="0" w:after="283"/>
              <w:jc w:val="right"/>
              <w:rPr/>
            </w:pPr>
            <w:r>
              <w:rPr/>
              <w:t>330</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FFFFFF" w:val="clear"/>
            <w:vAlign w:val="center"/>
          </w:tcPr>
          <w:p>
            <w:pPr>
              <w:pStyle w:val="TableContents"/>
              <w:bidi w:val="0"/>
              <w:spacing w:before="0" w:after="283"/>
              <w:jc w:val="left"/>
              <w:rPr/>
            </w:pPr>
            <w:r>
              <w:rPr/>
              <w:t> </w:t>
            </w:r>
          </w:p>
        </w:tc>
        <w:tc>
          <w:tcPr>
            <w:tcW w:w="644" w:type="dxa"/>
            <w:tcBorders>
              <w:bottom w:val="single" w:sz="8" w:space="0" w:color="000000"/>
            </w:tcBorders>
            <w:shd w:fill="FFFFFF" w:val="clear"/>
            <w:vAlign w:val="center"/>
          </w:tcPr>
          <w:p>
            <w:pPr>
              <w:pStyle w:val="TableContents"/>
              <w:bidi w:val="0"/>
              <w:spacing w:before="0" w:after="283"/>
              <w:jc w:val="right"/>
              <w:rPr/>
            </w:pPr>
            <w:r>
              <w:rPr/>
              <w:t>424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(94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vAlign w:val="center"/>
          </w:tcPr>
          <w:p>
            <w:pPr>
              <w:pStyle w:val="TableContents"/>
              <w:bidi w:val="0"/>
              <w:spacing w:before="0" w:after="283"/>
              <w:jc w:val="right"/>
              <w:rPr/>
            </w:pPr>
            <w:r>
              <w:rPr/>
              <w:t>(22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644" w:type="dxa"/>
            <w:tcBorders>
              <w:bottom w:val="single" w:sz="8" w:space="0" w:color="000000"/>
            </w:tcBorders>
            <w:shd w:fill="CCEEFF" w:val="clear"/>
            <w:vAlign w:val="center"/>
          </w:tcPr>
          <w:p>
            <w:pPr>
              <w:pStyle w:val="TableContents"/>
              <w:bidi w:val="0"/>
              <w:spacing w:before="0" w:after="283"/>
              <w:jc w:val="right"/>
              <w:rPr/>
            </w:pPr>
            <w:r>
              <w:rPr/>
              <w:t>786</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644" w:type="dxa"/>
            <w:tcBorders>
              <w:bottom w:val="single" w:sz="8" w:space="0" w:color="000000"/>
            </w:tcBorders>
            <w:shd w:fill="CCEEFF" w:val="clear"/>
            <w:vAlign w:val="center"/>
          </w:tcPr>
          <w:p>
            <w:pPr>
              <w:pStyle w:val="TableContents"/>
              <w:bidi w:val="0"/>
              <w:spacing w:before="0" w:after="283"/>
              <w:jc w:val="right"/>
              <w:rPr/>
            </w:pPr>
            <w:r>
              <w:rPr/>
              <w:t>1,491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(705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(47</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184</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1,020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(836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(82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428</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719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(291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(40</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FFFFFF" w:val="clear"/>
            <w:vAlign w:val="center"/>
          </w:tcPr>
          <w:p>
            <w:pPr>
              <w:pStyle w:val="TableContents"/>
              <w:bidi w:val="0"/>
              <w:spacing w:before="0" w:after="283"/>
              <w:jc w:val="left"/>
              <w:rPr/>
            </w:pPr>
            <w:r>
              <w:rPr/>
              <w:t> </w:t>
            </w:r>
          </w:p>
        </w:tc>
        <w:tc>
          <w:tcPr>
            <w:tcW w:w="644" w:type="dxa"/>
            <w:tcBorders>
              <w:bottom w:val="single" w:sz="8" w:space="0" w:color="000000"/>
            </w:tcBorders>
            <w:shd w:fill="FFFFFF" w:val="clear"/>
            <w:vAlign w:val="center"/>
          </w:tcPr>
          <w:p>
            <w:pPr>
              <w:pStyle w:val="TableContents"/>
              <w:bidi w:val="0"/>
              <w:spacing w:before="0" w:after="283"/>
              <w:jc w:val="right"/>
              <w:rPr/>
            </w:pPr>
            <w:r>
              <w:rPr/>
              <w:t>5,847</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FFFFFF" w:val="clear"/>
            <w:vAlign w:val="center"/>
          </w:tcPr>
          <w:p>
            <w:pPr>
              <w:pStyle w:val="TableContents"/>
              <w:bidi w:val="0"/>
              <w:spacing w:before="0" w:after="283"/>
              <w:jc w:val="left"/>
              <w:rPr/>
            </w:pPr>
            <w:r>
              <w:rPr/>
              <w:t> </w:t>
            </w:r>
          </w:p>
        </w:tc>
        <w:tc>
          <w:tcPr>
            <w:tcW w:w="644" w:type="dxa"/>
            <w:tcBorders>
              <w:bottom w:val="single" w:sz="8" w:space="0" w:color="000000"/>
            </w:tcBorders>
            <w:shd w:fill="FFFFFF" w:val="clear"/>
            <w:vAlign w:val="center"/>
          </w:tcPr>
          <w:p>
            <w:pPr>
              <w:pStyle w:val="TableContents"/>
              <w:bidi w:val="0"/>
              <w:spacing w:before="0" w:after="283"/>
              <w:jc w:val="right"/>
              <w:rPr/>
            </w:pPr>
            <w:r>
              <w:rPr/>
              <w:t>8,129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(2,282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vAlign w:val="center"/>
          </w:tcPr>
          <w:p>
            <w:pPr>
              <w:pStyle w:val="TableContents"/>
              <w:bidi w:val="0"/>
              <w:spacing w:before="0" w:after="283"/>
              <w:jc w:val="right"/>
              <w:rPr/>
            </w:pPr>
            <w:r>
              <w:rPr/>
              <w:t>(28</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Loss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(6,091</w:t>
            </w:r>
          </w:p>
        </w:tc>
        <w:tc>
          <w:tcPr>
            <w:tcW w:w="96"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(7,828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1,737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(22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1,389</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274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1,115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407</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Change in fair value of earnout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(2,220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2,220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(100</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Change in fair value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105</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(3,283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3,388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(103</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Other non-operating losses,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644" w:type="dxa"/>
            <w:tcBorders>
              <w:bottom w:val="single" w:sz="8" w:space="0" w:color="000000"/>
            </w:tcBorders>
            <w:shd w:fill="CCEEFF" w:val="clear"/>
            <w:vAlign w:val="center"/>
          </w:tcPr>
          <w:p>
            <w:pPr>
              <w:pStyle w:val="TableContents"/>
              <w:bidi w:val="0"/>
              <w:spacing w:before="0" w:after="283"/>
              <w:jc w:val="right"/>
              <w:rPr/>
            </w:pPr>
            <w:r>
              <w:rPr/>
              <w:t>(1,735</w:t>
            </w:r>
          </w:p>
        </w:tc>
        <w:tc>
          <w:tcPr>
            <w:tcW w:w="96"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644" w:type="dxa"/>
            <w:tcBorders>
              <w:bottom w:val="single" w:sz="8" w:space="0" w:color="000000"/>
            </w:tcBorders>
            <w:shd w:fill="CCEEFF" w:val="clear"/>
            <w:vAlign w:val="center"/>
          </w:tcPr>
          <w:p>
            <w:pPr>
              <w:pStyle w:val="TableContents"/>
              <w:bidi w:val="0"/>
              <w:spacing w:before="0" w:after="283"/>
              <w:jc w:val="right"/>
              <w:rPr/>
            </w:pPr>
            <w:r>
              <w:rPr/>
              <w:t>(303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(1,432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473</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Loss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(5,850</w:t>
            </w:r>
          </w:p>
        </w:tc>
        <w:tc>
          <w:tcPr>
            <w:tcW w:w="96"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(2,296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(3,554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(155</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Income tax provision (benefit)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FFFFFF" w:val="clear"/>
            <w:vAlign w:val="center"/>
          </w:tcPr>
          <w:p>
            <w:pPr>
              <w:pStyle w:val="TableContents"/>
              <w:bidi w:val="0"/>
              <w:spacing w:before="0" w:after="283"/>
              <w:jc w:val="left"/>
              <w:rPr/>
            </w:pPr>
            <w:r>
              <w:rPr/>
              <w:t> </w:t>
            </w:r>
          </w:p>
        </w:tc>
        <w:tc>
          <w:tcPr>
            <w:tcW w:w="644" w:type="dxa"/>
            <w:tcBorders>
              <w:bottom w:val="single" w:sz="8" w:space="0" w:color="000000"/>
            </w:tcBorders>
            <w:shd w:fill="FFFFFF" w:val="clear"/>
            <w:vAlign w:val="center"/>
          </w:tcPr>
          <w:p>
            <w:pPr>
              <w:pStyle w:val="TableContents"/>
              <w:bidi w:val="0"/>
              <w:spacing w:before="0" w:after="283"/>
              <w:jc w:val="right"/>
              <w:rPr/>
            </w:pPr>
            <w:r>
              <w:rPr/>
              <w:t>3</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FFFFFF" w:val="clear"/>
            <w:vAlign w:val="center"/>
          </w:tcPr>
          <w:p>
            <w:pPr>
              <w:pStyle w:val="TableContents"/>
              <w:bidi w:val="0"/>
              <w:spacing w:before="0" w:after="283"/>
              <w:jc w:val="left"/>
              <w:rPr/>
            </w:pPr>
            <w:r>
              <w:rPr/>
              <w:t> </w:t>
            </w:r>
          </w:p>
        </w:tc>
        <w:tc>
          <w:tcPr>
            <w:tcW w:w="644" w:type="dxa"/>
            <w:tcBorders>
              <w:bottom w:val="single" w:sz="8" w:space="0" w:color="000000"/>
            </w:tcBorders>
            <w:shd w:fill="FFFFFF" w:val="clear"/>
            <w:vAlign w:val="center"/>
          </w:tcPr>
          <w:p>
            <w:pPr>
              <w:pStyle w:val="TableContents"/>
              <w:bidi w:val="0"/>
              <w:spacing w:before="0" w:after="283"/>
              <w:jc w:val="right"/>
              <w:rPr/>
            </w:pPr>
            <w:r>
              <w:rPr/>
              <w:t>(5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vAlign w:val="center"/>
          </w:tcPr>
          <w:p>
            <w:pPr>
              <w:pStyle w:val="TableContents"/>
              <w:bidi w:val="0"/>
              <w:spacing w:before="0" w:after="283"/>
              <w:jc w:val="right"/>
              <w:rPr/>
            </w:pPr>
            <w:r>
              <w:rPr/>
              <w:t>(160</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Net loss and comprehensive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double" w:sz="6" w:space="0" w:color="000000"/>
            </w:tcBorders>
            <w:shd w:fill="FFFFFF" w:val="clear"/>
            <w:vAlign w:val="center"/>
          </w:tcPr>
          <w:p>
            <w:pPr>
              <w:pStyle w:val="TableContents"/>
              <w:bidi w:val="0"/>
              <w:spacing w:before="0" w:after="283"/>
              <w:jc w:val="left"/>
              <w:rPr/>
            </w:pPr>
            <w:r>
              <w:rPr/>
              <w:t>$</w:t>
            </w:r>
          </w:p>
        </w:tc>
        <w:tc>
          <w:tcPr>
            <w:tcW w:w="644" w:type="dxa"/>
            <w:tcBorders>
              <w:bottom w:val="double" w:sz="6" w:space="0" w:color="000000"/>
            </w:tcBorders>
            <w:shd w:fill="FFFFFF" w:val="clear"/>
            <w:vAlign w:val="center"/>
          </w:tcPr>
          <w:p>
            <w:pPr>
              <w:pStyle w:val="TableContents"/>
              <w:bidi w:val="0"/>
              <w:spacing w:before="0" w:after="283"/>
              <w:jc w:val="right"/>
              <w:rPr/>
            </w:pPr>
            <w:r>
              <w:rPr/>
              <w:t>(5,853</w:t>
            </w:r>
          </w:p>
        </w:tc>
        <w:tc>
          <w:tcPr>
            <w:tcW w:w="96"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double" w:sz="6" w:space="0" w:color="000000"/>
            </w:tcBorders>
            <w:shd w:fill="FFFFFF" w:val="clear"/>
            <w:vAlign w:val="center"/>
          </w:tcPr>
          <w:p>
            <w:pPr>
              <w:pStyle w:val="TableContents"/>
              <w:bidi w:val="0"/>
              <w:spacing w:before="0" w:after="283"/>
              <w:jc w:val="left"/>
              <w:rPr/>
            </w:pPr>
            <w:r>
              <w:rPr/>
              <w:t>$</w:t>
            </w:r>
          </w:p>
        </w:tc>
        <w:tc>
          <w:tcPr>
            <w:tcW w:w="644" w:type="dxa"/>
            <w:tcBorders>
              <w:bottom w:val="double" w:sz="6" w:space="0" w:color="000000"/>
            </w:tcBorders>
            <w:shd w:fill="FFFFFF" w:val="clear"/>
            <w:vAlign w:val="center"/>
          </w:tcPr>
          <w:p>
            <w:pPr>
              <w:pStyle w:val="TableContents"/>
              <w:bidi w:val="0"/>
              <w:spacing w:before="0" w:after="283"/>
              <w:jc w:val="right"/>
              <w:rPr/>
            </w:pPr>
            <w:r>
              <w:rPr/>
              <w:t>(2,291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635" w:type="dxa"/>
            <w:tcBorders>
              <w:bottom w:val="double" w:sz="6" w:space="0" w:color="000000"/>
            </w:tcBorders>
            <w:shd w:fill="FFFFFF" w:val="clear"/>
            <w:vAlign w:val="center"/>
          </w:tcPr>
          <w:p>
            <w:pPr>
              <w:pStyle w:val="TableContents"/>
              <w:bidi w:val="0"/>
              <w:spacing w:before="0" w:after="283"/>
              <w:jc w:val="right"/>
              <w:rPr/>
            </w:pPr>
            <w:r>
              <w:rPr/>
              <w:t>(3,562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455" w:type="dxa"/>
            <w:tcBorders>
              <w:bottom w:val="double" w:sz="6" w:space="0" w:color="000000"/>
            </w:tcBorders>
            <w:shd w:fill="FFFFFF" w:val="clear"/>
            <w:vAlign w:val="center"/>
          </w:tcPr>
          <w:p>
            <w:pPr>
              <w:pStyle w:val="TableContents"/>
              <w:bidi w:val="0"/>
              <w:spacing w:before="0" w:after="283"/>
              <w:jc w:val="right"/>
              <w:rPr/>
            </w:pPr>
            <w:r>
              <w:rPr/>
              <w:t>(155</w:t>
            </w:r>
          </w:p>
        </w:tc>
        <w:tc>
          <w:tcPr>
            <w:tcW w:w="305"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7830" w:type="dxa"/>
        <w:jc w:val="left"/>
        <w:tblInd w:w="0" w:type="dxa"/>
        <w:tblLayout w:type="fixed"/>
        <w:tblCellMar>
          <w:top w:w="0" w:type="dxa"/>
          <w:left w:w="0" w:type="dxa"/>
          <w:bottom w:w="28" w:type="dxa"/>
          <w:right w:w="0" w:type="dxa"/>
        </w:tblCellMar>
      </w:tblPr>
      <w:tblGrid>
        <w:gridCol w:w="3740"/>
        <w:gridCol w:w="60"/>
        <w:gridCol w:w="140"/>
        <w:gridCol w:w="755"/>
        <w:gridCol w:w="95"/>
        <w:gridCol w:w="60"/>
        <w:gridCol w:w="140"/>
        <w:gridCol w:w="755"/>
        <w:gridCol w:w="95"/>
        <w:gridCol w:w="60"/>
        <w:gridCol w:w="140"/>
        <w:gridCol w:w="635"/>
        <w:gridCol w:w="95"/>
        <w:gridCol w:w="60"/>
        <w:gridCol w:w="60"/>
        <w:gridCol w:w="635"/>
        <w:gridCol w:w="305"/>
      </w:tblGrid>
      <w:tr>
        <w:trPr/>
        <w:tc>
          <w:tcPr>
            <w:tcW w:w="3740" w:type="dxa"/>
            <w:tcBorders>
              <w:bottom w:val="single" w:sz="8" w:space="0" w:color="000000"/>
            </w:tcBorders>
            <w:vAlign w:val="center"/>
          </w:tcPr>
          <w:p>
            <w:pPr>
              <w:pStyle w:val="TableContents"/>
              <w:bidi w:val="0"/>
              <w:spacing w:before="0" w:after="283"/>
              <w:jc w:val="left"/>
              <w:rPr/>
            </w:pPr>
            <w:r>
              <w:rPr/>
              <w:t>(dollars in thousands)</w:t>
            </w:r>
          </w:p>
        </w:tc>
        <w:tc>
          <w:tcPr>
            <w:tcW w:w="60" w:type="dxa"/>
            <w:tcBorders/>
            <w:tcMar>
              <w:bottom w:w="0" w:type="dxa"/>
            </w:tcMar>
            <w:vAlign w:val="center"/>
          </w:tcPr>
          <w:p>
            <w:pPr>
              <w:pStyle w:val="TableContents"/>
              <w:bidi w:val="0"/>
              <w:spacing w:before="0" w:after="283"/>
              <w:jc w:val="left"/>
              <w:rPr/>
            </w:pPr>
            <w:r>
              <w:rPr/>
              <w:t> </w:t>
            </w:r>
          </w:p>
        </w:tc>
        <w:tc>
          <w:tcPr>
            <w:tcW w:w="1945" w:type="dxa"/>
            <w:gridSpan w:val="6"/>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gridSpan w:val="6"/>
            <w:tcBorders>
              <w:bottom w:val="single" w:sz="8" w:space="0" w:color="000000"/>
            </w:tcBorders>
            <w:vAlign w:val="center"/>
          </w:tcPr>
          <w:p>
            <w:pPr>
              <w:pStyle w:val="TableContents"/>
              <w:bidi w:val="0"/>
              <w:spacing w:before="0" w:after="283"/>
              <w:jc w:val="center"/>
              <w:rPr>
                <w:b/>
              </w:rPr>
            </w:pPr>
            <w:r>
              <w:rPr>
                <w:b/>
              </w:rPr>
              <w:t>Change</w:t>
            </w:r>
          </w:p>
        </w:tc>
        <w:tc>
          <w:tcPr>
            <w:tcW w:w="305" w:type="dxa"/>
            <w:tcBorders/>
            <w:tcMar>
              <w:bottom w:w="0" w:type="dxa"/>
            </w:tcMar>
            <w:vAlign w:val="center"/>
          </w:tcPr>
          <w:p>
            <w:pPr>
              <w:pStyle w:val="TableContents"/>
              <w:bidi w:val="0"/>
              <w:spacing w:before="0" w:after="283"/>
              <w:jc w:val="left"/>
              <w:rPr/>
            </w:pPr>
            <w:r>
              <w:rPr/>
              <w:t> </w:t>
            </w:r>
          </w:p>
        </w:tc>
      </w:tr>
      <w:tr>
        <w:trPr/>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8" w:space="0" w:color="000000"/>
            </w:tcBorders>
            <w:vAlign w:val="center"/>
          </w:tcPr>
          <w:p>
            <w:pPr>
              <w:pStyle w:val="TableContents"/>
              <w:bidi w:val="0"/>
              <w:spacing w:before="0" w:after="283"/>
              <w:jc w:val="center"/>
              <w:rPr>
                <w:b/>
              </w:rPr>
            </w:pPr>
            <w:r>
              <w:rPr>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8" w:space="0" w:color="000000"/>
            </w:tcBorders>
            <w:vAlign w:val="center"/>
          </w:tcPr>
          <w:p>
            <w:pPr>
              <w:pStyle w:val="TableContents"/>
              <w:bidi w:val="0"/>
              <w:spacing w:before="0" w:after="283"/>
              <w:jc w:val="center"/>
              <w:rPr>
                <w:b/>
              </w:rPr>
            </w:pPr>
            <w:r>
              <w:rPr>
                <w:b/>
              </w:rPr>
              <w:t>%</w:t>
            </w:r>
          </w:p>
        </w:tc>
        <w:tc>
          <w:tcPr>
            <w:tcW w:w="305" w:type="dxa"/>
            <w:tcBorders/>
            <w:tcMar>
              <w:bottom w:w="0" w:type="dxa"/>
            </w:tcMar>
            <w:vAlign w:val="center"/>
          </w:tcPr>
          <w:p>
            <w:pPr>
              <w:pStyle w:val="TableContents"/>
              <w:bidi w:val="0"/>
              <w:spacing w:before="0" w:after="283"/>
              <w:jc w:val="left"/>
              <w:rPr/>
            </w:pPr>
            <w:r>
              <w:rPr/>
              <w:t> </w:t>
            </w:r>
          </w:p>
        </w:tc>
      </w:tr>
      <w:tr>
        <w:trPr/>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tcMar>
              <w:bottom w:w="0" w:type="dxa"/>
            </w:tcMar>
            <w:vAlign w:val="center"/>
          </w:tcPr>
          <w:p>
            <w:pPr>
              <w:pStyle w:val="TableContents"/>
              <w:bidi w:val="0"/>
              <w:spacing w:before="0" w:after="283"/>
              <w:jc w:val="left"/>
              <w:rPr/>
            </w:pPr>
            <w:r>
              <w:rPr/>
              <w:t> </w:t>
            </w:r>
          </w:p>
        </w:tc>
        <w:tc>
          <w:tcPr>
            <w:tcW w:w="305" w:type="dxa"/>
            <w:tcBorders/>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Products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2,004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3,408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35" w:type="dxa"/>
            <w:tcBorders/>
            <w:shd w:fill="FFFFFF" w:val="clear"/>
            <w:tcMar>
              <w:bottom w:w="0" w:type="dxa"/>
            </w:tcMar>
            <w:vAlign w:val="center"/>
          </w:tcPr>
          <w:p>
            <w:pPr>
              <w:pStyle w:val="TableContents"/>
              <w:bidi w:val="0"/>
              <w:spacing w:before="0" w:after="283"/>
              <w:jc w:val="right"/>
              <w:rPr/>
            </w:pPr>
            <w:r>
              <w:rPr/>
              <w:t>(1,404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(41</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841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2,272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(1,431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(63</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2,845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5,680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(2,835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(50</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1,405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2,257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(852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(38</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675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716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(41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(6</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2,080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2,973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(893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(30</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765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2,707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(1,942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(72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870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1,330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(460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(35</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14,819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23,835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(9,016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(38</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Loss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(14,924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(22,458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7,534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(34</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2,769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485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2,284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471</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Change in fair value of earnout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(960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(280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(680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(243</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Change in fair value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428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(625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1,053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(168</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Other non-operating gains (losses),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(1,162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99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(1,261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(1,274</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Loss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(15,999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(22,137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6,138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(28</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Income tax benefit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(21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(14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200</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Net loss and comprehensive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(15,978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(22,130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635" w:type="dxa"/>
            <w:tcBorders>
              <w:bottom w:val="double" w:sz="6" w:space="0" w:color="000000"/>
            </w:tcBorders>
            <w:shd w:fill="FFFFFF" w:val="clear"/>
            <w:vAlign w:val="center"/>
          </w:tcPr>
          <w:p>
            <w:pPr>
              <w:pStyle w:val="TableContents"/>
              <w:bidi w:val="0"/>
              <w:spacing w:before="0" w:after="283"/>
              <w:jc w:val="right"/>
              <w:rPr/>
            </w:pPr>
            <w:r>
              <w:rPr/>
              <w:t>6,152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35" w:type="dxa"/>
            <w:tcBorders>
              <w:bottom w:val="double" w:sz="6" w:space="0" w:color="000000"/>
            </w:tcBorders>
            <w:shd w:fill="FFFFFF" w:val="clear"/>
            <w:vAlign w:val="center"/>
          </w:tcPr>
          <w:p>
            <w:pPr>
              <w:pStyle w:val="TableContents"/>
              <w:bidi w:val="0"/>
              <w:spacing w:before="0" w:after="283"/>
              <w:jc w:val="right"/>
              <w:rPr/>
            </w:pPr>
            <w:r>
              <w:rPr/>
              <w:t>(28</w:t>
            </w:r>
          </w:p>
        </w:tc>
        <w:tc>
          <w:tcPr>
            <w:tcW w:w="305"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net revenue primarily from product sales to equipment manufacturers. We recognize product revenue when we satisfy performance obligations under the terms of our contracts and upon transfer of control when title transfers (either upon shipment to or receipt by the customer, as determined by the contractual shipping terms of the contract), net of accruals for estimated sales returns and allowances (which were not material for the six months ended March 31, 2026 and 2025). Sales and other taxes we collect, if any, are excluded from net revenue. We include shipping and handling fees we bill to customers as part of net revenue. We include shipping and handling costs associated with outbound freight in cost of product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services revenue from engineering services, principally for the research, development or design of wireless systems solutions. Our contracts with our customers generally contain a single distinct performance obligation, to provide research or design services for products based on the customer’s specifications. We recognize revenue for engineering services over time as we deliver the services on an input basis, using costs incurred as the measure of progress. Costs incurred represent the most reliable measure of transfer of control to the customer. We defer the recognition of revenue for any amounts billed or received prior to delivery of the services.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fluctuates based on a variety of factors, including the timing of the receipt of product orders or contracts from our customers, product mix, competition, global economic conditions,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was $669 for the three months ended March 31, 2026 compared to $1,457 for the three months ended March 31, 2025, a decrease of $788 or 54%. The change is principally driven by a temporary delay in shipments of our radar and imaging sensor products within our wireless systems solutions segment, which we expect to resume in the second half of calendar year 2026, as well as lower shipments of our interconnect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product revenue was $2,004 compared to $3,408 for the six months ended March 31, 2025, a decrease of $1,404 or 41%. The change reflects a temporary delay in shipments of our radar and imaging sensor products, which we expect to resume in the second half of calendar year 2026, partially offset by an increase in shipments of our interconnect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revenue was $301 for the three months ended March 31, 2026 compared to $1,054 for the three months ended March 31, 2025, a decrease of $753 or 71%. Our services revenues are subject to routine fluctuations based on the timing of our receipt of contracts from customers, and our performance thereunder. The change in service revenues is the result of the timing of customer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services revenue was $841 compared to $2,272 for the six months ended March 31, 2025, a decrease of $1,431 or 63%. Our services revenues are subject to routine fluctuations based on the timing of our receipt of contracts from customers, and our performance thereunder. The change in service revenues is the result of the timing of customer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revenue principally consists of employee compensation and benefits of employees engaged in the delivery of engineering services, along with any related materials, equipment, supplies or other costs to perform a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$456 for the three months ended March 31, 2026 compared to $1,067 for the three months ended March 31, 2025, a decrease of $611 or 57%. The change principally reflects the lower shipments of our wireless systems solutions products noted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revenue was $330 for the three months ended March 31, 2026 compared to $424 for the three months ended March 31, 2025, a decrease of $94 or 22%.</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$1,405 for the six months ended March 31, 2026 compared to $2,257 for the six months ended March 31, 2025, a decrease of $852 or 38%. The change principally reflects the lower shipments of our wireless systems solutions products noted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revenue was $675 for the six months ended March 31, 2026 compared to $716 for the six months ended March 31, 2025, a decrease of $41 or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represent costs of our product design and development activities, including employee compensation and benefits (including stock-based compensation), outside services, design tools, supplies, facility costs, depreciation and amortization of acquired developed technology. We expense all research and development costs as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$428 for the three months ended March 31, 2026 compared to $719 for the three months ended March 31, 2025, a decrease of $291 or 40%. The decrease reflects lower costs for employee compensation and benefits and other costs as part of our ongoing cost management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$870 for the six months ended March 31, 2026 compared to $1,330 for the six months ended March 31, 2025, a decrease of $460 or 35%. The decrease reflects lower costs for employee compensation and benefits and other costs as part of our ongoing cost management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primarily include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$5,847 for the three months ended March 31, 2026 compared to $8,129 for the three months ended March 31, 2025, a decrease of $2,282 or 28%. The change principally reflects a decrease in stock-based compensation expense as well as lower costs under the RaGE Earnout, lower costs for outside legal and accounting services and lower insurance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$14,819 for the six months ended March 31, 2026 compared to $23,835 for the six months ended March 31, 2025, a decrease of $9,016 or 38%. The change principally reflects a decrease in stock-based compensation expense as well as lower costs under the RaGE Earnout, lower costs for outside legal and accounting services and lower insurance cost.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cash and non-cash interest related to our related and unrelated party promissory notes, notes payable and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$1,389 for the three months ended March 31, 2026 compared to $274 for the three months ended March 31, 2025, an increase of $1,115 or 407%. The increase reflects higher outstanding borrowings and higher interest rates on borrowings during the three months ended March 31, 2026.</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$2,769 for the six months ended March 31, 2026 compared to $485 for the six months ended March 31, 2025, an increase of $2,284 or 471%. The increase reflects higher outstanding borrowings and higher interest rates on borrowings during the six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Earnout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Mobix stockholders and certain holders of Mobix stock options will be entitled to receive an additional aggregate 350,000 shares of our Class A Common Stock (“Earnout Shares”) based on the achievement of trading price targets over a period extending to December 2030. We account for the Earnout Shares as liability-classified instruments because the events that determine the number of Earnout Shares to which the earnout recipients will be entitled include events that are not solely indexed to our common stock, and we remeasure the earnout liability to its estimated fair value at the end of each reporting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none of the conditions for the issuance of any earnout shares had been achieved and we adjusted the carrying amount of the earnout liability to its estimated fair value of $280. As a result of changes in the estimated fair value of the liability, we recognized non-cash gains of $0 and $2,220 for the three months ended March 31, 2026 and 2025, respectively, and non-cash gains of $960 and $280 for the six months ended March 31, 2026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earnout liability is based on a number of factors, including changes in the market price of our Class A Common Stock. We have experienced significant fluctuations in the market price of our Class A Common Stock, and may experience significant fluctuations in the future. Such price fluctuations will increase or decrease the value of the earnout liability, and we may be required to recognize additional losses or gains in our statements of operations and comprehensive loss, the amounts of which may be substantial.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our common stock and were classified as liabilities. At their respective dates of issuance, we recognized a liability for each of the liability-classified warrants in the amount of its estimated fair value using the Black-Scholes option-pricing model. We subsequently adjust the carrying amount of the liability for each warrant to its estimated fair value as of the end of each reporting period (or through the warrants’ respective dates of exercise or modification, if earlier).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2025, we entered into amendments to certain liability-classified warrants to purchase an aggregate of 1,337,549 shares of our Class A Common Stock. The amendments revised certain terms of the warrants, including terms that could potentially require cash settlement, such that under the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the warrants are equity-classified financial instruments. The amendments did not affect any terms of the warrants that are inputs into the estimation of the fair value of warrants under the Black-Scholes option pricing model, which we use to estimate the fair value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we remeasured the related liabilities to their estimated fair value of $6,912 as of the date of the amendments and we reclassified this amount from “Liability-classified warrants” to “Additional paid-in capital” in the condensed consolidated balance sheet. As consideration for these amendments, we issued the warrant holder an additional warrant to purchase 100,000 shares of our Class A Common Stock at a price of $10.80 per share. We recognized the $514 fair value of the additional warrant as an expense, included in “Other non-operating losses, net” in the condensed consolidated statements of operations and comprehensive loss for the six months ended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changes in the fair value of liability-classified warrants outstanding during the periods, for the three months ended March 31, 2026 and 2025, we recognized net non-cash losses of $105 and net non-cash gains of $3,283, respectively. For the six months ended March 31, 2026 and 2025, we recognized net non-cash losses of $428 and net non-cash gains of $625, respectively, which are included in “Change in fair value of warrants” in the condensed consolidated statements of operations and comprehensive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September 30, 2025, the related liabilities of $375 and $6,859, respectively, are included in “Liability-classified warrants” in the condensed consolidated balance sheet.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Non-Operating (Gains) Losses,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other non-operating gains, net of $1,735 principally consist of gains on the settlements of certain notes payable and certain other liabilities in shares of our Class A Common Stock. For the six months ended March 31, 2026, other non-operating gains, net of $1,162 principally consist of the $514 fair value of the additional warrants issued in connection with amendments to certain warrants and gains on the settlements of certain notes payable and certain other liabilities in shares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other non-operating gains, net of $303 principally consist of a gain from the decrease in the fair value of a derivative liability and gains on the conversion of certain accounts payable into shares of our Class A Common Stock. For the six months ended March 31, 2025, other non-operating losses, net of $99 principally consist of a loss recognized upon the conversion of the outstanding principal balance of a note payable and accrued interest thereon into shares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Provision /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We record a valuation allowance to reduce the carrying amounts of our deferred tax assets unless it is more likely than not that such assets will be realized.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and six months ended March 31, 2026, and for the three months ended March 31, 2025, our provision (benefit) for income taxes differs from an amount calculated based on statutory tax rates principally due to our recording a valuation allowance against the net operating losses we generated during the period because we did not expect that the deferred tax asset arising from our pretax book losses would be realized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8790" w:type="dxa"/>
        <w:jc w:val="left"/>
        <w:tblInd w:w="0" w:type="dxa"/>
        <w:tblLayout w:type="fixed"/>
        <w:tblCellMar>
          <w:top w:w="0" w:type="dxa"/>
          <w:left w:w="0" w:type="dxa"/>
          <w:bottom w:w="28" w:type="dxa"/>
          <w:right w:w="0" w:type="dxa"/>
        </w:tblCellMar>
      </w:tblPr>
      <w:tblGrid>
        <w:gridCol w:w="4760"/>
        <w:gridCol w:w="60"/>
        <w:gridCol w:w="140"/>
        <w:gridCol w:w="755"/>
        <w:gridCol w:w="95"/>
        <w:gridCol w:w="60"/>
        <w:gridCol w:w="140"/>
        <w:gridCol w:w="755"/>
        <w:gridCol w:w="95"/>
        <w:gridCol w:w="60"/>
        <w:gridCol w:w="140"/>
        <w:gridCol w:w="755"/>
        <w:gridCol w:w="95"/>
        <w:gridCol w:w="60"/>
        <w:gridCol w:w="60"/>
        <w:gridCol w:w="455"/>
        <w:gridCol w:w="305"/>
      </w:tblGrid>
      <w:tr>
        <w:trPr/>
        <w:tc>
          <w:tcPr>
            <w:tcW w:w="4760" w:type="dxa"/>
            <w:tcBorders>
              <w:bottom w:val="single" w:sz="8" w:space="0" w:color="000000"/>
            </w:tcBorders>
            <w:vAlign w:val="center"/>
          </w:tcPr>
          <w:p>
            <w:pPr>
              <w:pStyle w:val="TableContents"/>
              <w:bidi w:val="0"/>
              <w:spacing w:before="0" w:after="283"/>
              <w:jc w:val="left"/>
              <w:rPr/>
            </w:pPr>
            <w:r>
              <w:rPr/>
              <w:t>(dollars in thousands)</w:t>
            </w:r>
          </w:p>
        </w:tc>
        <w:tc>
          <w:tcPr>
            <w:tcW w:w="60" w:type="dxa"/>
            <w:tcBorders/>
            <w:tcMar>
              <w:bottom w:w="0" w:type="dxa"/>
            </w:tcMar>
            <w:vAlign w:val="center"/>
          </w:tcPr>
          <w:p>
            <w:pPr>
              <w:pStyle w:val="TableContents"/>
              <w:bidi w:val="0"/>
              <w:spacing w:before="0" w:after="283"/>
              <w:jc w:val="left"/>
              <w:rPr/>
            </w:pPr>
            <w:r>
              <w:rPr/>
              <w:t> </w:t>
            </w:r>
          </w:p>
        </w:tc>
        <w:tc>
          <w:tcPr>
            <w:tcW w:w="1945" w:type="dxa"/>
            <w:gridSpan w:val="6"/>
            <w:tcBorders>
              <w:bottom w:val="single" w:sz="8" w:space="0" w:color="000000"/>
            </w:tcBorders>
            <w:vAlign w:val="center"/>
          </w:tcPr>
          <w:p>
            <w:pPr>
              <w:pStyle w:val="TableContents"/>
              <w:bidi w:val="0"/>
              <w:spacing w:before="0" w:after="283"/>
              <w:jc w:val="center"/>
              <w:rPr>
                <w:b/>
              </w:rPr>
            </w:pPr>
            <w:r>
              <w:rPr>
                <w:b/>
              </w:rPr>
              <w:t>Year ended</w:t>
              <w:br/>
              <w:t>September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5" w:type="dxa"/>
            <w:gridSpan w:val="6"/>
            <w:tcBorders>
              <w:bottom w:val="single" w:sz="8" w:space="0" w:color="000000"/>
            </w:tcBorders>
            <w:vAlign w:val="center"/>
          </w:tcPr>
          <w:p>
            <w:pPr>
              <w:pStyle w:val="TableContents"/>
              <w:bidi w:val="0"/>
              <w:spacing w:before="0" w:after="283"/>
              <w:jc w:val="center"/>
              <w:rPr>
                <w:b/>
              </w:rPr>
            </w:pPr>
            <w:r>
              <w:rPr>
                <w:b/>
              </w:rPr>
              <w:t>Change</w:t>
            </w:r>
          </w:p>
        </w:tc>
        <w:tc>
          <w:tcPr>
            <w:tcW w:w="305" w:type="dxa"/>
            <w:tcBorders/>
            <w:tcMar>
              <w:bottom w:w="0" w:type="dxa"/>
            </w:tcMar>
            <w:vAlign w:val="center"/>
          </w:tcPr>
          <w:p>
            <w:pPr>
              <w:pStyle w:val="TableContents"/>
              <w:bidi w:val="0"/>
              <w:spacing w:before="0" w:after="283"/>
              <w:jc w:val="left"/>
              <w:rPr/>
            </w:pPr>
            <w:r>
              <w:rPr/>
              <w:t> </w:t>
            </w:r>
          </w:p>
        </w:tc>
      </w:tr>
      <w:tr>
        <w:trPr/>
        <w:tc>
          <w:tcPr>
            <w:tcW w:w="4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gridSpan w:val="2"/>
            <w:tcBorders>
              <w:bottom w:val="single" w:sz="8" w:space="0" w:color="000000"/>
            </w:tcBorders>
            <w:vAlign w:val="center"/>
          </w:tcPr>
          <w:p>
            <w:pPr>
              <w:pStyle w:val="TableContents"/>
              <w:bidi w:val="0"/>
              <w:spacing w:before="0" w:after="283"/>
              <w:jc w:val="center"/>
              <w:rPr>
                <w:b/>
              </w:rPr>
            </w:pPr>
            <w:r>
              <w:rPr>
                <w:b/>
              </w:rPr>
              <w:t>%</w:t>
            </w:r>
          </w:p>
        </w:tc>
        <w:tc>
          <w:tcPr>
            <w:tcW w:w="305" w:type="dxa"/>
            <w:tcBorders/>
            <w:tcMar>
              <w:bottom w:w="0" w:type="dxa"/>
            </w:tcMar>
            <w:vAlign w:val="center"/>
          </w:tcPr>
          <w:p>
            <w:pPr>
              <w:pStyle w:val="TableContents"/>
              <w:bidi w:val="0"/>
              <w:spacing w:before="0" w:after="283"/>
              <w:jc w:val="left"/>
              <w:rPr/>
            </w:pPr>
            <w:r>
              <w:rPr/>
              <w:t> </w:t>
            </w:r>
          </w:p>
        </w:tc>
      </w:tr>
      <w:tr>
        <w:trPr/>
        <w:tc>
          <w:tcPr>
            <w:tcW w:w="4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gridSpan w:val="2"/>
            <w:tcBorders/>
            <w:tcMar>
              <w:bottom w:w="0" w:type="dxa"/>
            </w:tcMar>
            <w:vAlign w:val="center"/>
          </w:tcPr>
          <w:p>
            <w:pPr>
              <w:pStyle w:val="TableContents"/>
              <w:bidi w:val="0"/>
              <w:spacing w:before="0" w:after="283"/>
              <w:jc w:val="right"/>
              <w:rPr/>
            </w:pPr>
            <w:r>
              <w:rPr/>
              <w:t> </w:t>
            </w:r>
          </w:p>
        </w:tc>
        <w:tc>
          <w:tcPr>
            <w:tcW w:w="305" w:type="dxa"/>
            <w:tcBorders/>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pPr>
            <w:r>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Product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5,996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5,890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106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3,916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552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3,364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609</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9,912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6,442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3,470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54</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pPr>
            <w:r>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3,563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3,752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(5</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1,342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138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1,204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vAlign w:val="center"/>
          </w:tcPr>
          <w:p>
            <w:pPr>
              <w:pStyle w:val="TableContents"/>
              <w:bidi w:val="0"/>
              <w:spacing w:before="0" w:after="283"/>
              <w:jc w:val="right"/>
              <w:rPr/>
            </w:pPr>
            <w:r>
              <w:rPr/>
              <w:t>872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4,905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3,890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1,015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26</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5,007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2,552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2,455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96</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2,419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5,779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(3,360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(58</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39,556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41,835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(2,279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(5</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Impairment of long-lived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725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1,333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(608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(46</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Loss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(37,693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(46,395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8,702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(19</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2,325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1,582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743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47</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Change in fair value of earnout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(31,879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31,439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(99</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Change in fair value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(804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(1,415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611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(43</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Change in fair value of PIPE make-whole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(830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830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(100</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Merger-related transaction costs expensed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4,009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(4,009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(100</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Financing costs expensed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7,266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2,894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4,372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151</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Other non-operating losses,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1,707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(1,623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(95</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Loss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(46,124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(22,463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(23,661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105</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Provision (benefit) for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(2,429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2,436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vAlign w:val="center"/>
          </w:tcPr>
          <w:p>
            <w:pPr>
              <w:pStyle w:val="TableContents"/>
              <w:bidi w:val="0"/>
              <w:spacing w:before="0" w:after="283"/>
              <w:jc w:val="right"/>
              <w:rPr/>
            </w:pPr>
            <w:r>
              <w:rPr/>
              <w:t>(100</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Net loss and comprehensive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755" w:type="dxa"/>
            <w:tcBorders>
              <w:bottom w:val="double" w:sz="6" w:space="0" w:color="000000"/>
            </w:tcBorders>
            <w:shd w:fill="CCEEFF" w:val="clear"/>
            <w:vAlign w:val="center"/>
          </w:tcPr>
          <w:p>
            <w:pPr>
              <w:pStyle w:val="TableContents"/>
              <w:bidi w:val="0"/>
              <w:spacing w:before="0" w:after="283"/>
              <w:jc w:val="right"/>
              <w:rPr/>
            </w:pPr>
            <w:r>
              <w:rPr/>
              <w:t>(46,131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755" w:type="dxa"/>
            <w:tcBorders>
              <w:bottom w:val="double" w:sz="6" w:space="0" w:color="000000"/>
            </w:tcBorders>
            <w:shd w:fill="CCEEFF" w:val="clear"/>
            <w:vAlign w:val="center"/>
          </w:tcPr>
          <w:p>
            <w:pPr>
              <w:pStyle w:val="TableContents"/>
              <w:bidi w:val="0"/>
              <w:spacing w:before="0" w:after="283"/>
              <w:jc w:val="right"/>
              <w:rPr/>
            </w:pPr>
            <w:r>
              <w:rPr/>
              <w:t>(20,034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755" w:type="dxa"/>
            <w:tcBorders>
              <w:bottom w:val="double" w:sz="6" w:space="0" w:color="000000"/>
            </w:tcBorders>
            <w:shd w:fill="CCEEFF" w:val="clear"/>
            <w:vAlign w:val="center"/>
          </w:tcPr>
          <w:p>
            <w:pPr>
              <w:pStyle w:val="TableContents"/>
              <w:bidi w:val="0"/>
              <w:spacing w:before="0" w:after="283"/>
              <w:jc w:val="right"/>
              <w:rPr/>
            </w:pPr>
            <w:r>
              <w:rPr/>
              <w:t>(26,097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455" w:type="dxa"/>
            <w:tcBorders>
              <w:bottom w:val="double" w:sz="6" w:space="0" w:color="000000"/>
            </w:tcBorders>
            <w:shd w:fill="CCEEFF" w:val="clear"/>
            <w:vAlign w:val="center"/>
          </w:tcPr>
          <w:p>
            <w:pPr>
              <w:pStyle w:val="TableContents"/>
              <w:bidi w:val="0"/>
              <w:spacing w:before="0" w:after="283"/>
              <w:jc w:val="right"/>
              <w:rPr/>
            </w:pPr>
            <w:r>
              <w:rPr/>
              <w:t>(130</w:t>
            </w:r>
          </w:p>
        </w:tc>
        <w:tc>
          <w:tcPr>
            <w:tcW w:w="30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net revenue primarily from product sales to equipment manufacturers. We recognize product revenue when we satisfy performance obligations under the terms of our contracts and upon transfer of control when title transfers (either upon shipment to or receipt by the customer, as determined by the contractual shipping terms of the contract), net of accruals for estimated sales returns and allowances (which were not material for the years ended September 30, 2025 and 2024). Sales and other taxes we collect, if any, are excluded from net revenue. We include shipping and handling fees we bill to customers as part of net revenue. We include shipping and handling costs associated with outbound freight in cost of product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services revenue from engineering services, principally for the research, development or design of wireless systems solutions. Our contracts with our customers generally contain a single distinct performance obligation, to provide research or design services for products based on the customer’s specifications. We recognize revenue for engineering services over time as we deliver the services on an input basis, using costs incurred as the measure of progress. Costs incurred represent the most reliable measure of transfer of control to the customer. We defer the recognition of revenue for any amounts billed or received prior to delivery of the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fluctuates based on a variety of factors, including the timing of the receipt of product orders or contracts from our customers, product mix, competition, global economic conditions, and other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was $5,996 for the year ended September 30, 2025 compared to $5,890 for the year ended September 30, 2024, an increase of $106 or 2%. The increase principally reflects the inclusion of sales of our wireless systems solutions and our interconnect products in our net revenue for all of fiscal year 2025. We acquired our wireless systems solutions in our May 2024 acquisition of RaGE Systems and we acquired our interconnect products in our December 2023 acquisition of EMI Solutions. For the year ended September 30, 2024, these products are only included in our net revenues from the respective dates of the acquisition. The impact of these acquisitions was partly offset by lower sales of active optical cables.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revenue was $3,916 for the year ended September 30, 2025 compared to $552 for the year ended September 30, 2024, an increase of $3,364 or 609%. The increase principally reflects the inclusion of services revenues for wireless systems solutions in our net revenue for all of fiscal year 2025. We acquired our wireless systems solutions in our May 2024 acquisition of RaGE Systems. For the year ended September 30, 2024, these products are only included in our net revenues from the date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revenue principally consists of employee compensation and benefits of employees engaged in the delivery of engineering services, along with any related materials, equipment, supplies or other costs to perform a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$3,563 for the year ended September 30, 2025 compared to $3,752 for the year ended September 30, 2024, a decrease of $189 or 5%. The change principally reflects a shift in product mix toward our wireless systems solutions and lower sales of active optical cables.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revenue was $1,342 for the year ended September 30, 2025 compared to $138 for the year ended September 30, 2024, an increase of $1,204 or 872%. The change principally reflects the inclusion of service revenues for our wireless systems solutions in our net revenue for all of fiscal year 2025, as discussed above under “</w:t>
      </w:r>
      <w:r>
        <w:rPr>
          <w:rFonts w:ascii="Times New Roman;Times;Serif" w:hAnsi="Times New Roman;Times;Serif"/>
          <w:b w:val="false"/>
          <w:i/>
          <w:caps w:val="false"/>
          <w:smallCaps w:val="false"/>
          <w:sz w:val="20"/>
        </w:rPr>
        <w:t>Net Revenue.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represent costs of our product design and development activities, including employee compensation and benefits (including stock-based compensation), outside services, design tools, supplies, facility costs, depreciation and amortization of acquired developed technology. We expense all research and development costs as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$2,419 for the year ended September 30, 2025 compared to $5,779 for the year ended September 30, 2024, a decrease of $3,360 or 58%. The decrease principally reflects lower employee compensation and benefits, lower costs for outside services and lower stock-based compensation expense resulting from the headcount reductions and other cost reduction actions we completed during the first six months of our fiscal year ended September 30, 2024. The decrease also reflects lower write-offs of tooling for the year ended September 30, 2025 compared to the prior year. These decreases were slightly offset by increased research and development costs in EMI Solutions and RaGE Systems, which we acquired during the year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primarily include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$39,556 for the year ended September 30, 2025 compared to $41,835 for the year ended September 30, 2024, a decrease of $2,279 or 5%. The decrease principally reflects lower costs for outside services, lower costs for compensation and benefits and lower costs for estimated amounts payable under the RaGE Earnout in connection with our acquisition of RaGE Systems. These decreases were partially offset by higher stock-based compensation expense and the addition of selling, general and administrative expenses of the businesses we acquired during fiscal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Long-Lived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vacated a leased 19,436 square foot office in Irvine, California and in April 2025 the lease was terminated. As a result, during the three months ended June 30, 2025, we recognized an impairment loss of $725 to reduce the carrying value of this asset group to its estimated fair value. See Note 11—</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of the notes to our consolidated financial statements included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as a result of declining sales of AOCs and strategic decisions on investment across our product groups, we tested the related long-lived assets for possible impairment. Based on our test, we concluded that the carrying value of the AOCs asset group exceeded its estimated fair value, and we recorded an impairment charge of $1,333 to write down the carrying value of the long-lived assets (consisting of developed technology and customer relationships). We estimated the fair value of the AOC asset group using a discounted cash flow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cash and non-cash interest on our related and unrelated party promissory notes and notes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$2,325 for the year ended September 30, 2025 compared to $1,582 for the year ended September 30, 2024, an increase of $743 or 47%. The increase principally reflects higher outstanding borrowings and higher interest rates on borrowings outstanding during the year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Earnout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certain Legacy Mobix stockholders and certain holders of Legacy Mobix stock options will be entitled to receive an additional aggregate 350,000 shares of our Class A Common Stock based on the achievement of trading price targets following the Closing over a seven-year earnout period. We account for the Earnout Shares as liability-classified instruments because the events that determine the number of Earnout Shares to which the earnout recipients will be entitled include events that are not solely indexed to our common stock, and we remeasure the earnout liability to its estimated fair value at the end of each reporting period. Additional information relating to the earnout liability can be found in the notes to our consolidated financial statements included herein.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estimated the fair value of the earnout liability as of the Closing of the Merger at $33,559. As of September 30, 2025 and 2024, none of the conditions for the issuance of any Earnout Shares had been achieved and we adjusted the carrying amount of the earnout liability to its estimated fair value of $1,240 and $1,680, respectively. As a result of decreases in the fair value of the liability, which were primarily the result of decreases in the price of our Class A Common Stock subsequent to the Closing, we recognized non-cash gains of $440 and $31,879 for the years ended September 30,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earnout liability is based on a number of factors, including changes in the market price of our Class A Common Stock. We have experienced significant fluctuations in the market price of our Class A Common Stock in the period subsequent to the Closing, and may experience significant fluctuations in the future. Such price fluctuations will increase or decrease the value of the earnout liability, and we may be required to recognize losses or gains in our statements of operations and comprehensive loss, the amounts of which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all common stock warrants at the time of issuance (or at the Closing, if later) and concluded that certain warrants do not meet the derivative scope exception. Specifically, these warrants contain provisions that affect their settlement amounts which are not inputs into the pricing of a fixed-for-fixed option on equity shares. Therefore, these warrants are not considered indexed to our common stock and must be classified as liabilities. At their respective dates of issuance (or, in the case of the Private Warrants, at the Closing), we recognized a liability for each of the warrants in the amount of its estimated fair value. We subsequently adjusted the carrying amount of the liability for each warrant to its estimated fair value as of September 30, 2025 and 2024 (or through the warrants’ respective dates of exercise, if earlier).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changes in the fair value of the warrants, for the years ended September 30, 2025 and 2024, we recognized net non-cash gains of $804 and $1,415, respectively, which are included in “Change in fair value of warrants” in the consolidated statements of operations and comprehensive loss. See Note 15, </w:t>
      </w:r>
      <w:r>
        <w:rPr>
          <w:rFonts w:ascii="Times New Roman;Times;Serif" w:hAnsi="Times New Roman;Times;Serif"/>
          <w:b w:val="false"/>
          <w:i/>
          <w:caps w:val="false"/>
          <w:smallCaps w:val="false"/>
          <w:sz w:val="20"/>
        </w:rPr>
        <w:t>Warrants</w:t>
      </w:r>
      <w:r>
        <w:rPr>
          <w:rFonts w:ascii="Times New Roman;Times;Serif" w:hAnsi="Times New Roman;Times;Serif"/>
          <w:b w:val="false"/>
          <w:i w:val="false"/>
          <w:caps w:val="false"/>
          <w:smallCaps w:val="false"/>
          <w:sz w:val="20"/>
        </w:rPr>
        <w:t xml:space="preserve"> and Note 17,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of the notes to our consolidated financial statements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PIPE Make-Whole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we agreed to issue additional shares of our Class A Common Stock to the holders of 245,473 shares of our Class A Common Stock in the event that the volume-weighted average price per share of our Class A Common Stock during a specified period is less than $100.00 per share. In such a case, we would be obligated to issue up to 105,202 additional shares of our Class A Common Stock. We accounted for the make-whole shares as liability-classified instruments because the events that determined the number of make-whole shares we were ultimately obligated to issue were not solely indexed to our common stock and we remeasured the PIPE make-whole liability to its estimated fair value at the end of each reporting period. Additional information relating to the PIPE make-whole liability can be found in the notes to our consolidated financial statements included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estimated the fair value of the PIPE make-whole liability as of the Closing of the Merger at $2,071. In August 2024, we settled the PIPE make-whole liability through the issuance of 105,202 shares of our Class A Common Stock having a fair value of $1,241 at the time of settlement. As a result of the change in the fair value of the PIPE make-whole liability subsequent to the Closing, we recognized a non-cash gain of $830 for the year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Costs Expensed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financing costs expensed of $7,266 principally consisted of costs associated with the September 2025 warrant exercise inducement, including the estimated the fair value of the Inducement Warrants as of the date of issuance, the increase in the estimated fair value of the remaining Series B Warrants resulting from their amendment and the fair value of the warrants issued and fees paid to the financial advisor. Financing costs expensed also includes costs associated with the April 2025 Offering.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financing costs expensed of $2,894 consisted of the excess of the fair value of warrants issued in the Private Placement over the gross proceeds received, the fair value of the Placement Agent Warrants issued and the cash fees paid to the placement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Non-Operating Losses,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other non-operating losses, net of $84 principally consisted of net losses on the settlement of notes payable and other liabilities in shares of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other non-operating losses, net of $1,707 principally consisted of commitment and other fees of $1,577 incurred in connection with the committed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(Benefit) for 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We record a valuation allowance to reduce the carrying amounts of our deferred tax assets unless it is more likely than not that such assets will be realized.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our income tax provision of $7 differs from an amount calculated based on statutory tax rates principally due to our recording a valuation allowance against the net operating losses we generated during the period. We did not recognize any tax benefit related to our pretax book loss of $46,124 because we did not expect that the deferred tax asset arising from our net operating losses would be realized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we recognized an income tax benefit of $2,429. In connection with our acquisitions of EMI Solutions and RaGE Systems, we recognized additional deferred tax liabilities of $2,666 associated with acquired intangible assets. Based on the availability of these tax attributes, we determined that we expect to realize a greater portion of our existing deferred tax assets and for the year ended September 30, 2024 we recognized income tax benefits of $2,432, principally resulting from reductions of the valuation allowance previously recorded against our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 of cash is to fund operating expenses, working capital requirements, debt service obligations, capital expenditures and other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and negative cash flows as a result of our ongoing investment in product development and other operating expenses we incur. We expect to continue to incur operating losses and negative cash flows from operations associated with research and development expenses, selling, general, and administrative expenses and capital expenditures necessary to expand our operations, product offerings, and customer base with the ultimate goals of growing our business and achieving profitability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unaudited condensed consolidated cash flows for the six months ended March 31, 2026 and 2025:</w:t>
      </w:r>
    </w:p>
    <w:p>
      <w:pPr>
        <w:pStyle w:val="TextBody"/>
        <w:bidi w:val="0"/>
        <w:spacing w:before="0" w:after="0"/>
        <w:ind w:left="0" w:right="0" w:firstLine="720"/>
        <w:jc w:val="both"/>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3890"/>
        <w:gridCol w:w="60"/>
        <w:gridCol w:w="140"/>
        <w:gridCol w:w="635"/>
        <w:gridCol w:w="95"/>
        <w:gridCol w:w="60"/>
        <w:gridCol w:w="140"/>
        <w:gridCol w:w="635"/>
        <w:gridCol w:w="95"/>
        <w:gridCol w:w="60"/>
        <w:gridCol w:w="147"/>
        <w:gridCol w:w="668"/>
        <w:gridCol w:w="11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Six</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months ended</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March</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(9,017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(1,516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(7,501</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8,307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6,260</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(710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515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8" w:type="dxa"/>
            <w:tcBorders>
              <w:bottom w:val="double" w:sz="6" w:space="0" w:color="000000"/>
            </w:tcBorders>
            <w:shd w:fill="FFFFFF" w:val="clear"/>
            <w:tcMar>
              <w:bottom w:w="28" w:type="dxa"/>
            </w:tcMar>
            <w:vAlign w:val="center"/>
          </w:tcPr>
          <w:p>
            <w:pPr>
              <w:pStyle w:val="TableContents"/>
              <w:bidi w:val="0"/>
              <w:spacing w:before="0" w:after="283"/>
              <w:jc w:val="right"/>
              <w:rPr/>
            </w:pPr>
            <w:r>
              <w:rPr/>
              <w:t>(1,225</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Cash,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Cash,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net cash used in operating activities was $9,017, which included the impact of our net loss of $15,978 and a net increase in working capital items of $1,094, offset by net non-cash charges of $8,055. The net non-cash charges principally consisted of stock-based compensation expense of $7,592 for restricted stock units and stock options, $879 of depreciation and amortization expense and charges of $428 for the issuance or change in fair value of warrants, partly offset by a $960 non-cash gain from the decrease in the fair value of the earnout liability. The net working capital increase principally consisted of decreases in accounts payable and accrued expenses, partly offset by decreases in accounts receivable and 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2025, net cash used in operating activities was $1,516, which included the impact of our net loss of $22,130, offset by net non-cash charges of $14,028 and net decreases in working capital items of $6,586. The net non-cash charges principally consisted of stock-based compensation expense of $13,154 for stock options and restricted stock units and $1,124 of depreciation and amortization expense. The net working capital decrease principally consisted of increases in accounts payable and accrued expenses together with decreases in accounts receivable and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six months ended March 31, 2026 was $0.</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of $16 for the six months ended March 31, 2025 consisted of payments for the acquisition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 months ended March 31, 2026 of $8,307 principally consisted of $5,360 in proceeds from our public offering, $1,254 in proceeds from the sale of common stock, $4,736 in borrowings under notes payable and agreements for the purchase and sale of future receipts and proceeds of $55 from the exercise of stock options. These amounts were partially offset by principal payments on notes payable of $3,098 (including payments of $565 on notes payable—related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 months ended March 31, 2025 of $2,047 consisted of $600 in proceeds from the issuance of common stock, and $1,725 in proceeds under agreements for the purchase and sale of future receipts and the issuance of a note payable and proceeds of $15 from the exercise of warrants to purchase shares of our Class A Common Stock. These amounts were partially offset by principal payments on notes payable of $119 and the payment of deferred consideration of $174 for the acquisition of a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consolidated cash flows for the years ended September 30, 2025 and 2024:</w:t>
      </w:r>
    </w:p>
    <w:p>
      <w:pPr>
        <w:pStyle w:val="TextBody"/>
        <w:bidi w:val="0"/>
        <w:spacing w:before="0" w:after="0"/>
        <w:ind w:left="0" w:right="0" w:firstLine="720"/>
        <w:jc w:val="left"/>
        <w:rPr>
          <w:caps w:val="false"/>
          <w:smallCaps w:val="false"/>
        </w:rPr>
      </w:pPr>
      <w:r>
        <w:rPr>
          <w:caps w:val="false"/>
          <w:smallCaps w:val="false"/>
        </w:rPr>
        <w:t> </w:t>
      </w:r>
    </w:p>
    <w:tbl>
      <w:tblPr>
        <w:tblW w:w="7830" w:type="dxa"/>
        <w:jc w:val="left"/>
        <w:tblInd w:w="0" w:type="dxa"/>
        <w:tblLayout w:type="fixed"/>
        <w:tblCellMar>
          <w:top w:w="0" w:type="dxa"/>
          <w:left w:w="0" w:type="dxa"/>
          <w:bottom w:w="28" w:type="dxa"/>
          <w:right w:w="0" w:type="dxa"/>
        </w:tblCellMar>
      </w:tblPr>
      <w:tblGrid>
        <w:gridCol w:w="4745"/>
        <w:gridCol w:w="60"/>
        <w:gridCol w:w="140"/>
        <w:gridCol w:w="755"/>
        <w:gridCol w:w="95"/>
        <w:gridCol w:w="60"/>
        <w:gridCol w:w="140"/>
        <w:gridCol w:w="755"/>
        <w:gridCol w:w="95"/>
        <w:gridCol w:w="60"/>
        <w:gridCol w:w="70"/>
        <w:gridCol w:w="745"/>
        <w:gridCol w:w="110"/>
      </w:tblGrid>
      <w:tr>
        <w:trPr/>
        <w:tc>
          <w:tcPr>
            <w:tcW w:w="4745" w:type="dxa"/>
            <w:tcBorders>
              <w:bottom w:val="single" w:sz="8" w:space="0" w:color="000000"/>
            </w:tcBorders>
            <w:vAlign w:val="center"/>
          </w:tcPr>
          <w:p>
            <w:pPr>
              <w:pStyle w:val="TableContents"/>
              <w:bidi w:val="0"/>
              <w:spacing w:before="0" w:after="283"/>
              <w:jc w:val="left"/>
              <w:rPr/>
            </w:pPr>
            <w:r>
              <w:rPr/>
              <w:t>(dollars in thousands)</w:t>
            </w:r>
          </w:p>
        </w:tc>
        <w:tc>
          <w:tcPr>
            <w:tcW w:w="60" w:type="dxa"/>
            <w:tcBorders/>
            <w:tcMar>
              <w:bottom w:w="0" w:type="dxa"/>
            </w:tcMar>
            <w:vAlign w:val="center"/>
          </w:tcPr>
          <w:p>
            <w:pPr>
              <w:pStyle w:val="TableContents"/>
              <w:bidi w:val="0"/>
              <w:spacing w:before="0" w:after="283"/>
              <w:jc w:val="left"/>
              <w:rPr/>
            </w:pPr>
            <w:r>
              <w:rPr/>
              <w:t> </w:t>
            </w:r>
          </w:p>
        </w:tc>
        <w:tc>
          <w:tcPr>
            <w:tcW w:w="1945" w:type="dxa"/>
            <w:gridSpan w:val="6"/>
            <w:tcBorders>
              <w:bottom w:val="single" w:sz="8" w:space="0" w:color="000000"/>
            </w:tcBorders>
            <w:vAlign w:val="center"/>
          </w:tcPr>
          <w:p>
            <w:pPr>
              <w:pStyle w:val="TableContents"/>
              <w:bidi w:val="0"/>
              <w:spacing w:before="0" w:after="283"/>
              <w:jc w:val="center"/>
              <w:rPr>
                <w:b/>
              </w:rPr>
            </w:pPr>
            <w:r>
              <w:rPr>
                <w:b/>
              </w:rPr>
              <w:t>Year ended</w:t>
              <w:br/>
              <w:t>September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Change</w:t>
            </w:r>
          </w:p>
        </w:tc>
        <w:tc>
          <w:tcPr>
            <w:tcW w:w="110" w:type="dxa"/>
            <w:tcBorders/>
            <w:tcMar>
              <w:bottom w:w="0" w:type="dxa"/>
            </w:tcMar>
            <w:vAlign w:val="center"/>
          </w:tcPr>
          <w:p>
            <w:pPr>
              <w:pStyle w:val="TableContents"/>
              <w:bidi w:val="0"/>
              <w:spacing w:before="0" w:after="283"/>
              <w:jc w:val="left"/>
              <w:rPr/>
            </w:pPr>
            <w:r>
              <w:rPr/>
              <w:t> </w:t>
            </w:r>
          </w:p>
        </w:tc>
      </w:tr>
      <w:tr>
        <w:trPr/>
        <w:tc>
          <w:tcPr>
            <w:tcW w:w="4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w:t>
            </w:r>
          </w:p>
        </w:tc>
        <w:tc>
          <w:tcPr>
            <w:tcW w:w="110" w:type="dxa"/>
            <w:tcBorders/>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pPr>
            <w:r>
              <w:rPr/>
              <w:t>Net cash used in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(10,113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(18,388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45" w:type="dxa"/>
            <w:tcBorders/>
            <w:shd w:fill="CCEEFF" w:val="clear"/>
            <w:tcMar>
              <w:bottom w:w="0" w:type="dxa"/>
            </w:tcMar>
            <w:vAlign w:val="center"/>
          </w:tcPr>
          <w:p>
            <w:pPr>
              <w:pStyle w:val="TableContents"/>
              <w:bidi w:val="0"/>
              <w:spacing w:before="0" w:after="283"/>
              <w:jc w:val="right"/>
              <w:rPr/>
            </w:pPr>
            <w:r>
              <w:rPr/>
              <w:t>8,275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45" w:type="dxa"/>
            <w:tcBorders/>
            <w:shd w:fill="FFFFFF" w:val="clear"/>
            <w:tcMar>
              <w:bottom w:w="0" w:type="dxa"/>
            </w:tcMar>
            <w:vAlign w:val="center"/>
          </w:tcPr>
          <w:p>
            <w:pPr>
              <w:pStyle w:val="TableContents"/>
              <w:bidi w:val="0"/>
              <w:spacing w:before="0" w:after="283"/>
              <w:jc w:val="left"/>
              <w:rPr/>
            </w:pPr>
            <w:r>
              <w:rPr/>
              <w:t>Net cash provided by (used in) 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(1,108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745" w:type="dxa"/>
            <w:tcBorders/>
            <w:shd w:fill="FFFFFF" w:val="clear"/>
            <w:tcMar>
              <w:bottom w:w="0" w:type="dxa"/>
            </w:tcMar>
            <w:vAlign w:val="center"/>
          </w:tcPr>
          <w:p>
            <w:pPr>
              <w:pStyle w:val="TableContents"/>
              <w:bidi w:val="0"/>
              <w:spacing w:before="0" w:after="283"/>
              <w:jc w:val="right"/>
              <w:rPr/>
            </w:pPr>
            <w:r>
              <w:rPr/>
              <w:t>1,109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pPr>
            <w:r>
              <w:rPr/>
              <w:t>Net cash provided by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13,119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19,673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45" w:type="dxa"/>
            <w:tcBorders/>
            <w:shd w:fill="CCEEFF" w:val="clear"/>
            <w:tcMar>
              <w:bottom w:w="0" w:type="dxa"/>
            </w:tcMar>
            <w:vAlign w:val="center"/>
          </w:tcPr>
          <w:p>
            <w:pPr>
              <w:pStyle w:val="TableContents"/>
              <w:bidi w:val="0"/>
              <w:spacing w:before="0" w:after="283"/>
              <w:jc w:val="right"/>
              <w:rPr/>
            </w:pPr>
            <w:r>
              <w:rPr/>
              <w:t>(6,554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745" w:type="dxa"/>
            <w:tcBorders/>
            <w:shd w:fill="FFFFFF" w:val="clear"/>
            <w:tcMar>
              <w:bottom w:w="0" w:type="dxa"/>
            </w:tcMar>
            <w:vAlign w:val="center"/>
          </w:tcPr>
          <w:p>
            <w:pPr>
              <w:pStyle w:val="TableContents"/>
              <w:bidi w:val="0"/>
              <w:spacing w:before="0" w:after="283"/>
              <w:jc w:val="left"/>
              <w:rPr/>
            </w:pPr>
            <w:r>
              <w:rPr/>
              <w:t>Net increase in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3,007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177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745" w:type="dxa"/>
            <w:tcBorders/>
            <w:shd w:fill="FFFFFF" w:val="clear"/>
            <w:tcMar>
              <w:bottom w:w="0" w:type="dxa"/>
            </w:tcMar>
            <w:vAlign w:val="center"/>
          </w:tcPr>
          <w:p>
            <w:pPr>
              <w:pStyle w:val="TableContents"/>
              <w:bidi w:val="0"/>
              <w:spacing w:before="0" w:after="283"/>
              <w:jc w:val="right"/>
              <w:rPr/>
            </w:pPr>
            <w:r>
              <w:rPr/>
              <w:t>2,830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pPr>
            <w:r>
              <w:rPr/>
              <w:t>Cash,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266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89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745" w:type="dxa"/>
            <w:tcBorders>
              <w:bottom w:val="single" w:sz="8" w:space="0" w:color="000000"/>
            </w:tcBorders>
            <w:shd w:fill="CCEEFF" w:val="cle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45" w:type="dxa"/>
            <w:tcBorders/>
            <w:shd w:fill="FFFFFF" w:val="clear"/>
            <w:tcMar>
              <w:bottom w:w="0" w:type="dxa"/>
            </w:tcMar>
            <w:vAlign w:val="center"/>
          </w:tcPr>
          <w:p>
            <w:pPr>
              <w:pStyle w:val="TableContents"/>
              <w:bidi w:val="0"/>
              <w:spacing w:before="0" w:after="283"/>
              <w:jc w:val="left"/>
              <w:rPr/>
            </w:pPr>
            <w:r>
              <w:rPr/>
              <w:t>Cash, end of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3,273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266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double" w:sz="6" w:space="0" w:color="000000"/>
            </w:tcBorders>
            <w:shd w:fill="FFFFFF" w:val="clear"/>
            <w:vAlign w:val="center"/>
          </w:tcPr>
          <w:p>
            <w:pPr>
              <w:pStyle w:val="TableContents"/>
              <w:bidi w:val="0"/>
              <w:spacing w:before="0" w:after="283"/>
              <w:jc w:val="left"/>
              <w:rPr/>
            </w:pPr>
            <w:r>
              <w:rPr/>
              <w:t> </w:t>
            </w:r>
          </w:p>
        </w:tc>
        <w:tc>
          <w:tcPr>
            <w:tcW w:w="745" w:type="dxa"/>
            <w:tcBorders>
              <w:bottom w:val="double" w:sz="6" w:space="0" w:color="000000"/>
            </w:tcBorders>
            <w:shd w:fill="FFFFFF" w:val="cle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net cash used in operating activities was $10,113, which included the impact of our net loss of $46,131, offset by net non-cash charges of $34,648 and net decreases in working capital items of $1,370. The net non-cash charges principally consisted of stock-based compensation expense of $25,619, non-cash charges of $6,458 related to the warrant exercise inducement, $2,058 of depreciation and amortization expense and a $725 loss on the impairment of long-lived assets. The net working capital decrease principally consisted of decreases in accounts receivable and 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net cash used in operating activities was $18,388, which included the impact of our net loss of $20,034 and net non-cash credits of $3,206, partly offset by net decreases in working capital items of $4,852. The net non-cash credits principally consisted of the $31,879 gain on the change in fair value of the earnout liability, a deferred income tax benefit of $2,432 and $1,415 of non-cash gains from the change in the fair value of liability-classified warrants. These non-cash credits were partially offset by stock-based compensation expense of $21,383, $4,009 of Merger related transaction costs, $2,894 of non-cash private placement costs, $2,015 of depreciation and amortization expense and impairment of long-lived assets of $1,333. The net working capital decrease principally consists of an increase in accounts payable, accrued expenses and other liabilities, partly offset by an increase in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of $1 for the year ended September 30, 2025 consisted of proceeds from the sale of property and equipment, almost entirely offset by payments for the acquisition of property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of $1,108 for the year ended September 30, 2024 consisted of payments for the acquisition EMI Solutions and RaGE, net of acquired cash, and payments of $44 for the acquisition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September 30, 2025 of $13,119 consisted of $3,645 in proceeds from the sale of common stock and warrants in the April 2025 Offering, proceeds of $4,520 from the exercise of warrants to purchase shares of our Class A Common Stock (including $4,500 from the warrant exercise inducement), $1,600 from the issuance of common stock and $5,317 in proceeds under agreements for the purchase and sale of future receipts and the issuance of notes payable. These amounts were partially offset by principal payments on notes payable of $1,789 (including payments of $574 on notes payable—related parties) and the payment of deferred consideration of $174 for the acquisition of a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September 30, 2024 of $19,673 consisted of the $21,014 proceeds from the Merger and PIPE, $3,529 in proceeds from the issuance of common stock, $3,585 proceeds from the sale of warrants in a private placement, $1,648 in proceeds from issuance of notes payable and convertible notes (including $450 from notes payable—related parties) and proceeds of $229 from the exercise of stock options and warrants. These amounts were partially offset by the payment of Merger-related transaction costs of $6,946, principal payments of $3,212 on notes payable (including payments of $1,463 on notes payable—related parties) and the payment of deferred consideration of $174 for the acquisition of a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our cash balance was $3,273 compared to $266 at September 30, 2024. We had a working capital deficit of $21,071 as of September 30, 2025 compared to a working capital deficit of $20,836 at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cash balance was $2,563 compared to $3,273 at September 30, 2025. We had a working capital deficit of $18,540 as of March 31, 2026 compared to a working capital deficit of $21,071 at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debt consists of notes payable with an aggregate amount of $4,752 and 7% promissory notes—related parties with an aggregate principal amount of $1,686. Of these amounts, one note having a principal amount of $125 has reached its maturity date and is currently due. The remainder require weekly or monthly payments in varying amounts through July 2027.</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liabilities as of March 31, 2026 were $26,009 compared to $37,449 as of September 30, 2025. The decrease in our total liabilities is principally due to the amendment of certain liability-classified warrants and the resulting reclassification of $6,912 of liabilities to stockholders’ equity (deficit) on the condensed consolidated balance sheet during the six months ended March 31, 2026, a decrease in accounts payable of $2,747, and a decrease in accrued expenses and other current liabilities of $1,289.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commitments include (i) non-cancelable operating leases for equipment, office facilities and other property containing future minimum lease payments totaling $235 payable over the next 1.2 years, (ii) unpaid commitment and other fees of $1,478 payable in connection with the committed equity facility, (iii) deferred purchase consideration of $2,323 related to acquisitions which is currently due, and (iv) $2,000 currently payable under an earnout arrangement related to the acquisition of a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 loss from operations of $14,924 for the six months ended March 31, 2026 and we incurred losses from operations of $37,693 and $46,395 for the years ended September 30, 2025 and 2024, respectively. Additionally, we had negative cash flows from operations of $9,017 for the six months ended March 31, 2026 and negative cash flows from operations of $10,113 and $18,388 for the years ended September 30, 2025 and 2024, respectively. As of March 31, 2026, we had cash on hand of $2,563 and an accumulated deficit of $166,566. We have historically financed our operations through the issuance and sale of equity securities and the issuance of debt. We expect to continue to incur operating losses and negative cash flows from operations for the foreseeable future and we will need to raise additional debt or equity financing to fund our operations and satisfy our obligations. We believe that there is substantial doubt concerning our ability to continue as a going concern as we currently do not have adequate liquidity to meet our operating needs and satisfy our obligations for at least the next twelve months.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will seek to raise additional capital, there can be no assurance the necessary financing will be available on terms acceptable to us, or at all. If we raise funds by issuing equity securities, dilution to existing stockholders may result. Any equity securities issued may also provide for rights, preferences or privileges senior to those of holders of common stock. If we raise funds by issuing debt securities, such debt securities would have rights, preferences and privileges senior to those of preferred and common stockholders. The terms of debt securities or borrowings may impose significant restrictions on our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additional financing, or if such transactions are successfully completed but do not provide adequate financing, we may be required to reduce our operating expenditures, which could adversely affect our business prospects, or we may be unable to continue operations. The condensed consolidated financial statements do not include any adjustments that might result from the outcome of these uncertainties. Accordingly, the condensed consolidated financial statements have been prepared on a basis that assumes we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financial statements and related disclosures in accordance with U.S. GAAP requires that we make judgments, assumptions and estimates that affect the amounts reported in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methods, estimates and judgments we use in applying our accounting policies have a significant impact on the results that we report in our financial statements. Some of our accounting policies require that we make difficult and subjective judgments, often as a result of the need to make estimates regarding matters that are inherently uncertain. We base our estimates and judgments on historical experience, current economic and industry conditions and other factors that we believe to be reasonable under the circumstances. Actual results may differ from our estimates under different assumptions or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critical accounting estimates include the assumptions we use in the determination of the fair value of the earnout liability, the fair value of liability-classified warrants, stock-based compensation, the provision (benefit) for income taxes, the accounting for business combinations and the measurement of definite-lived intangible assets and goodwill.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Earnout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the Earnout Shares as liability-classified instruments because the events that determine the number of shares to which the earnout recipients will be entitled include events that are not solely indexed to our common stock. We remeasure the earnout liability to its estimated fair value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the earnout liability using a Monte Carlo simulation model that utilizes significant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pStyle w:val="TextBody"/>
        <w:bidi w:val="0"/>
        <w:spacing w:before="0" w:after="0"/>
        <w:ind w:left="0" w:right="0" w:hanging="0"/>
        <w:jc w:val="left"/>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1805"/>
        <w:gridCol w:w="60"/>
        <w:gridCol w:w="140"/>
        <w:gridCol w:w="740"/>
        <w:gridCol w:w="215"/>
        <w:gridCol w:w="60"/>
        <w:gridCol w:w="140"/>
        <w:gridCol w:w="74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8.06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10.60</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70</w:t>
            </w:r>
          </w:p>
        </w:tc>
        <w:tc>
          <w:tcPr>
            <w:tcW w:w="23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3.6</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stock-based compensation awards principally consist of restricted stock units (RSUs) and restricted stock awards (RSAs). Prior to the Merger, our stock-based compensation awards principally consisted of stock options. In some cases, other equity transactions, such as the issuance of warrants to purchase our common stock are accounted for as equity-classified awards granted to employees. In each case, we must determine the fair value of the equity-based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stock options and warrants to purchase our common stock using the Black-Scholes-Merton (“Black-Scholes”) option-pricing model. The Black-Scholes option pricing model considers several variables and assumptions in estimating the fair value of stock-based awards. These variables include:</w:t>
      </w:r>
    </w:p>
    <w:p>
      <w:pPr>
        <w:pStyle w:val="TextBody"/>
        <w:bidi w:val="0"/>
        <w:spacing w:before="0" w:after="0"/>
        <w:ind w:left="0" w:right="0" w:hanging="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fair value of the underlying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stock price volatility over the expected term;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annual dividend yield.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RSUs and RSAs based on the grant-date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fair value of each award as compensation expense on a straight-line basis over the requisite service period, which principally range from one to four years. We have elected to account for forfeitures as they occur and initially record stock-based compensation expense assuming all option holders will complete the requisite service period. If an employee forfeits an award because they fail to complete the requisite service period, we will reverse previously recognized stock-based compensation expense in the period the award is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RSUs are subject to both service-based vesting conditions and performance conditions. For such awards, our accounting requires that we evaluate the probability of achievement of the performance conditions. When we conclude that the achievement of a performance condition is not probable, we do not recognize any compensation cost for that award. We continually reevaluate the probability of achievement of performance conditions. If we subsequently determine the achievement of a performance condition is probable, we will be required to record a “catch-up” of previously unrecognized stock-based compensation expense, subject to any applicable time-based vesting.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issued warrants to purchase common stock to employees and service providers in exchange for services to us and we determined that those warrants should be accounted for as equity-classified awards. We determine the fair value of these warrants at the date of issuance using the Black-Scholes option pricing model, based on the variables and assumptions discussed above, and recognize the fair value as stock-based compensation expense in our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stock-based compensation expense in our consolidated statements of operations and comprehensive loss in the same manner in which the award recipient’s salary and related costs are classified or in which the award recipient’s service payments are classified. In future periods, we expect stock-based compensation expense to increase, due in part to our existing unrecognized stock-based compensation expense and as we grant additional stock-based awards to continue to attract and retain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and subsequent financing transactions we have issued certain warrants that do not meet the derivative scope exception. Specifically, these warrants contain provisions that affect their settlement amounts which are not inputs into the pricing of a fixed-for-fixed option on equity shares. Therefore, these warrants are not considered indexed to our stock and must be classified as liabilities. At their respective dates of issuance, we recognized a liability for each of the warrants in the amount of their estimated fair value. We remeasure the warrant liabilities to their estimated fair value as of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estimate the fair value of liability-classified warrants, other than the Private Warrants, using the Black-Scholes option-pricing model (as described above under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We recognize the change in the fair value of liability-classified warrants in “Change in fair value of warrants” in our consolidated statements of operations and comprehensive loss. The following table summarizes the assumptions we used in estimating the fair value of liability-classified warrants at the respective dates:</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1805"/>
        <w:gridCol w:w="60"/>
        <w:gridCol w:w="140"/>
        <w:gridCol w:w="1190"/>
        <w:gridCol w:w="215"/>
        <w:gridCol w:w="60"/>
        <w:gridCol w:w="140"/>
        <w:gridCol w:w="119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8.06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10.60</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79.0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55.7</w:t>
            </w:r>
          </w:p>
        </w:tc>
        <w:tc>
          <w:tcPr>
            <w:tcW w:w="23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3.7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 – 3.9</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 – 4.9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 – 5.1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the Private Warrants based on quoted market prices for the Public Warrants, which have substantially the same economic characteristics as the 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(Benefit)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We recognize the effect of a change in tax laws on deferred tax assets and liabilities in our results of operations in the period the new laws are enacted. We record a valuation allowance to reduce the carrying amounts of deferred tax assets unless it is more likely than not that such assets will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liabilities for uncertain tax positions based on a two-step process regarding recognition and measurement. We recognize a tax benefit only if it is more likely than not the tax position will be sustained on examination by the local taxing authorities based on the technical merits of the position. We measure the amount of tax benefits recognized in the financial statements from such positions based on the largest benefit greater than 50% likely to be realized upon ultimate settlement with the related tax authority. Changes in recognition or measurement of an uncertain tax position are reflected in our statements of operations in the period in which the change in estimate occurs, based on new information not previously available.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allocate the purchase price of an acquisition to the tangible and intangible assets acquired and the liabilities assumed based on their estimated fair values. The excess of the purchase price over the fair values of the net assets acquired is recorded as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for business combinations requires that we make significant estimates and assumptions to determine the fair value of assets acquired and liabilities assumed at the acquisition date. Although we believe the assumptions and estimates we use to be reasonable and appropriate, they are inherently uncertain. Critical estimates in valuing certain acquired assets may include, but are not limited to, expected future cash flows including revenue growth rate assumptions from product sales, customer contracts and acquired technologies, the expected costs to develop acquired technology into commercially viable products and the estimated cash flows from the projects when completed, including assumptions associated with the technology migration curve and expected selling, general and administrative costs. We derive the discount rates used to discount expected future cash flows to present value using a weighted-average cost of capital analysis adjusted to reflect inherent risks. Unanticipated events and circumstances may occur that could affect either the accuracy or validity of these assumptions, estimates or actual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Long-Lived Assets and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long-lived assets, principally consisting of definite-lived intangible assets (including developed technology, customer relationships and tradenames). We record amortization expense associated with each definite-lived intangible asset based on its estimated useful life. We also review all long-lived assets—including intangible assets—for impairment whenever events or changes in circumstances indicate that the carrying amount of such assets may not be recoverable. This includes our regular review of our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 impairment testing at the asset group level that represents the lowest level for which identifiable cash flows are largely independent of the cash flows of other assets and liabilities. Recoverability of an asset group is determined by comparing the forecasted undiscounted cash flows attributable to such asset group, including any cash flows upon its eventual disposition, to its carrying value. If the carrying value of the asset group exceeds the forecasted undiscounted cash flows, then the asset group is written down to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2025 and 2024 we recorded impairment charges of $725 and $1,333, respectively, to write down the value of long-lived assets to their estimated fair values. However, future cash flows may vary from what was expected, or assumptions and estimates we use in the fair value calculations may change. Any such changes in assumptions or estimates could change the estimates of future cash flows we use to estimate fair values and could result in a decline in the estimated fair value of related assets. Such a decline in our estimates of the fair values of assets may result in future impairment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goodwill totaling $16,066 as of September 30, 2025, which represents the excess of the fair value of purchase consideration of an acquired business over the fair value of the identifiable net assets acquired. Goodwill is not amortized, but we test goodwill for impairment at a reporting unit level on an annual basis on July 31, or more frequently if circumstances change or an event occurs that would more likely than not reduce the fair value of a reporting unit below its carrying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assess all relevant qualitative factors to determine whether it is more likely than not that the fair value of a reporting unit is less than its carrying amount. If the assessment indicates that it is more likely than not that the fair value of a reporting unit is greater than its carrying amount, a quantitative goodwill impairment test is not necessary. If the assessment of all relevant qualitative factors indicates that it is more likely than not that the fair value of a reporting unit is less than its carrying amount, we would perform a quantitative goodwill impairment test. The quantitative impairment test for goodwill consists of a comparison of the fair value of a reporting unit with its carrying value, including the goodwill allocated to that reporting unit. If the carrying value of a reporting unit exceeds its fair value, we will recognize an impairment loss equal to the amount of the excess, limited to the amount of goodwill allocated to that reporting unit.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performed our annual goodwill impairment test and determined it was not more likely than not that the fair value of any reporting unit was less than its carrying amount. We did not record any goodwill impairment losses for the years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impairment tests require the use of judgment, including the identification of, and assignment of assets and liabilities to, asset groups and/or reporting units and the determination of fair values of asset groups or reporting units. We also must make significant assumptions and estimates, including the amount and timing of future cash flows, discount rates, asset fair values and the expected useful lives of the acquisition-related intangible assets. To make these judgments and estimates, we may use internal undiscounted cash flow estimates, quoted market prices (if available) or other available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as modified by the JOBS Act, and we will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no longer be an “emerging growth company” effective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last business day of our second fiscal quarter, or (ii) our annual revenue exceeded $100 million during such completed fiscal year and the market value of our common stock held by non-affiliates exceeds $700 million as of the last business day of our second fiscal quarter. If we continue to be a smaller reporting company at the time we cease to be an emerging growth company, we may continue to rely on exemptions from these certain reduced disclosure requirements that are available to smaller reporting companies.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6" w:name="sq_001"/>
      <w:bookmarkEnd w:id="36"/>
      <w:r>
        <w:rPr>
          <w:rFonts w:ascii="Times New Roman;Times;Serif" w:hAnsi="Times New Roman;Times;Serif"/>
          <w:b/>
          <w:i w:val="false"/>
          <w:caps/>
          <w:sz w:val="20"/>
        </w:rPr>
        <w:t>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in Irvine, California, Mobix Labs designs, develops and sells components and systems for advanced wireless and wired connectivity, radio frequency (“RF”), switching and electromagnetic interference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Our wireless systems solutions include products for advanced RF and millimeter wave (“mmWave”) communications, mmWave imaging, software defined radio and custom RF integrated circuits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consummated the merger pursuant to the business combination agreement, dated November 15, 2022 (as amended, supplemented or otherwise modified, the “Business Combination Agreement”), by and among Chavant Capital Acquisition Corp.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(the “Company”) and Legacy Mobix changed its name from “Mobix Labs, Inc.” to “Mobix Labs Operations,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with the goal of simplifying the development and maximizing the performance of mmWave wireless products by designing and developing high performance system-level solutions used for signal processing applications in wireless devices. Since our inception, our corporate strategy has evolved to encompass the pursuit of acquisitions serving diverse industry sectors, including aerospace, military, defense, medical and high reliability (“HiRel”) technology, as part of our commitment to enhancing communication services. We have developed and/or acquired an extensive intellectual property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we completed the acquisition of EMI Solutions when we acquired all of the issued and outstanding common shares of EMI Solutions. EMI Solutions is a manufacturer of interconnect products, including electromagnetic interference filtering products for aerospace, military, defense and medical applications. We believe the acquisition of EMI Solutions complements our existing product offerings, expanded our customer base and allows us to deliver solutions that address a wider variety of applications and markets. Consideration for the acquisition of EMI Solutions consisted of 96,491 shares of Legacy Mobix common stock and $2,200 in cash. We valued the common stock at $8,856, based on the fair value of the Legacy Mobix common stock at the time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we completed the acquisition of RaGE Systems, Inc. (“RaGE Systems”). RaGE Systems designs, develops and manufactures wireless systems solutions, including products for 5G communications, mmWave imaging, and software defined radio targeting the commercial, industrial, and defense and aerospace sectors. We believe the acquisition of RaGE Systems expands our expertise in wireless communications and will allow us to deliver solutions that address a wider variety of applications and markets.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leadership team is comprised of industry veterans with prior experience at premier semiconductor and connectivity companies, including Microsemi Corporation (which was acquired by Microchip Technology Inc.), Skyworks Solutions, Inc., MaxLinear, Inc. and Texas Instruments Incorporated. Our leadership team has significant experience and insight into growing advanced technology companies and executing strategic acquisitions to accelerate growth. Our engineering team is highly skilled in radio frequency, analog and mixed-signal technologies and has prior experience spearheading development of RF solutions that are widely used in existing wireless systems and devices.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Wireless Systems Solutions</w:t>
      </w:r>
      <w:r>
        <w:rPr>
          <w:rFonts w:ascii="Times New Roman;Times;Serif" w:hAnsi="Times New Roman;Times;Serif"/>
          <w:b w:val="false"/>
          <w:i w:val="false"/>
          <w:caps w:val="false"/>
          <w:smallCaps w:val="false"/>
          <w:sz w:val="20"/>
        </w:rPr>
        <w:t xml:space="preserve"> — Our wireless systems solutions address several growth markets in the electronics industry—communications, sensing and detection and microelectronics. We expect these markets will continue to expand, driven by a number of factors.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Communications </w:t>
            </w:r>
            <w:r>
              <w:rPr>
                <w:rFonts w:ascii="Times New Roman;Times;Serif" w:hAnsi="Times New Roman;Times;Serif"/>
                <w:b w:val="false"/>
                <w:i w:val="false"/>
                <w:caps w:val="false"/>
                <w:smallCaps w:val="false"/>
                <w:sz w:val="20"/>
              </w:rPr>
              <w:t>— The demand for mobile and fixed data continues to grow at exponential rates. The evolution of wireless communications standards has enabled many data intensive applications, such as video streaming, online conferencing and social media. Moreover, we believe ongoing deployment of applications for artificial intelligence (“AI”), augmented reality (“AR”), virtual reality (“VR”), autonomous vehicles, and industrial Internet of Things (“IoT”) sensors, will compound the strain on the current generation of wireless networks, necessitating higher bandwidth and more efficient communication networks. The next generation of wireless communications, including 5G and beyond, is expected to revolutionize the way data is transferred around the world. With data speeds up to 20 Gb/s coupled with ultra-low latency, or minimal delays in the transmission of data, the potential applications for 5G can be significantly more extensive than for earlier generations of wireless communications. There is also increasing interest in energy efficient, standards-based infrastructure. Wireless systems operators around the world have experienced increased operating costs due to the increasing cost of energy. We believe the need for highly power efficient solutions is particularly important for operators who provide coverage in rural, infrastructure constrained markets. We expect these demands create opportunities to develop new communication solutions for both domestic and international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Sensing and Detection</w:t>
            </w:r>
            <w:r>
              <w:rPr>
                <w:rFonts w:ascii="Times New Roman;Times;Serif" w:hAnsi="Times New Roman;Times;Serif"/>
                <w:b w:val="false"/>
                <w:i w:val="false"/>
                <w:caps w:val="false"/>
                <w:smallCaps w:val="false"/>
                <w:sz w:val="20"/>
              </w:rPr>
              <w:t xml:space="preserve"> — Demand for single and multiband sensing and detection solutions continues to grow across several market areas. In the security market, radio RF and mmWave imaging is used to sense and detect concealed objects in closed parcels or under clothes. The medical market uses a variety of non-visual spectrum to sense and detect a variety of conditions such as skin cancers or internal tumors and their compositions. Using RF, mmWave and infrared (“IR”) technologies, we can sense and detect flaws in building materials including concrete, wooden beams and other structural materials to determine the viability and safety of infrastructure. These applications use a combination of multi-spectral sensors, higher performance microelectronics, machine learning and AI and general computing for systems.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Microelectronics </w:t>
            </w:r>
            <w:r>
              <w:rPr>
                <w:rFonts w:ascii="Times New Roman;Times;Serif" w:hAnsi="Times New Roman;Times;Serif"/>
                <w:b w:val="false"/>
                <w:i w:val="false"/>
                <w:caps w:val="false"/>
                <w:smallCaps w:val="false"/>
                <w:sz w:val="20"/>
              </w:rPr>
              <w:t>— The specification, design and manufacture of very small electronic designs and components and circuits drives most electronics growth in the modern electronics industry. Higher mobility, lower costs and greater energy efficiency drive innovations in communications, medical, sensing and other applications for the consumer commercial electronics, industrial electronics and aerospace and defense electronics markets. Microelectronics covers application specific integrated circuits (“ASIC”), RFIC and system on chip (“SoC”) IC designs. It also includes devices such as multi-chip modules (“MCMs”) and multi-chiplet modules (“McMs”). The trends now are to drive microelectronics to have global connectivity options and included capabilities for machine learning and AI.</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Interconnect Products</w:t>
      </w:r>
      <w:r>
        <w:rPr>
          <w:rFonts w:ascii="Times New Roman;Times;Serif" w:hAnsi="Times New Roman;Times;Serif"/>
          <w:b w:val="false"/>
          <w:i w:val="false"/>
          <w:caps w:val="false"/>
          <w:smallCaps w:val="false"/>
          <w:sz w:val="20"/>
        </w:rPr>
        <w:t xml:space="preserve"> — Our interconnect products address the global EMI filter market which we believe is experiencing significant growth due to the increasing demand for noise reduction in electronic devices. The growing complexity of electronic systems and the proliferation of communication technologies are driving the market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EMI filtering devices are designed to reduce electromagnetic interference and allow for effective functioning of electronic communication systems. We believe the increasing complexity of aerospace and defense systems will drive greater demand for electromagnetic interference filters in the military and aerospace sectors. The increasing use of unmanned aerial vehicles and other advanced technology solutions has also fueled market growth.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high-reliability EMI filters are designed to consistently meet or exceed performance requirements and are vitally important to any industry with a high cost of failure. For example, our military, aerospace, and healthcare customers utilize our products for the accurate transmission and reception of signals required to ensure soldier, aircraft and patient safety or achieve mission success. Currently, our EMI filtering products are widely used in various applications and industries, including aerospace, military, defense and healthcare.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global provider of a diverse portfolio of advanced capability products, we believe that we are well positioned to capitalize upon the strong growth trends within the defense, aerospace, commercial, industrial and other markets worldwide. We believe our technology, products, and acquisition strategy will serve as strong bases for growth in the markets we currently serve as well as enable us to penetrate new markets globally. We believe our ability to develop and produce market-leading products and services coupled with our deep knowledge of our customers and end markets will enable us to expand our domestic and international market share and continue to offer our customers high-value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Aerospace and Defense </w:t>
      </w:r>
      <w:r>
        <w:rPr>
          <w:rFonts w:ascii="Times New Roman;Times;Serif" w:hAnsi="Times New Roman;Times;Serif"/>
          <w:b w:val="false"/>
          <w:i w:val="false"/>
          <w:caps w:val="false"/>
          <w:smallCaps w:val="false"/>
          <w:sz w:val="20"/>
        </w:rPr>
        <w:t>— We offer a variety of products that support the needs of end-user customers in the aerospace and defense and HiRel markets, including our wireless systems solutions and interconnect products. Key end customers, including the U.S. military, have expressed a need for high-speed, reliable and secure communications links for various applications, including the “Connected Soldier” and “Connected Battlefield” in the Internet of Military Things, which includes sensing and computing devices worn by soldiers, embedded in combat suits and helmets. High bandwidth connectivity utilized in a private network is increasingly expected to allow the military to track, monitor and manage assets in the field in real time, enhancing market demand for high-performance, reliable and cost-effective solutions, which our products are designed to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Industrial </w:t>
      </w:r>
      <w:r>
        <w:rPr>
          <w:rFonts w:ascii="Times New Roman;Times;Serif" w:hAnsi="Times New Roman;Times;Serif"/>
          <w:b w:val="false"/>
          <w:i w:val="false"/>
          <w:caps w:val="false"/>
          <w:smallCaps w:val="false"/>
          <w:sz w:val="20"/>
        </w:rPr>
        <w:t>— Securing sensitive areas such as airports, ports of entry, government offices and data centers as well as other public spaces is a major growth area due to the lack of system level solutions and companies with the capabilities to service these markets. We believe this presents an opportunity for us and our capabilities in the design, testing and manufacturing of multi-band, multi-spectral systems integrated with data processing and AI with machine leaning. We believe our unique position supplying the largest systems integrator of these types of solutions domestically offers us an opportunity to develop new capabilities and enter new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carriers will need to deploy dense networks of mmWave 5G small cells and repeaters in dense urban applications in order to maintain coverage and quality of service. In rural applications, the emphasis is on coverage and efficiency of the infrastructure in energy constrained deployments. We believe these factors present significant opportunities for us. Each small cell and/or repeater will require multiple chips to meet the necessary output power and coverage requirements. Rural cells will require energy efficient designs which utilize AI to meet capacity and coverage while minimizing power consumption. We believe our design capabilities, IP, and products position us to be a strong supplier at both ends of the communications infrastructure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Satellite Communications</w:t>
      </w:r>
      <w:r>
        <w:rPr>
          <w:rFonts w:ascii="Times New Roman;Times;Serif" w:hAnsi="Times New Roman;Times;Serif"/>
          <w:b w:val="false"/>
          <w:i w:val="false"/>
          <w:caps w:val="false"/>
          <w:smallCaps w:val="false"/>
          <w:sz w:val="20"/>
        </w:rPr>
        <w:t xml:space="preserve"> — With the proliferation of satellite enabled devices there is an industry push to converge broadband low earth orbit satellite communications (“LEO SATCOM”) with terrestrial 5G and other technologies. LEO SATCOM applications can provide lower latency and greater global coverage compared to geosynchronous satellite applications. On the ground terminal side, having a broadband satellite connection as a backup will allow many devices from handsets and laptops to connected cars to have more stable connections. As the world becomes more and more connected, we will seek to provide wireless systems solutions and LEO SATCOM connectivity designed to offer an attractive solution for keeping consumers connected anywhere in the world.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Wireless Systems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wireless systems solutions products and services address three key markets—communications, sensing and detection, and microelectronics.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Communications</w:t>
      </w:r>
      <w:r>
        <w:rPr>
          <w:rFonts w:ascii="Times New Roman;Times;Serif" w:hAnsi="Times New Roman;Times;Serif"/>
          <w:b w:val="false"/>
          <w:i w:val="false"/>
          <w:caps w:val="false"/>
          <w:smallCaps w:val="false"/>
          <w:sz w:val="20"/>
        </w:rPr>
        <w:t xml:space="preserve"> — We provide both products and services for communications applications. Typically, we contract with customers to specify, design, prototype and validate products for markets in which our customers have an established position. We offer a highly skilled, multi-functional, knowledgeable team and we have significant industry know-how that cuts across every system aspect. Once the prototypes or trial units have been fielded, we seek to enter into a supply contract to build, test, ship and maintain products for our customers. In 2024 we launched our SMART™ Edge device—a software-manageable autonomous radio transceiver and an innovative appliance optimized for deployment at the network edge. This device is software programmable for a variety of applications such as RF spectrum analysis, RF broadcast node, transition base station and other custom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Sensing and Detection</w:t>
      </w:r>
      <w:r>
        <w:rPr>
          <w:rFonts w:ascii="Times New Roman;Times;Serif" w:hAnsi="Times New Roman;Times;Serif"/>
          <w:b w:val="false"/>
          <w:i w:val="false"/>
          <w:caps w:val="false"/>
          <w:smallCaps w:val="false"/>
          <w:sz w:val="20"/>
        </w:rPr>
        <w:t xml:space="preserve"> — We provide a custom designed product and a variety of services for sensing and detection applications. In security technology systems for airports, ports and borders, we work with a market leader and provide a key mmWave sensing module used in latest generation systems. We also provide design services to help with system improvements, cost reduction, new features and system development. We seek to expand our customer and application space to include non-destructive sensing of critical infrastructure components like wooden timbers, concrete and other building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Microelectronics</w:t>
      </w:r>
      <w:r>
        <w:rPr>
          <w:rFonts w:ascii="Times New Roman;Times;Serif" w:hAnsi="Times New Roman;Times;Serif"/>
          <w:b w:val="false"/>
          <w:i w:val="false"/>
          <w:caps w:val="false"/>
          <w:smallCaps w:val="false"/>
          <w:sz w:val="20"/>
        </w:rPr>
        <w:t xml:space="preserve"> — Semiconductor components are the building blocks used in wireless systems and devices. These components are classified as either discrete devices or ICs (also referred to as “chips” or a “chipset”), in which a number of transistors and other elements are combined to form a more complicated electronic circuit. We expect our chipset IP and technology will feature a design which minimizes the number of semiconductor chips needed to enable mmWave wireless devices, and therefore we expect that our products will reduce the cost of such devices. Although we have not yet sold any ICs, we believe our IP and developed technology positions us to complete development of our chipset as the market for mmWave ICs evolves.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Interconnect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interconnect products consist of EMI filter inserts and filtered and non-filtered connectors. EMI filters are crucial components utilized in various electronic systems to mitigate EMI and ensure the integrity and reliability of signal transmission. These filters are designed to selectively attenuate or block unwanted electromagnetic noise while allowing desired signals to pass through unaffected. Our interconnect products are deployed in aerospace, military, defense, medical and healthcare products, and play a pivotal role in maintaining signal clarity, reducing signal distortion, and safeguarding against potential disruptions caused by external electromagnetic sources. By incorporating our interconnect products into electronic circuitry, our customers enhance the performance, efficiency, and overall functionality of their products, thereby meeting stringent regulatory standards and ensuring optimal operational reliability in diverse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Experienced management team</w:t>
            </w:r>
            <w:r>
              <w:rPr>
                <w:rFonts w:ascii="Times New Roman;Times;Serif" w:hAnsi="Times New Roman;Times;Serif"/>
                <w:b w:val="false"/>
                <w:i w:val="false"/>
                <w:caps w:val="false"/>
                <w:smallCaps w:val="false"/>
                <w:sz w:val="20"/>
              </w:rPr>
              <w:t xml:space="preserve"> — Our board of directors and our executive management team possess comprehensive expertise in overseeing entities within the communications sector, particularly in the semiconductor industry. Several members of our board of directors and our management team have played pivotal roles in the inception and ongoing leadership of the enterprises that today form the backbone of our organization. This depth of knowledge and leadership is anticipated to greatly enhance our ability to implement our strategic objectives efficiently and effectively.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Diversified business model</w:t>
            </w:r>
            <w:r>
              <w:rPr>
                <w:rFonts w:ascii="Times New Roman;Times;Serif" w:hAnsi="Times New Roman;Times;Serif"/>
                <w:b w:val="false"/>
                <w:i w:val="false"/>
                <w:caps w:val="false"/>
                <w:smallCaps w:val="false"/>
                <w:sz w:val="20"/>
              </w:rPr>
              <w:t xml:space="preserve"> — Our broad portfolio of products serve the connectivity, aerospace, military, defense and healthcare markets, and address the needs of both commercial and government customers operating in domestic and international markets. In addition to broadening our addressable market, our strategy of serving both the commercial and government markets makes us less dependent upon government funding and commercial business cycles than businesses focused solely on either market. Similarly, by selling our products and services in various industries, we are less susceptible to economic and political uncertainties at any given time. As a result of this diversity, we believe that our future success is not dependent upon a single technology, product, service, customer, government program or geographic market.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Strong acquisition and integration track record</w:t>
            </w:r>
            <w:r>
              <w:rPr>
                <w:rFonts w:ascii="Times New Roman;Times;Serif" w:hAnsi="Times New Roman;Times;Serif"/>
                <w:b w:val="false"/>
                <w:i w:val="false"/>
                <w:caps w:val="false"/>
                <w:smallCaps w:val="false"/>
                <w:sz w:val="20"/>
              </w:rPr>
              <w:t xml:space="preserve"> — Since our founding in 2020, we have strategically expanded our portfolio through the acquisition and integration of other businesses, including RaGE Systems and EMI Solutions, each of which aimed at broadening our operational capabilities and enhancing our financial metrics. These strategic initiatives have been instrumental in optimizing operational efficiencies across each acquired entity, subsequently bolstering our financial performance. In particular, we believe our acquisitions of RaGE Systems and EMI Solutions have allowed us to access new markets within the defense, military, aerospace and healthcare sectors.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Superior, scalable wireless technology</w:t>
            </w:r>
            <w:r>
              <w:rPr>
                <w:rFonts w:ascii="Times New Roman;Times;Serif" w:hAnsi="Times New Roman;Times;Serif"/>
                <w:b w:val="false"/>
                <w:i w:val="false"/>
                <w:caps w:val="false"/>
                <w:smallCaps w:val="false"/>
                <w:sz w:val="20"/>
              </w:rPr>
              <w:t xml:space="preserve"> — We expect to base our mmWave ICs on a complementary metal-oxide-semiconductor (“CMOS”) process. We believe designing high-performance RF and mixed-signal/analog ICs in CMOS allows for higher levels of integration, which can lead to more compact products in a cost-effective manufacturing process. Additionally, we will seek to offer our mmWave chipset as a single SKU, scalable chipset that we believe will simplify manufacturers’ designs and accelerate our customers’ time to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U.S.-based supplier of interconnect products</w:t>
            </w:r>
            <w:r>
              <w:rPr>
                <w:rFonts w:ascii="Times New Roman;Times;Serif" w:hAnsi="Times New Roman;Times;Serif"/>
                <w:b w:val="false"/>
                <w:i w:val="false"/>
                <w:caps w:val="false"/>
                <w:smallCaps w:val="false"/>
                <w:sz w:val="20"/>
              </w:rPr>
              <w:t xml:space="preserve"> — We believe certain of our customers, particularly those serving the defense industry, prefer to source interconnect products from U.S.-based suppliers like us. We believe this is important to certain customers with respect to overall quality and pricing due to global economic tensions and tariffs. We believe that being able to provide a high-quality interconnect solutions enables us to serve the evolving needs of mission-critical applications in the aerospace, defense, medical and other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Extensive patent and trade secret portfolio</w:t>
            </w:r>
            <w:r>
              <w:rPr>
                <w:rFonts w:ascii="Times New Roman;Times;Serif" w:hAnsi="Times New Roman;Times;Serif"/>
                <w:b w:val="false"/>
                <w:i w:val="false"/>
                <w:caps w:val="false"/>
                <w:smallCaps w:val="false"/>
                <w:sz w:val="20"/>
              </w:rPr>
              <w:t xml:space="preserve"> — We believe our intellectual property portfolio, comprising a combination of existing and pending patents and trade secrets, provides us with a significant competitive advantage in our wireless systems solutions and interconnect products. We expect the intellectual property and expertise we have developed will allow us to meet the difficult system specifications in standard, bulk CMOS processes. We believe that our intellectual property portfolio, as well as our research and development capabilities, enable us to design solutions for our customers’ complex engineering challenges and capitalize on secular growth trends.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Strategy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Acquire and integrate complementary assets</w:t>
            </w:r>
            <w:r>
              <w:rPr>
                <w:rFonts w:ascii="Times New Roman;Times;Serif" w:hAnsi="Times New Roman;Times;Serif"/>
                <w:b w:val="false"/>
                <w:i w:val="false"/>
                <w:caps w:val="false"/>
                <w:smallCaps w:val="false"/>
                <w:sz w:val="20"/>
              </w:rPr>
              <w:t>— A key component of our growth strategy is to continually explore acquisition opportunities that can be accretive in both the short and long term or fill a potential technology gap. A critical element of our ability to execute on our acquisition strategy is the timely and successful integration of companies that we acquire, with the goal of quickly achieving sustained operational and financial benefits. We begin this integration process during the negotiation and due diligence processes for each acquisition.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Accelerate technology development and innovation</w:t>
            </w:r>
            <w:r>
              <w:rPr>
                <w:rFonts w:ascii="Times New Roman;Times;Serif" w:hAnsi="Times New Roman;Times;Serif"/>
                <w:b w:val="false"/>
                <w:i w:val="false"/>
                <w:caps w:val="false"/>
                <w:smallCaps w:val="false"/>
                <w:sz w:val="20"/>
              </w:rPr>
              <w:t xml:space="preserve"> — We are dedicated to developing innovative solutions for next generation consumer commercial, industrial, automotive, medical and aerospace and defense products. In this effort, we have developed our proprietary technology, or may work with our customers’ IP, for mmWave, 2/3/4/5G communications and ICs for a variety of applications. We believe this approach will allow us to develop more efficient, cost-effective and compact products and solutions for our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Expand into new end markets and geographies</w:t>
            </w:r>
            <w:r>
              <w:rPr>
                <w:rFonts w:ascii="Times New Roman;Times;Serif" w:hAnsi="Times New Roman;Times;Serif"/>
                <w:b w:val="false"/>
                <w:i w:val="false"/>
                <w:caps w:val="false"/>
                <w:smallCaps w:val="false"/>
                <w:sz w:val="20"/>
              </w:rPr>
              <w:t xml:space="preserve"> — Our products and solutions are designed 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enable mmWave wireless devices to transmit and receive data at extremely high data rates which we believe will surpass those currently available in the consumer market;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minimize EMI in mission critical applications, including aerospace, military, defense and healthcare.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diverse product offerings, our intellectual property and the global distribution and sales channels we have established provide additional opportunities to address several new markets from data centers to emerging wireless applications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manufacture a majority of our interconnect products and wireless systems solutions at our own facilities. We also rely on contract manufacturers for certain production processes. This strategy is intended to allow us to efficiently manage both our supply competitiveness and manufacturing utilization in order to minimize the risk associated with market fluctuations and maximize our cash flow. Due to the application of our interconnect products in national security and defense applications, our interconnect products must be manufactured in the United States, with limited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mmWave wireless IC products, we expect to outsource wafer fabrication to third party wafer manufacturers, as is common in the semiconductor industry. We believe the manufacturing processes we will require are available from multiple wafer fabrication providers. We believe that the raw materials, parts and supplies used in wafer fabrication are generally available at present and will remain available in the foreseeable future. Semiconductor wafers are usually shipped to third-party contractors for device assembly and packaging, where the wafers are cut into individual die, packaged and tested before final shipment to customers. We will also rely on third parties for device assembly and packaging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and services directly to original equipment manufacturers (“OEMs”) or original design manufacturers (“ODMs”) and contract manufacturers through our global network of representatives and distributors. Our go-to-market strategy provides comprehensive customer coverage. We seek to collaborate with customers through the technology selection and design processes to gain design wins. We are customer and standard agnostic, allowing our solutions to be used globally and across multiple platforms and customers. We target innovative product suppliers and focus on communications technology used in mission critical and HiRel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often work with customers that have a leading market share in a given application or solution. Given military, aerospace and healthcare product lifecycles, our products may remain in production with a customer for more than seven years with a single design.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implement our go-to-market strategy, which is intended to provide comprehensive customer coverage through electronic component distributors and independent sales representative organizations. We also maintain a network of distributors and independent sales representative organizations, primarily in Europe and the Asia-Pacific region. As is customary in the electronic components industry, our distributors and independent sales representative organizations may also market other products that compete with 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process of electronic components and solutions typically commences with identifying and qualifying prospective customers and programs. Component suppliers like Mobix Labs must collaborate with prospective customers to work through the design funnel until production of the customers’ products. During this process, component suppliers often provide technical support directly or through the independent sales representative organizations that are concurrently providing pre-sales, post-sales and account management services to bring the customers’ products to market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customers are organizations that sell product solutions for aerospace, military, defense and healthcare applications. We have also engaged with several OEMs and ODMs in an effort to secure them as customers for our mmWave ICs when those products are available for sale. If they do purchase our mmWave ICs, we expect them to purchase these products on a purchase order basis when we complete development and commence sales, which is customary in the semiconductor industry.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sales to Leidos Holdings, Inc. accounted for approximately 50% of our net revenues. No other customer accounted for 10% or more of our net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Wireless Systems Solutions —</w:t>
      </w:r>
      <w:r>
        <w:rPr>
          <w:rFonts w:ascii="Times New Roman;Times;Serif" w:hAnsi="Times New Roman;Times;Serif"/>
          <w:b w:val="false"/>
          <w:i w:val="false"/>
          <w:caps w:val="false"/>
          <w:smallCaps w:val="false"/>
          <w:sz w:val="20"/>
        </w:rPr>
        <w:t xml:space="preserve"> The mmWave wireless market presents a significant opportunity for many existing and emerging semiconductor companies. Large companies such as Qualcomm Incorporated, NXP Semiconductors, N.V., Qorvo, Inc., Skyworks Solutions, Inc., and Analog Devices Inc. have all offered products to address the RF and mixed-signal portion of 5G radios for connected devices. There are also a number of smaller companies looking to capitalize on the mmWave market as well. We typically design our sensing and detection solutions under contracts and we primarily compete with our customers’ internal resources for design activity and with external contract manufacturers for the manufacture of products or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Interconnect Products —</w:t>
      </w:r>
      <w:r>
        <w:rPr>
          <w:rFonts w:ascii="Times New Roman;Times;Serif" w:hAnsi="Times New Roman;Times;Serif"/>
          <w:b w:val="false"/>
          <w:i w:val="false"/>
          <w:caps w:val="false"/>
          <w:smallCaps w:val="false"/>
          <w:sz w:val="20"/>
        </w:rPr>
        <w:t xml:space="preserve"> Multiple companies vie to provide effective solutions for mitigating electromagnetic interference. Principal companies with whom we compete include Amphenol Corporation, Glenair, Inc., ITT Inc., and TE Connectivity Corporation. However, we believe that only a limited number of companies, including us, are approved vendors for products incorporated into certain military, defense, aerospace, and healthcare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competitors have greater financial, manufacturing, technical, sales and marketing resources to develop and market products that compete with our products. Some of our competitors may also have more advantageous supply or development relationships with our current and potential customers or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core, we are a technology innovation company. We have invested a significant amount of time and expense into the design and development of technology for our current and anticipated future products, including mmWave wireless technology. We view our intellectual property, whether internally developed or obtained by way of an acquisition of a business, as a competitive advantage. We expect to continue to devote substantial resources to the development and acquisition of technology to be incorporated within our products and to product innovation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strength of business is our intellectual property portfolio and engineering experience, both of which guide product development activities and our approach to maintaining, protecting and enforcing our intellectual property. We rely on our proprietary technologies, trade secrets and know-how to give us a competitive advantage. We also have a number of intellectual property registrations (including issued patents and trademark registrations), but we do not rely on any particular patent or patents for our success and have instead relied on our know-how and trade secrets.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and competitive position depend in part upon our ability to obtain and maintain, protect and enforce our intellectual property and proprietary information. We rely primarily on patent, trademark, trade secret and similar laws, as well as nondisclosure and confidentiality, agreements, international treaties and other methods, to protect our intellectual property and proprietary information. In order to maintain, protect and enforce our intellectual property and proprietary information, we may be required to litigate or arbitrate to enforce our contract and intellectual property rights or to determine the validity and scope of proprietary rights of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competition in the industry in which we operate, there is frequent litigation related to allegations of infringement, misappropriation or other violations of intellectual property rights. From time to time we may receive inquiries from third parties related to their intellectual property rights and may become subject to litigation matters or disputes related to claims that we have infringed, misappropriated or violated their intellectual property rights, particularly as we expand our presence in the market and face increasing competition.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import/export controls, tariffs and other trade-related regulations and restrictions in the countries in which we do business. These controls, tariffs, regulations and restrictions (including those related to, or affected by, United States-China relations, as discussed in “</w:t>
      </w:r>
      <w:r>
        <w:rPr>
          <w:rFonts w:ascii="Times New Roman;Times;Serif" w:hAnsi="Times New Roman;Times;Serif"/>
          <w:b w:val="false"/>
          <w:i/>
          <w:caps w:val="false"/>
          <w:smallCaps w:val="false"/>
          <w:sz w:val="20"/>
        </w:rPr>
        <w:t>Risk Factors — Risks Related to Our Business and Industry</w:t>
      </w:r>
      <w:r>
        <w:rPr>
          <w:rFonts w:ascii="Times New Roman;Times;Serif" w:hAnsi="Times New Roman;Times;Serif"/>
          <w:b w:val="false"/>
          <w:i w:val="false"/>
          <w:caps w:val="false"/>
          <w:smallCaps w:val="false"/>
          <w:sz w:val="20"/>
        </w:rPr>
        <w:t>”) have had, and we believe may continue to have, a material impact on our business, including our ability to manufacture or sell products or source components.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regulations are subject to change in the future, and accordingly we are unable to assess the possible effect of compliance with future requirements or whether our compliance with such regulations will materially impact our business, results of operations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people are critical to success and the pursuit of our goals and growth strategy. We strive to attract and retain team members who are driven to innovate and who bring diverse perspectives and skills. As of September 30, 2025, we had a total of 46 employees in the United States, of whom eleven were primarily engaged in research and development, two were primarily engaged in sales and marketing, fifteen were primarily engaged in manufacturing, and eighteen were primarily engaged in general and administrative functions. None of our employees are covered by a collective bargaining agreement or represented by a labor union. Additionally, from time to time we utilize third-party contractors to supplement our workforce.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consisting of approximately 2,713 square feet of office space in Irvine, California, is leased through March 2027. We also lease a 6,149 square foot facility in Irvine, California which we use principally for the design and production of our electromagnetic interference filtering products. We believe that our current facilities are sufficient to support our operations and growth plans and that additional space, if needed, will be available on commercially reasonable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2023, the law firm Rutan &amp; Tucker, LLP (“Rutan”) filed a lawsuit in Orange County Superior Court against us to recover approximately $700,000 in legal fees allegedly owed to Rutan by Cosemi, its former client, which fees were incurred in connection with our acquisition of Cosemi in 2021. On January 18, 2024, Rutan filed a First Amended Complaint that also names James Peterson as a defendant, based on his former role at Cosemi. We are vigorously defending this lawsuit. We are unable to predict the final outcome of this matter, but we do not believe that it will have a material impact on our results of operations or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2024, Creditors Adjustment Bureau, Inc. (“CAB”) filed a lawsuit against us in Orange County Superior Court to recover a purported debt of approximately $132,000, which CAB received per assignment from Electro Rent Corporation. On September 24, 2024, default was entered against us. On November 7, 2024, we filed a Motion to Set Aside Entry of Default, which is set for hearing on February 21, 2025. On November 15, 2024, the Court issued a minute order declining to sign CAB’s request for a default judgment. We are vigorously defending this lawsuit. We are unable to predict the final outcome of this matter, but we do not believe that it will have a material impact on our results of operations or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Ydens Holdings, LLC and related individual plaintiffs filed a lawsuit in Orange County Superior Court against us and our subsidiary EMI Solutions, asserting breach of contract and related claims arising from the September 2022 Agreement and Plan of Merger under which we acquired EMI Solutions. The plaintiffs seek damages. The Merger Agreement contains a mandatory arbitration provision, and we intend to move to compel arbitration and to defend the matter vigorously. We are unable to predict final outcome of this matter, but we do not currently believe that it will have a material adverse effect on our results of operation or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and may continue to be, subject to various claims, lawsuits and other legal and administrative proceedings that arise in the ordinary course of business. Some of these claims, lawsuits and other proceedings may range in complexity and result in substantial uncertainty, damages, fines, penalties, non-monetary sanctions or other relief. However, we do not believe any such claims, lawsuits, or proceedings currently pending, individually or in the aggregate, would be material to our business or likely to result in a material adverse effect on our future operating results, financial condition or cash flows.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7" w:name="sq_002"/>
      <w:bookmarkEnd w:id="37"/>
      <w:r>
        <w:rPr>
          <w:rFonts w:ascii="Times New Roman;Times;Serif" w:hAnsi="Times New Roman;Times;Serif"/>
          <w:b/>
          <w:i w:val="false"/>
          <w:caps/>
          <w:sz w:val="20"/>
        </w:rPr>
        <w:t>MANAGEMENT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certain information, as of the date of this prospectus, concerning each of our executive officers and directors.</w:t>
      </w:r>
    </w:p>
    <w:p>
      <w:pPr>
        <w:pStyle w:val="TextBody"/>
        <w:bidi w:val="0"/>
        <w:spacing w:before="0" w:after="0"/>
        <w:ind w:left="0" w:right="0" w:firstLine="720"/>
        <w:jc w:val="left"/>
        <w:rPr>
          <w:caps w:val="false"/>
          <w:smallCaps w:val="false"/>
        </w:rPr>
      </w:pPr>
      <w:r>
        <w:rPr>
          <w:caps w:val="false"/>
          <w:smallCaps w:val="false"/>
        </w:rPr>
        <w:t> </w:t>
      </w:r>
    </w:p>
    <w:tbl>
      <w:tblPr>
        <w:tblW w:w="7350" w:type="dxa"/>
        <w:jc w:val="left"/>
        <w:tblInd w:w="0" w:type="dxa"/>
        <w:tblLayout w:type="fixed"/>
        <w:tblCellMar>
          <w:top w:w="0" w:type="dxa"/>
          <w:left w:w="0" w:type="dxa"/>
          <w:bottom w:w="0" w:type="dxa"/>
          <w:right w:w="0" w:type="dxa"/>
        </w:tblCellMar>
      </w:tblPr>
      <w:tblGrid>
        <w:gridCol w:w="2075"/>
        <w:gridCol w:w="60"/>
        <w:gridCol w:w="350"/>
        <w:gridCol w:w="60"/>
        <w:gridCol w:w="4805"/>
      </w:tblGrid>
      <w:tr>
        <w:trPr/>
        <w:tc>
          <w:tcPr>
            <w:tcW w:w="207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207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Sansone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President, Chief Financial Officer and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Aralis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w:t>
            </w:r>
          </w:p>
        </w:tc>
      </w:tr>
      <w:tr>
        <w:trPr/>
        <w:tc>
          <w:tcPr>
            <w:tcW w:w="20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Peterson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Aldrich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Kurt Busch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Carpou</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Frederick Goerner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Long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Philip Sansone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Philip Sansone was appointed as Chief Executive Officer and as a director in July 2025. Mr. Sansone, served as Interim Chief Executive Officer from April 2025 to July 2025 and as Vice President of Worldwide Sales at the Company from September 2021 to April 2025. Prior to his service at the Company, Mr. Sansone served as Vice President of Global Distribution at MaxLinear, a provider of radio frequency, analog, digital and mixed-signal integrated circuits, from April 2019 to September 2021. Mr. Sansone received his bachelor’s degree in business administration from the New York Institute of Technology and brings decades of worldwide sales and distribution experience to the Company. We believe that Mr. Sansone is qualified to serve as a member of the Board because of his experience and familiarity with the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Keyvan Samini</w:t>
      </w:r>
      <w:r>
        <w:rPr>
          <w:rFonts w:ascii="Times New Roman;Times;Serif" w:hAnsi="Times New Roman;Times;Serif"/>
          <w:b w:val="false"/>
          <w:i w:val="false"/>
          <w:caps w:val="false"/>
          <w:smallCaps w:val="false"/>
          <w:sz w:val="20"/>
        </w:rPr>
        <w:t>. Keyvan Samini is a co-founder of the Company and has served as our President since August 2022 and as a director since December 2023. He has also served as our Chief Financial Officer since September 2020 and as our General Counsel since August 2022. From June 2014 to March 2022, Mr. Samini served as Director of Pitchtime, Inc., a software development company dedicated to developing wireless communications technology to help businesses better communicate with customers from a single platform. He also served as Chief Executive Officer of Pitchtime, Inc. from 2016 to July 2020. Mr. Samini has also served in leadership positions at RFaxis, Inc., a company that developed disruptive semiconductor technology, from 2008 to 2016. Mr. Samini studied at the University of Wisconsin — Madison, graduating with a Bachelor of Science degree in economics and mathematics. He later earned his Master of Liberal Arts, Finance at Harvard University, Masters of Business Administration from University of Southern California Marshall School of Business and Juris Doctor from Ohio State University Moritz College of Law. We believe that Mr. Samini is qualified to serve as a member of the Board because of his extensive experience in the semiconductor and software industries, as well as his experience scaling growth in technology organizations and working with institutional investors in portfolio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Aralis</w:t>
      </w:r>
      <w:r>
        <w:rPr>
          <w:rFonts w:ascii="Times New Roman;Times;Serif" w:hAnsi="Times New Roman;Times;Serif"/>
          <w:b w:val="false"/>
          <w:i w:val="false"/>
          <w:caps w:val="false"/>
          <w:smallCaps w:val="false"/>
          <w:sz w:val="20"/>
        </w:rPr>
        <w:t>. James Aralis has served as our Chief Technology Officer since May 2022. Mr. Aralis has spent more than 40 years in the development of analog, digital, and mixed signal integrated circuits, systems, and software/firmware. Mr. Aralis has also contributed to the development of custom analog device and process technologies and CAD systems. From January 2007 to June 2018, he also served as Chief Technology Officer, as well as senior vice president of advanced development, of Microsemi, now Microchip Technology Inc., a technology company specializing in semiconductor and systems solutions for communications, defense and security, aerospace and industrial markets. Since retiring in June 2018, Mr. Aralis has spent his time consulting, advising and serving on boards of various companies and philanthropic organizations. Mr. Aralis studied at University of California, Los Angeles, graduating with a Bachelor of Science in Math Applied Science and Physics and a Master of Science in Electrical Engineering. Mr. Aralis holds numerous patents and publications and has given technical and keynote presentations in many conferences across the world. We believe that Mr. Aralis is qualified to serve as a member of the Board because of his experience in the industry, specifically with regard to the development of analog, digital and mixed signal integrated circuits, systems and software/firmware.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Peterson</w:t>
      </w:r>
      <w:r>
        <w:rPr>
          <w:rFonts w:ascii="Times New Roman;Times;Serif" w:hAnsi="Times New Roman;Times;Serif"/>
          <w:b w:val="false"/>
          <w:i w:val="false"/>
          <w:caps w:val="false"/>
          <w:smallCaps w:val="false"/>
          <w:sz w:val="20"/>
        </w:rPr>
        <w:t>. James Peterson is a co-founder of the Company and has served as a member of our Board since February 2021 and as the Executive Chairman of the Board since November 2021. From 2000 to 2018, Mr. Peterson served as Chief Executive Officer and Chairman of Microsemi Corporation, now Microchip Technology Inc., a technology company specializing in semiconductor and systems solutions for communications, defense and security, aerospace and industrial markets. We believe that Mr. Peterson is qualified to serve as a member of the Board because of his experience as a former president and chief executive officer of a previously publicly-traded company prominent in the semiconductor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David Aldrich</w:t>
      </w:r>
      <w:r>
        <w:rPr>
          <w:rFonts w:ascii="Times New Roman;Times;Serif" w:hAnsi="Times New Roman;Times;Serif"/>
          <w:b w:val="false"/>
          <w:i w:val="false"/>
          <w:caps w:val="false"/>
          <w:smallCaps w:val="false"/>
          <w:sz w:val="20"/>
        </w:rPr>
        <w:t>. David Aldrich has served as a member of our Board since February 2021. Mr. Aldrich also currently serves on the Boards of Allegro MicroSystems Inc., indie Semiconductor and Belden. From 2002 to 2016, Mr. Aldrich was the Chief Executive Officer of Skyworks, a developer of high-performance mobile communications solutions. He later served as Chairman of Skyworks from 2018 to 2021. Mr. Aldrich studied at Providence College, graduating with a Bachelor of Arts degree in political science. He later earned his Masters of Business Administration from the University of Rhode Island. He is a past recipient of the Ernst &amp; Young New England Entrepreneur of the Year Award in the semiconductor category and was named CEO of the Year by the Massachusetts Technology Leadership Council. We believe that Mr. Aldrich is qualified to serve as a member of the Board because of his various high-level positions at companies within the semiconductor and communications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Kurt Busch</w:t>
      </w:r>
      <w:r>
        <w:rPr>
          <w:rFonts w:ascii="Times New Roman;Times;Serif" w:hAnsi="Times New Roman;Times;Serif"/>
          <w:b w:val="false"/>
          <w:i w:val="false"/>
          <w:caps w:val="false"/>
          <w:smallCaps w:val="false"/>
          <w:sz w:val="20"/>
        </w:rPr>
        <w:t>. Kurt Busch has served as a member of our Board since February 2021. Mr. Busch is also the co-Founder and Chief Executive Officer of Syntiant Corp., an AI company specializing in delivering end-to-end deep learning solutions for always-on applications. From November 2015 until April 2017, Mr. Busch served as the Chief Executive Officer at Busch Toschi, LLC, advising technology companies regarding sales, marketing, business development and strategic options. From August 2011 to 2015, Mr. Busch served as President, Chief Executive Officer and member of the Board at Lantronix, a global provider of secure data access and management solutions for Internet of Things and information technology. Mr. Busch has also served in leadership positions at Mindspeed Technologies, Inc. from October 2006 to August 2011. Mr. Busch studied at the University of California at Irvine, graduating with a Bachelor of Science degree in electrical and computer engineering and a Bachelor of Science degree in biological science. He later earned his Masters of Business Administration from Santa Clara University in 1998. In 2021, Mr. Busch was named Ernst &amp; Young’s Entrepreneur of the Year 2021 Pacific Southwest — Orange County. We believe that Mr. Busch is qualified to serve as a member of the Board because of his extensive industry experience, coupled with his previous high-level positions in the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William Carpou</w:t>
      </w:r>
      <w:r>
        <w:rPr>
          <w:rFonts w:ascii="Times New Roman;Times;Serif" w:hAnsi="Times New Roman;Times;Serif"/>
          <w:b w:val="false"/>
          <w:i w:val="false"/>
          <w:caps w:val="false"/>
          <w:smallCaps w:val="false"/>
          <w:sz w:val="20"/>
        </w:rPr>
        <w:t>. William Carpou has been a Board member since June 2021. He has served as the CEO of Octane, a technology accelerator in California focused on fostering technology industry growth and creating new companies and jobs in Orange County, since May 2015. Prior to Octane, Mr. Carpou was the managing partner of TheGreyGroup where Kaplan Performance Solutions was their top client, RGIS (a Blackstone portfolio company), and Profit Recovery Partners. He also serves on the Board of Directors of Priveterra Acquisition Corp II, is Chairman of Octane Enterprise Solutions, the President’s Advisory Council of Villanova University, and a member of the Chief Executive Roundtable at the University of California, Irvine. Additionally, he is the founding general partner of Visionary Ventures and Elevation Ventures. Mr. Carpou holds a Bachelor of Science degree in marketing from Villanova University. His extensive experience in sales, private equity, and various senior executive positions, along with his philanthropic efforts, make him a valuable member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Frederick Goerner</w:t>
      </w:r>
      <w:r>
        <w:rPr>
          <w:rFonts w:ascii="Times New Roman;Times;Serif" w:hAnsi="Times New Roman;Times;Serif"/>
          <w:b w:val="false"/>
          <w:i w:val="false"/>
          <w:caps w:val="false"/>
          <w:smallCaps w:val="false"/>
          <w:sz w:val="20"/>
        </w:rPr>
        <w:t>. Frederick Goerner is a co-founder of the Company and has served as a member of our Board since February 2021. From April 2011 to March 2018, Mr. Goerner served as Senior Vice President of Worldwide Sales of Microsemi Corporation, now Microchip Technology Inc., a technology company specializing in semiconductor and systems solutions for communications, defense and security, aerospace and industrial markets. Mr. Goerner also had leadership roles at Texas Instruments, Transdimension Inc. and Oxford Semiconductor Inc. Mr. Goerner studied at the University of Buffalo, graduating with a Bachelor of Science degree in electrical engineering. We believe that Mr. Goerner is qualified to serve as a member of the Board because of his experience in the industry, as well as his various leadership roles at different companies.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Michael Long</w:t>
      </w:r>
      <w:r>
        <w:rPr>
          <w:rFonts w:ascii="Times New Roman;Times;Serif" w:hAnsi="Times New Roman;Times;Serif"/>
          <w:b w:val="false"/>
          <w:i w:val="false"/>
          <w:caps w:val="false"/>
          <w:smallCaps w:val="false"/>
          <w:sz w:val="20"/>
        </w:rPr>
        <w:t>. Michael Long has served as a member of our Board since January 22, 2024. From May 2009 until May 2022 was the former chairman, president and chief executive officer of Arrow Electronics, Inc. (“Arrow”). Prior to being named chief executive officer in May 2009, Mr. Long served as president and chief operating officer of Arrow, with responsibility for all of the company’s operations and business units. Before that, Mr. Long served as senior vice president of Arrow and president of the company’s Global Components business with responsibility for overseeing Arrow’s semiconductor, passive, electromechanical and connector products and services businesses worldwide. Mr. Long had been employed by Arrow since 1991 when Arrow merged with Schweber Electronics, a company where he held various leadership roles from 1983 to 1990. In 1994, Mr. Long was president, Capstone Electronics, an Arrow company, and from 1995 to 1999, he was president of Gates/Arrow Distributing. From 1998 to 2005, Mr. Long was president and chief operating officer of Arrow North American Computer Products (now Arrow Enterprise Computing Solutions). Mr. Long also served as president of North America and Asia/Pacific components. Mr. Long holds a bachelor’s degree in business administration from the University of Wisconsin and attended the Milwaukee School of Engineering. He is active in the Young Presidents’ Organization, a global peer networking group. Mr. Long served on the board of directors of AmerisourceBergen from May 2006 until March 2023 and currently serves on the boards of the following nonprofit organizations: UC Health and the National Western Stock Show.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Classified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Charter, the Board is divided into three classes with only one class of directors being elected in each year and each class serving a three-year term. 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an equal number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2025, Fabrizio Battaglia, Kurt Busch and William Carpou were elected to serve as Class I directors with a term expiring at the Company’s 2028 annual meeting of stockholders. On December 18, 2023, (i) David Aldrich, Frederick Goerner and Keyvan Samini were elected to serve as Class II directors with a term expiring at the Company’s 2026 annual meeting of stockholders and (ii) Dr. Jiong Ma and James Peterson were elected to serve as Class III directors with a term expiring at the Company’s 2027 annual meeting of stockholders. On January 22, 2024, we and Dr. Ma entered into a Resignation and Release Agreement, pursuant to which Dr. Ma resigned from the Board as a director, effective January 22, 2024. We appointed Mr. Michael Long to serve as a Class III director of the Board for a term expiring at the 2027 annual meeting of stockholders. On July 25, 2025, Fabrizio Battaglia stepped down from his role as Director, and Philip Sansone was appointed to serve as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the executive officers or directors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based on information provided by each director concerning his background, employment and affiliations, that Messrs. Aldrich, Busch, Carpou, Goerner and Long do not have relationships that would interfere with the exercise of independent judgment in carrying out the responsibilities of a director and that each of these directors is “independent” as that term is defined under the Nasdaq listing standards. In making these determinations, the Board considered the current and prior relationships that each non-employee director has with the Company and all other facts and circumstances the Board deemed relevant in determining their independence, including the beneficial ownership of our securities by each non-employee director and the transactions described in the section titled “</w:t>
      </w:r>
      <w:r>
        <w:rPr>
          <w:rFonts w:ascii="Times New Roman;Times;Serif" w:hAnsi="Times New Roman;Times;Serif"/>
          <w:b w:val="false"/>
          <w:i/>
          <w:caps w:val="false"/>
          <w:smallCaps w:val="false"/>
          <w:sz w:val="20"/>
        </w:rPr>
        <w:t>Certain Mobix Labs Relationships and Related Person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currently has three standing committees: the audit committee, the compensation committee and a nominating committee. The Board has adopted a charter for each committee, each of which is available on the investor relations portion of our website. Members will serve on these committees until their resignation or until otherwise determined by the Board. The Board may establish other committees as it deems necessary or appropriate from time to time.</w:t>
      </w:r>
    </w:p>
    <w:p>
      <w:pPr>
        <w:pStyle w:val="TextBody"/>
        <w:bidi w:val="0"/>
        <w:spacing w:before="0" w:after="0"/>
        <w:ind w:left="0" w:right="0" w:firstLine="720"/>
        <w:jc w:val="left"/>
        <w:rPr>
          <w:caps w:val="false"/>
          <w:smallCaps w:val="false"/>
        </w:rPr>
      </w:pPr>
      <w:r>
        <w:rPr>
          <w:caps w:val="false"/>
          <w:smallCaps w:val="false"/>
        </w:rPr>
        <w:t> </w:t>
      </w:r>
    </w:p>
    <w:tbl>
      <w:tblPr>
        <w:tblW w:w="8105" w:type="dxa"/>
        <w:jc w:val="left"/>
        <w:tblInd w:w="0" w:type="dxa"/>
        <w:tblLayout w:type="fixed"/>
        <w:tblCellMar>
          <w:top w:w="0" w:type="dxa"/>
          <w:left w:w="0" w:type="dxa"/>
          <w:bottom w:w="28" w:type="dxa"/>
          <w:right w:w="0" w:type="dxa"/>
        </w:tblCellMar>
      </w:tblPr>
      <w:tblGrid>
        <w:gridCol w:w="1580"/>
        <w:gridCol w:w="60"/>
        <w:gridCol w:w="2210"/>
        <w:gridCol w:w="60"/>
        <w:gridCol w:w="2165"/>
        <w:gridCol w:w="60"/>
        <w:gridCol w:w="1970"/>
      </w:tblGrid>
      <w:tr>
        <w:trPr/>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Committee</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David Aldrich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Kurt Busch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William Carpou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and Financial Expert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Frederick Goerner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Member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William Carpou and Frederick Goerner, with William Carpou serving as chair and as the “audit committee financial expert” within the meaning of the SEC regulations. The Board determined that each of Messrs. William Carpou and Frederick Goerner meet the definition of “independent director” for purposes of serving on the audit committee under Rule 10A-3 of the Exchange Act and the Nasdaq listing standards and also meets the financial literacy requirements of the Nasdaq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functions of the audit committee include: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helping the Board oversee our corporate accounting and financial reporting processes;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the selection, engagement, qualifications, independence, and performance of a qualified firm to serve as the independent registered public accounting firm to audit our financial statements;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the scope and results of the audit with the independent registered public accounting firm, and reviewing, with management and the independent accountants, our interim and year-end operating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employees to submit concerns anonymously about questionable accounting or audit matters;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our policies on risk assessment and risk management;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compliance with our code of business conduct and ethics;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related person transactions;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as required, pre-approving audit and permissible non-audit services to be performed by the independent registered public accounting firm.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Frederick Goerner, David Aldrich and William Carpou, with Frederick Goerner serving as chair. The Board determined that Frederick Goerner, David Aldrich and William Carpou each meet the definition of “independent director” for purposes of serving on the compensation committee under the Nasdaq listing standards, including the heightened independence standards for members of a 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our compensation committee is to discharge the responsibilities of the Board in overseeing our compensation policies, plans and programs and to review and determine the compensation to be paid to our executive officers, directors and other senior management, as appropriate. The principal functions of the compensation committee are expected to include,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approving and determining, or making recommendations to the Board regarding, the compensation of our chief executive officer, other executive officers and senior management;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evaluating and recommending to the Board succession plans for our executive officers;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the compensation paid to our non-employee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our equity incentive plans and other benefit programs;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establishing general policies relating to compensation and benefits of our employees, including our overall compensation philosophy.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committee consists of David Aldrich and William Carpou, with David Aldrich serving as chair. The Board determined that David Aldrich and William Carpou each meet the definition of “independent director” under the Nasdaq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committee is responsible for,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evaluating candidates, including the nomination of incumbent directors for reelection and nominees recommended by stockholders, to serve on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and making recommendations to the Board regarding the composition and chairmanship of the committees of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instituting plans or programs for the continuing education of the Board and the orientation of new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making recommendations to the Board regarding corporate governance guidelines and matters;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our corporate governance practices;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periodic evaluations of the Board’s performance, including committees of the Board;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contributing to succession planning.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is governed by a charter that complies with the rules of Nasdaq. In selecting director nominees for election by the stockholders or appointment by the Board consistent with the Board’s criteria for new directors, the Nominating Committee considers, among other criterion, knowledge, experience, skills, diversity and expertise so as to enhance the Board’s ability to manage and direct the affairs and business of the Company, including, when applicable, to enhance the ability of committees of the Board to fulfill their duties and/or to satisfy any independence requirements imposed by law, regulation, Nasdaq listing standards or the Company’s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responsible for selecting the Chief Executive Officer and the Chairman of the Board; both of these positions may be held by the same person or by two separate individuals. Currently, Philip Sansone serves as the Chief Executive Officer and a director and James Peterson serves as the Chairman of the Board. The Board believes separating the positions of Chairman of the Board and Chief Executive Officer allows the Chief Executive Officer to focus on the Company’s day-to-day business and operations, while allowing our Chairman to lead the Board in its fundamental role of providing advice to and oversight of management.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of Directors in Risk Oversight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cybersecurity, strategic and reputational risk. While each committee is responsible for evaluating certain risks and overseeing the management of such risks, our full Board is regularly informed of such risks through committee reports and otherwise. While the Board oversees our risk management, management is responsible for day-to-day risk management processes.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Company’s executive officers currently serve, or in the past year have served, as members of the Board or compensation committee of any entity that has one or more executive officers serving on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code of business conduct and ethics that applies to all of our executive officers, directors and employees, including our principal executive officer, principal financial officer, principal accounting officer or controller or persons performing similar functions. The code of business conduct and ethics is available on the investor relations portion of our website. We intend to make any legally required disclosures regarding amendments to, or waivers of, provisions of our code of business conduct and ethics on our website rather than by filing a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insider trading policy and procedures that govern the purchase, sale and/or other dispositions of our securities by directors, officers, and employees, together with their immediate family members and other persons living in their households. We believe our insider trading policy and procedures are reasonably designed to promote compliance with insider trading laws, rules and regulations, and any applicable Nasdaq standards. In addition, it is the policy of the Company to comply with applicable U.S. securities laws, including laws, rules and regulations related to trading in our securities. A copy of our Insider Trading Policy was filed as an exhibit to our Form 10-K for the year ended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our directors and officers will be indemnified and advanced expenses by the Company to the fullest extent permitted by applicable law. In addition, the Charter provides that our directors and officers will not be liable to the Company or its stockholders for monetary damages for breaches of their fiduciary duty as directors and officers, except to the extent such exemption from liability or limitation thereof is not permitted under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also permit the Company to purchase and maintain insurance on behalf of any director, officer, employee or agent of the Company for any liability arising out of his or her status as such, regardless of whether the DGCL would permit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discourage stockholders from bringing a lawsuit against the Company’s directors or officers for breach of their fiduciary duty. These provisions also may have the effect of reducing the likelihood of derivative litigation against directors and officers, even though such an action, if successful, might otherwise benefit the Company and its stockholders. Furthermore, a stockholder’s investment may be adversely affected to the extent the Company pays the costs of settlement and damage awards against directors and officers pursuant to these indemnification and advancement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the Company’s directors, officers and controlling persons pursuant to the foregoing provisions, or otherwise,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8" w:name="sq_003"/>
      <w:bookmarkEnd w:id="38"/>
      <w:r>
        <w:rPr>
          <w:rFonts w:ascii="Times New Roman;Times;Serif" w:hAnsi="Times New Roman;Times;Serif"/>
          <w:b/>
          <w:i w:val="false"/>
          <w:caps/>
          <w:sz w:val="20"/>
        </w:rPr>
        <w:t>EXECUTIVE AND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under the JOBS Act, we have opted to comply with the executive compensation disclosure rules applicable to “smaller reporting companies” as such term is defined in the rules promulgated under the Securities Act, which permit us to limit reporting of executive compensation to our principal executive officer and our two other most highly compensated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compensation data for our named executive officers for the fiscal years ended September 30, 2025 and 2024. In this section, “Named Executive Officer” or “NEO” means the principal executive officer and each of the two most highly compensated executive officers, other than the principal executive officer, who were serving as executive officers for the year ended September 30, 2025 and whose total compensation exceeds $100,000, as well as any additional individuals for whom disclosure would have been provided except that the individual was not serving as an executive officer of us at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individuals, and who are referred to in this section as “named executive officers,” and their positions are as follows:</w:t>
      </w:r>
    </w:p>
    <w:p>
      <w:pPr>
        <w:pStyle w:val="TextBody"/>
        <w:bidi w:val="0"/>
        <w:spacing w:before="0" w:after="0"/>
        <w:ind w:left="0" w:right="0" w:firstLine="720"/>
        <w:jc w:val="both"/>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Philip Sansone: </w:t>
            </w:r>
            <w:r>
              <w:rPr>
                <w:rFonts w:ascii="Times New Roman;Times;Serif" w:hAnsi="Times New Roman;Times;Serif"/>
                <w:b w:val="false"/>
                <w:i/>
                <w:caps w:val="false"/>
                <w:smallCaps w:val="false"/>
                <w:sz w:val="20"/>
              </w:rPr>
              <w:t>Chief Executive Officer and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Fabrizio Battaglia: </w:t>
            </w:r>
            <w:r>
              <w:rPr>
                <w:rFonts w:ascii="Times New Roman;Times;Serif" w:hAnsi="Times New Roman;Times;Serif"/>
                <w:b w:val="false"/>
                <w:i/>
                <w:caps w:val="false"/>
                <w:smallCaps w:val="false"/>
                <w:sz w:val="20"/>
              </w:rPr>
              <w:t>Former Chief Executive Officer and Former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Keyvan Samini: </w:t>
            </w:r>
            <w:r>
              <w:rPr>
                <w:rFonts w:ascii="Times New Roman;Times;Serif" w:hAnsi="Times New Roman;Times;Serif"/>
                <w:b w:val="false"/>
                <w:i/>
                <w:caps w:val="false"/>
                <w:smallCaps w:val="false"/>
                <w:sz w:val="20"/>
              </w:rPr>
              <w:t>Co-founder, President, Chief Financial Officer and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James Aralis: </w:t>
            </w:r>
            <w:r>
              <w:rPr>
                <w:rFonts w:ascii="Times New Roman;Times;Serif" w:hAnsi="Times New Roman;Times;Serif"/>
                <w:b w:val="false"/>
                <w:i/>
                <w:caps w:val="false"/>
                <w:smallCaps w:val="false"/>
                <w:sz w:val="20"/>
              </w:rPr>
              <w:t>Chief Technology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may contain forward-looking statements that are based on our current plans, considerations, expectations and determinations regarding future compensation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of the named executive officers for the fiscal years ended September 30, 2025 and 2024.</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27"/>
        <w:gridCol w:w="60"/>
        <w:gridCol w:w="530"/>
        <w:gridCol w:w="60"/>
        <w:gridCol w:w="60"/>
        <w:gridCol w:w="800"/>
        <w:gridCol w:w="60"/>
        <w:gridCol w:w="60"/>
        <w:gridCol w:w="60"/>
        <w:gridCol w:w="800"/>
        <w:gridCol w:w="60"/>
        <w:gridCol w:w="60"/>
        <w:gridCol w:w="63"/>
        <w:gridCol w:w="1037"/>
        <w:gridCol w:w="60"/>
        <w:gridCol w:w="60"/>
        <w:gridCol w:w="112"/>
        <w:gridCol w:w="1499"/>
        <w:gridCol w:w="60"/>
        <w:gridCol w:w="60"/>
        <w:gridCol w:w="60"/>
        <w:gridCol w:w="980"/>
        <w:gridCol w:w="77"/>
      </w:tblGrid>
      <w:tr>
        <w:trPr/>
        <w:tc>
          <w:tcPr>
            <w:tcW w:w="3527"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1"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 w:type="dxa"/>
            <w:tcBorders/>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Philip Sansone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266,917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1,760,000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2,026,917</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Chief Executive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Fabrizio Battaglia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202,386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5,274,997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50,273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5,527,656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Co-Founder, Former Chief Executive Officer and Former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509,012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321,203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1,280,215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Keyvan Samini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5,274,997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66,115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5,650,112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Co-Founder, President and Chief Financial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469,857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321,188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1,241,045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James Aralis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154,000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Chief Technology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11,250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172,250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2024 include $119,012 for Mr. Battaglia and $109,857 for Mr. Samini for cash paid in lieu of accrued vacation.</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for co-founders Messrs. Battaglia and Samini represents the aggregate grant date fair value of the stock awards in accordance with ASC Topic 718, which is based on the stock price on the date of the Closing of $104.70. However, the value received at issuance of the Post-Closing RSUs on April 15, 2025 was approximately $283,333, which is based on the issuance date stock price of $85.00.</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and 2025, for Messrs. Battaglia and Samini, includes reimbursement for the payment of taxes owed.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September 30, 2025 and 2024, the compensation program for our named executive officers consisted of base salary, cash bonus, equity awards, and certain standard employee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Philip Sansone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finalized the compensation arrangements in connection with Mr. Sansone’s appointment as Chief Executive Officer. We plan to disclose the material terms of such arrangements once they have been determined and finalized.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Fabrizio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Battaglia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Battaglia is a co-founder of the Company. Mr. Battaglia served as our Chief Executive Officer beginning November 15, 2022. He stepped down due to sick leave in April 2025 and retired as Chief Executive Officer and a member of the Board as of July 25, 2025. Pursuant to the Severance Agreement entered into on July 25, 2025, Mr. Battaglia will receive for himself and his spouse health benefits (COBRA) for 36 months. He will also retain the equity awards already granted to him, which will vest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Keyvan Samini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Samini is a co-founder of the Company. We are a party to an Employment Term Sheet with Mr. Samini, pursuant to which he serves as our President, and Chief Financial Officer with an initial term of two years, effective November 15, 2022, which will automatically renew for additional consecutive one-year terms unless either party provides the other party with 180 days’ notice of the intent not to renew prior to the expiration of the applicable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his Employment Term Sheet, Mr. Samini is entitled to receive a base salary of $360,000 per year and is also eligible to receive performance-based cash bonuses up to 100% of his base salary, the amount and terms of which shall be in the discretion of the Board. In addition, Mr. Samini will be granted, on the first, second and third anniversaries of December 21, 2023, Post-Closing RSUs with respect to 33,333 shares of Class A Common Stock, which will vest on the first anniversary of the applicable grant date, subject to his continuous service to us through the applicable grant dates and vesting dates. The Post-Closing RSUs will become fully vested in the event of a change of control, or if Mr. Samini’s employment is terminated either without cause or by him for Good Reason (as defined in the Employment Term Sheet).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terminate Mr. Samini’s employment without cause, or Mr. Samini resigns for Good Reason, Mr. Samini is entitled to (i) two times the amount of Mr. Samini’s base compensation and two times the amount of the target bonus amount in which termination occurs, payable in equal installments over 24 months, and (ii) subject to Mr. Samini’s election of COBRA continuation coverage, reimbursement for up to 24 months of subsidized COBRA benefits or if earlier, on the date on which Mr. Samini becomes covered under another group health plan. However, if we terminate Mr. Samini’s employment without cause, or Mr. Samini resigns for Good Reason during the period commencing 60 days prior to and ending 12 months following a change in control, the severance amount described immediately above shall be increased to three times (and paid in a lump sum payment), and the COBRA reimbursement will increase to 36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James Aralis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Aralis entered into an employment agreement with Mobix Labs to serve as its Chief Technology Officer, effective as of May 18, 2022 (the “Aralis Employment Agreement”). Pursuant to his employment agreement, Mr. Aralis was entitled to receive a base salary of $120,000 per year, which was based on one day per week, and any month which exceeded more than four days was compensated at a secondary rate of $2,000 per day.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narrative below summarizes the payments and benefits that each named executive officer was eligible to receive for the fiscal years ended September 30, 2025 and 2024 based on the Employment Term Sheets with Messrs. Battaglia and Samini and the Aralis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salary for each named executive officer was set at a level that is commensurate with the executive’s duties and authorities, contributions, prior experience and sustained performance. The annual base salary earned by the named executive officers for each of the fiscal years ended September 30, 2025 and 2024 is set forth in the summary compensation table above under the column heading “Salary.” Amounts in the “Salary” column for the fiscal year ended September 30, 2024 also include $119,012 and $109,857 for each of co-founders Messrs Battaglia and Samini, respectively, for cash paid in lieu of accrued vacation, which payments did not occur for the fiscal year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the Compensation Committee approved a bonus to each of co-founders Messrs. Battaglia and Samini in recognition of their efforts in connection with the completion of the merger between Chavant Acquisition Corp. and Legacy Mobix, which amount is set forth in the summary compensation table above under the column heading “Bonus.” In fiscal 2025, the Compensation Committee did not approve a bonus to any of our NEOs.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executive officers to remain in our employment during the vesting period. Accordingly, our Board periodically reviews the equity incentive compensation of our NEOs and grant equity incentive awards to them from time to time. On May 5, 2022, the following restricted stock units (“RSUs”) were granted to the following directors and executive officers: (i) co-founder James Peterson in the amount of 100,000 RSUs; (ii) co-founder Frederick Goerner in the amount of 100,000 RSUs; (iii) co-founder Fabrizio Battaglia in the amount of 200,000 RSUs; and (iv) co-founder Keyvan Samini in the amount of 200,000 RSUs. These RSUs originally vested upon the satisfaction of both time-based vesting requirements and performance conditions. These RSUs were amended on November 15, 2022 to provide for a three-year vesting schedule, with one-third of the total RSUs vesting on each anniversary of the Closing. These RSUs were subsequently cancelled, effective March 26, 2023</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In exchange, Messrs. Peterson, Goerner, Battaglia and Samini, each a co-founder, received a commitment from us to issue one-half of that number of RSUs over three years, beginning on the first anniversary of the Closing, referred to as “Post-Closing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2025, our NEOs received the following equity incentive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2024, the Compensation Committee approved, subject to stockholder approval of Mobix Labs stockholders, which was obtained on January 3, 2025, a grant of 255,000 restricted stock awards to each of the co-founders Messrs. Battaglia and Samini in consideration of their efforts in connection with the public listing of our shares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stock awards for the co-founder Mr. Battaglia have the following vesting terms: (1) 10,000 shares will vest on each of (i) July 15, 2025, (ii) October 15, 2025, (iii) January 15, 2026, and (iv) April 15, 2026; (2) 20,000 shares will vest on each of (i) July 15, 2026, (ii) October 15, 2026, (iii) January 15, 2027, and (iv) April 15, 2027; (3) 30,000 shares will vest on each of (i) July 15, 2027, (ii) October 15, 2027, and (iii) January 15, 2028; and (4) 45,000 shares will vest on July 15, 2028.</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stock awards for the co-founder Mr. Samini have the following vesting terms: (1) 5% will vest on the earlier of (i) the Company’s Class A Common Stock closing at or above $20.00 for 10 consecutive trading days on Nasdaq or (ii) July 1, 2025; (2) 10% will vest on the earlier of (i) the Company’s Class A Common Stock closing at or above $20.00 for 10 consecutive trading days on Nasdaq, or (ii) November 1, 2025; (3) 10% will vest on the earlier of (i) the Company’s Class A Common Stock closing at or above $20.00 for 10 consecutive trading days on Nasdaq or (ii) January 1, 2026; (4) 25% will vest on the earlier of (i) the Company’s Class A Common Stock closing at or above $30.00 for 10 consecutive trading days on Nasdaq or (ii) April 1, 2026; (5) 25% will vest on the earlier of (i) the Company’s Class A Common Stock closing at or above $35.00 for 10 consecutive trading days on Nasdaq or (ii) July 1, 2026; and (6) 25% will vest on the earlier of (i) the Company’s Class A Common Stock closing at or above $40.00 for 10 consecutive trading days on Nasdaq or (ii) November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2025, Mr. Sansone forfeited options to purchase 17,218 shares of Mobix Class A Common Stock. In exchange, the Compensation Committee granted 40,000 RSUs and 60,000 RSUs to Mr. Sansone on April 10, 2025 and April 15, 2025, respectively (collectively, the “Sansone RSUs”). Ninety percent of the Sansone RSUs vested at each respective grant date, and the remaining ten percent vest in equal installments on the last day of each calendar month thereafter until fully vested on January 1, 2026. The delivery of shares underlying the Sansone RSUs will be deferred until the earlier of (i) Mr. Sansone’s separation from service, disability, death; (ii) a change in control of the Company; (iii) the occurrence of an unforeseeable emergency for the participant as defined under Section 409A of the Internal Revenue Code; or (iv) January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2025, the Compensation Committee granted 33,333 Post-Closing RSUs to each of co-founders Messrs. Battaglia and Samini (which grants were originally planned to be issued on the first anniversary of the Closing). The Post-Closing RSUs vest in their entirety on December 21,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2025, the Compensation Committee granted Mr. Aralis 10,000 RSUs, 5,000 of which vested on August 20, 2025 and the remaining 5,000 vested on November 20,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2025, the Compensation Committee granted Mr. Sansone 100,000 RSUs which vest in equal installments on (i) January 1, 2027, (ii) April 1, 2027, (iii) July 1, 2027 and (iv) October 1,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Benefits and Perquisites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years ended September 30, 2025 and 2024, we provided benefits to our NEOs on the same basis as provided to all of its employees, including medical, dental, vision, life and AD&amp;D, and short- and long-term disability insurance, vacation and paid holidays. The NEOs are also eligible to participate in our 401(k) plan.</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 at 2025 Fiscal Year-End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for each of our NEOs, information regarding outstanding equity awards as of September 30, 2025.</w:t>
      </w:r>
    </w:p>
    <w:p>
      <w:pPr>
        <w:pStyle w:val="TextBody"/>
        <w:bidi w:val="0"/>
        <w:spacing w:before="0" w:after="0"/>
        <w:ind w:left="0" w:right="0" w:firstLine="720"/>
        <w:jc w:val="both"/>
        <w:rPr>
          <w:caps w:val="false"/>
          <w:smallCaps w:val="false"/>
        </w:rPr>
      </w:pPr>
      <w:r>
        <w:rPr>
          <w:caps w:val="false"/>
          <w:smallCaps w:val="false"/>
        </w:rPr>
        <w:t> </w:t>
      </w:r>
    </w:p>
    <w:tbl>
      <w:tblPr>
        <w:tblW w:w="11585" w:type="dxa"/>
        <w:jc w:val="left"/>
        <w:tblInd w:w="0" w:type="dxa"/>
        <w:tblLayout w:type="fixed"/>
        <w:tblCellMar>
          <w:top w:w="0" w:type="dxa"/>
          <w:left w:w="0" w:type="dxa"/>
          <w:bottom w:w="0" w:type="dxa"/>
          <w:right w:w="0" w:type="dxa"/>
        </w:tblCellMar>
      </w:tblPr>
      <w:tblGrid>
        <w:gridCol w:w="950"/>
        <w:gridCol w:w="60"/>
        <w:gridCol w:w="85"/>
        <w:gridCol w:w="970"/>
        <w:gridCol w:w="350"/>
        <w:gridCol w:w="60"/>
        <w:gridCol w:w="166"/>
        <w:gridCol w:w="1054"/>
        <w:gridCol w:w="350"/>
        <w:gridCol w:w="60"/>
        <w:gridCol w:w="73"/>
        <w:gridCol w:w="682"/>
        <w:gridCol w:w="60"/>
        <w:gridCol w:w="60"/>
        <w:gridCol w:w="60"/>
        <w:gridCol w:w="665"/>
        <w:gridCol w:w="60"/>
        <w:gridCol w:w="60"/>
        <w:gridCol w:w="133"/>
        <w:gridCol w:w="982"/>
        <w:gridCol w:w="60"/>
        <w:gridCol w:w="60"/>
        <w:gridCol w:w="61"/>
        <w:gridCol w:w="814"/>
        <w:gridCol w:w="350"/>
        <w:gridCol w:w="60"/>
        <w:gridCol w:w="60"/>
        <w:gridCol w:w="980"/>
        <w:gridCol w:w="60"/>
        <w:gridCol w:w="60"/>
        <w:gridCol w:w="120"/>
        <w:gridCol w:w="280"/>
        <w:gridCol w:w="120"/>
        <w:gridCol w:w="120"/>
        <w:gridCol w:w="120"/>
        <w:gridCol w:w="280"/>
        <w:gridCol w:w="60"/>
        <w:gridCol w:w="60"/>
        <w:gridCol w:w="97"/>
        <w:gridCol w:w="227"/>
        <w:gridCol w:w="97"/>
        <w:gridCol w:w="97"/>
        <w:gridCol w:w="97"/>
        <w:gridCol w:w="230"/>
        <w:gridCol w:w="75"/>
      </w:tblGrid>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30" w:type="dxa"/>
            <w:gridSpan w:val="18"/>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5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95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Exercisable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50"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Number of Securities Underlying Unexercised Options Unexercisable (#)</w:t>
            </w:r>
          </w:p>
        </w:tc>
        <w:tc>
          <w:tcPr>
            <w:tcW w:w="350"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 Price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Grant 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Expiration 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of Stock That Have Not Vested (#)</w:t>
            </w:r>
          </w:p>
        </w:tc>
        <w:tc>
          <w:tcPr>
            <w:tcW w:w="350"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of Stock That Have Not Vested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Equity Incentive Plan Awards: Number of Unearned Shares That Have Not Vested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4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Market Value of Unearned Shares That Have Not Vested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center"/>
              <w:rPr/>
            </w:pPr>
            <w:r>
              <w:rPr/>
              <w:t> </w:t>
            </w:r>
          </w:p>
        </w:tc>
      </w:tr>
      <w:tr>
        <w:trPr/>
        <w:tc>
          <w:tcPr>
            <w:tcW w:w="950" w:type="dxa"/>
            <w:tcBorders/>
            <w:shd w:fill="CCEEFF" w:val="clear"/>
            <w:vAlign w:val="center"/>
          </w:tcPr>
          <w:p>
            <w:pPr>
              <w:pStyle w:val="TableContents"/>
              <w:bidi w:val="0"/>
              <w:spacing w:before="0" w:after="283"/>
              <w:jc w:val="left"/>
              <w:rPr>
                <w:b/>
              </w:rPr>
            </w:pPr>
            <w:r>
              <w:rPr>
                <w:b/>
              </w:rPr>
              <w:t>Philip Sansone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40,000</w:t>
            </w:r>
          </w:p>
        </w:tc>
        <w:tc>
          <w:tcPr>
            <w:tcW w:w="350" w:type="dxa"/>
            <w:tcBorders/>
            <w:shd w:fill="CCEEFF" w:val="clear"/>
            <w:vAlign w:val="center"/>
          </w:tcPr>
          <w:p>
            <w:pPr>
              <w:pStyle w:val="TableContents"/>
              <w:bidi w:val="0"/>
              <w:spacing w:before="0" w:after="283"/>
              <w:jc w:val="left"/>
              <w:rPr/>
            </w:pPr>
            <w:r>
              <w:rPr/>
              <w:t> </w:t>
            </w:r>
            <w:r>
              <w:rPr>
                <w:position w:val="8"/>
                <w:sz w:val="19"/>
              </w:rPr>
              <w:t>(2)</w:t>
            </w:r>
          </w:p>
        </w:tc>
        <w:tc>
          <w:tcPr>
            <w:tcW w:w="6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60,000</w:t>
            </w:r>
          </w:p>
        </w:tc>
        <w:tc>
          <w:tcPr>
            <w:tcW w:w="350" w:type="dxa"/>
            <w:tcBorders/>
            <w:shd w:fill="CCEEFF" w:val="clear"/>
            <w:vAlign w:val="center"/>
          </w:tcPr>
          <w:p>
            <w:pPr>
              <w:pStyle w:val="TableContents"/>
              <w:bidi w:val="0"/>
              <w:spacing w:before="0" w:after="283"/>
              <w:jc w:val="left"/>
              <w:rPr/>
            </w:pPr>
            <w:r>
              <w:rPr/>
              <w:t> </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100,000</w:t>
            </w:r>
          </w:p>
        </w:tc>
        <w:tc>
          <w:tcPr>
            <w:tcW w:w="350"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Fabrizio Battaglia</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20,588</w:t>
            </w:r>
          </w:p>
        </w:tc>
        <w:tc>
          <w:tcPr>
            <w:tcW w:w="350" w:type="dxa"/>
            <w:tcBorders/>
            <w:shd w:fill="CCEEFF" w:val="clear"/>
            <w:vAlign w:val="center"/>
          </w:tcPr>
          <w:p>
            <w:pPr>
              <w:pStyle w:val="TableContents"/>
              <w:bidi w:val="0"/>
              <w:spacing w:before="0" w:after="283"/>
              <w:jc w:val="left"/>
              <w:rPr/>
            </w:pPr>
            <w:r>
              <w:rPr/>
              <w:t> </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245,000</w:t>
            </w:r>
          </w:p>
        </w:tc>
        <w:tc>
          <w:tcPr>
            <w:tcW w:w="350" w:type="dxa"/>
            <w:tcBorders/>
            <w:shd w:fill="CCEEFF" w:val="clear"/>
            <w:vAlign w:val="center"/>
          </w:tcPr>
          <w:p>
            <w:pPr>
              <w:pStyle w:val="TableContents"/>
              <w:bidi w:val="0"/>
              <w:spacing w:before="0" w:after="283"/>
              <w:jc w:val="left"/>
              <w:rPr/>
            </w:pPr>
            <w:r>
              <w:rPr/>
              <w:t> </w:t>
            </w:r>
            <w:r>
              <w:rPr>
                <w:position w:val="8"/>
                <w:sz w:val="19"/>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1,984,500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11,764</w:t>
            </w:r>
          </w:p>
        </w:tc>
        <w:tc>
          <w:tcPr>
            <w:tcW w:w="350" w:type="dxa"/>
            <w:tcBorders/>
            <w:shd w:fill="CCEEFF" w:val="clear"/>
            <w:vAlign w:val="center"/>
          </w:tcPr>
          <w:p>
            <w:pPr>
              <w:pStyle w:val="TableContents"/>
              <w:bidi w:val="0"/>
              <w:spacing w:before="0" w:after="283"/>
              <w:jc w:val="left"/>
              <w:rPr/>
            </w:pPr>
            <w:r>
              <w:rPr/>
              <w:t> </w:t>
            </w: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33,333</w:t>
            </w:r>
          </w:p>
        </w:tc>
        <w:tc>
          <w:tcPr>
            <w:tcW w:w="350" w:type="dxa"/>
            <w:tcBorders/>
            <w:shd w:fill="CCEEFF" w:val="clear"/>
            <w:vAlign w:val="center"/>
          </w:tcPr>
          <w:p>
            <w:pPr>
              <w:pStyle w:val="TableContents"/>
              <w:bidi w:val="0"/>
              <w:spacing w:before="0" w:after="283"/>
              <w:jc w:val="left"/>
              <w:rPr/>
            </w:pPr>
            <w:r>
              <w:rPr/>
              <w:t> </w:t>
            </w: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Keyvan Samini</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20,588</w:t>
            </w:r>
          </w:p>
        </w:tc>
        <w:tc>
          <w:tcPr>
            <w:tcW w:w="350" w:type="dxa"/>
            <w:tcBorders/>
            <w:shd w:fill="CCEEFF" w:val="clear"/>
            <w:vAlign w:val="center"/>
          </w:tcPr>
          <w:p>
            <w:pPr>
              <w:pStyle w:val="TableContents"/>
              <w:bidi w:val="0"/>
              <w:spacing w:before="0" w:after="283"/>
              <w:jc w:val="left"/>
              <w:rPr/>
            </w:pPr>
            <w:r>
              <w:rPr/>
              <w:t> </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242,250</w:t>
            </w:r>
          </w:p>
        </w:tc>
        <w:tc>
          <w:tcPr>
            <w:tcW w:w="350" w:type="dxa"/>
            <w:tcBorders/>
            <w:shd w:fill="CCEEFF" w:val="clear"/>
            <w:vAlign w:val="center"/>
          </w:tcPr>
          <w:p>
            <w:pPr>
              <w:pStyle w:val="TableContents"/>
              <w:bidi w:val="0"/>
              <w:spacing w:before="0" w:after="283"/>
              <w:jc w:val="left"/>
              <w:rPr/>
            </w:pPr>
            <w:r>
              <w:rPr/>
              <w:t> </w:t>
            </w:r>
            <w:r>
              <w:rPr>
                <w:position w:val="8"/>
                <w:sz w:val="19"/>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1,962,225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11,764</w:t>
            </w:r>
          </w:p>
        </w:tc>
        <w:tc>
          <w:tcPr>
            <w:tcW w:w="350" w:type="dxa"/>
            <w:tcBorders/>
            <w:shd w:fill="CCEEFF" w:val="clear"/>
            <w:vAlign w:val="center"/>
          </w:tcPr>
          <w:p>
            <w:pPr>
              <w:pStyle w:val="TableContents"/>
              <w:bidi w:val="0"/>
              <w:spacing w:before="0" w:after="283"/>
              <w:jc w:val="left"/>
              <w:rPr/>
            </w:pPr>
            <w:r>
              <w:rPr/>
              <w:t> </w:t>
            </w: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33,333</w:t>
            </w:r>
          </w:p>
        </w:tc>
        <w:tc>
          <w:tcPr>
            <w:tcW w:w="350" w:type="dxa"/>
            <w:tcBorders/>
            <w:shd w:fill="CCEEFF" w:val="clear"/>
            <w:vAlign w:val="center"/>
          </w:tcPr>
          <w:p>
            <w:pPr>
              <w:pStyle w:val="TableContents"/>
              <w:bidi w:val="0"/>
              <w:spacing w:before="0" w:after="283"/>
              <w:jc w:val="left"/>
              <w:rPr/>
            </w:pPr>
            <w:r>
              <w:rPr/>
              <w:t> </w:t>
            </w: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James Aralis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1,000</w:t>
            </w:r>
          </w:p>
        </w:tc>
        <w:tc>
          <w:tcPr>
            <w:tcW w:w="350" w:type="dxa"/>
            <w:tcBorders/>
            <w:shd w:fill="CCEEFF" w:val="clear"/>
            <w:vAlign w:val="center"/>
          </w:tcPr>
          <w:p>
            <w:pPr>
              <w:pStyle w:val="TableContents"/>
              <w:bidi w:val="0"/>
              <w:spacing w:before="0" w:after="283"/>
              <w:jc w:val="left"/>
              <w:rPr/>
            </w:pPr>
            <w:r>
              <w:rPr/>
              <w:t> </w:t>
            </w:r>
            <w:r>
              <w:rPr>
                <w:position w:val="8"/>
                <w:sz w:val="19"/>
              </w:rPr>
              <w:t>(10)</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5,000</w:t>
            </w:r>
          </w:p>
        </w:tc>
        <w:tc>
          <w:tcPr>
            <w:tcW w:w="350" w:type="dxa"/>
            <w:tcBorders/>
            <w:shd w:fill="CCEEFF" w:val="clear"/>
            <w:vAlign w:val="center"/>
          </w:tcPr>
          <w:p>
            <w:pPr>
              <w:pStyle w:val="TableContents"/>
              <w:bidi w:val="0"/>
              <w:spacing w:before="0" w:after="283"/>
              <w:jc w:val="left"/>
              <w:rPr/>
            </w:pPr>
            <w:r>
              <w:rPr/>
              <w:t> </w:t>
            </w:r>
            <w:r>
              <w:rPr>
                <w:position w:val="8"/>
                <w:sz w:val="19"/>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2,222</w:t>
            </w:r>
          </w:p>
        </w:tc>
        <w:tc>
          <w:tcPr>
            <w:tcW w:w="350" w:type="dxa"/>
            <w:tcBorders/>
            <w:shd w:fill="CCEEFF" w:val="clear"/>
            <w:vAlign w:val="center"/>
          </w:tcPr>
          <w:p>
            <w:pPr>
              <w:pStyle w:val="TableContents"/>
              <w:bidi w:val="0"/>
              <w:spacing w:before="0" w:after="283"/>
              <w:jc w:val="left"/>
              <w:rPr/>
            </w:pPr>
            <w:r>
              <w:rPr/>
              <w:t> </w:t>
            </w:r>
            <w:r>
              <w:rPr>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444</w:t>
            </w:r>
          </w:p>
        </w:tc>
        <w:tc>
          <w:tcPr>
            <w:tcW w:w="350" w:type="dxa"/>
            <w:tcBorders/>
            <w:shd w:fill="CCEEFF" w:val="clear"/>
            <w:vAlign w:val="center"/>
          </w:tcPr>
          <w:p>
            <w:pPr>
              <w:pStyle w:val="TableContents"/>
              <w:bidi w:val="0"/>
              <w:spacing w:before="0" w:after="283"/>
              <w:jc w:val="left"/>
              <w:rPr/>
            </w:pPr>
            <w:r>
              <w:rPr/>
              <w:t> </w:t>
            </w:r>
            <w:r>
              <w:rPr>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18</w:t>
            </w:r>
          </w:p>
        </w:tc>
        <w:tc>
          <w:tcPr>
            <w:tcW w:w="350" w:type="dxa"/>
            <w:tcBorders/>
            <w:shd w:fill="CCEEFF" w:val="clear"/>
            <w:vAlign w:val="center"/>
          </w:tcPr>
          <w:p>
            <w:pPr>
              <w:pStyle w:val="TableContents"/>
              <w:bidi w:val="0"/>
              <w:spacing w:before="0" w:after="283"/>
              <w:jc w:val="left"/>
              <w:rPr/>
            </w:pPr>
            <w:r>
              <w:rPr/>
              <w:t> </w:t>
            </w:r>
            <w:r>
              <w:rPr>
                <w:position w:val="8"/>
                <w:sz w:val="19"/>
              </w:rPr>
              <w:t>(13)</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5"/>
        <w:gridCol w:w="9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awards set forth in the table above are exercisable for or settled in shares of Class A Common Stock.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c>
          <w:tcPr>
            <w:tcW w:w="98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value of the awards that have not vested is based on the closing price of the Class A Common Stock on Nasdaq on September 30, 2025, which was $8.06.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equal installments on (i) November 15, 2025 and (ii) January 31,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such amounts and on such dates as follows: (i) 25,000 restricted stock units on April 30, 2026, (ii) 25,000 restricted stock units on July 15, 2026, and (iii) 10,000 restricted stock units on October 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equal installments on (i) January 1, 2027, (ii) April 1, 2027, (iii) July 1, 2027, and (iv) October 1, 2027.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2020 Key Employee Equity Incentive Plan and are fully vested and exercisable.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awards were granted subject to stockholder approval, which was obtained on January 3, 2025, and vest in such amounts and on such dates as follows: (i) 10,000 restricted stock awards on each of (a) October 15, 2025, (b) January 15, 2026, and (c) April 15, 2026; (ii) 20,000 restricted stock awards on each of (a) July 15, 2026, (b) October 15, 2026, (c) January 15, 2027, (d) April 15, 2027; (iii) 30,000 restricted stock awards on each of (a) July 15, 2027, (b) October 15, 2027, (c) January 15, 2028; and (iv) 45,000 restricted stock units on July 15, 2028.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2020 Equity Incentive Plan and are fully vested and exercisable.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vested in their entirety on December 21,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awards were granted subject to stockholder approval, which was obtained on January 3, 2025, and vest in such percentages and upon such terms as follows: (i) 5% will vest on the earlier of (a) the Company’s Class A Common Stock closing at or above $20.00 for 10 consecutive trading days on Nasdaq or (b) July 1, 2025; (ii) 10% will vest on the earlier of (a) the Company’s Class A Common Stock closing at or above $20.00 for 10 consecutive trading days on Nasdaq, or (b) November 1, 2025; (iii) 10% will vest on the earlier of (a) the Company’s Class A Common Stock closing at or above $20.00 for 10 consecutive trading days on Nasdaq or (b) January 1, 2026; (iv) 25% will vest on the earlier of (a) the Company’s Class A Common Stock closing at or above $30.00 for 10 consecutive trading days on Nasdaq or (b) April 1, 2026; (v) 25% will vest on the earlier of (a) the Company’s Class A Common Stock closing at or above $35.00 for 10 consecutive trading days on Nasdaq or (b) July 1, 2026; and (vi) 25% will vest on the earlier of (a) the Company’s Class A Common Stock closing at or above $40.00 for 10 consecutive trading days on Nasdaq or (b) November 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2022 Incentive Compensation Plan and are fully vested and exercisable.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vested on November 20,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2022 Incentive Compensation Plan and become fully vested and exercisable on May 18,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stock options were granted under the Company’s 2022 Incentive Compensation Plan and are fully vested and exercisable.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entered into agreements with our non-employee directors, including co-founder James Peterson, co-founder Frederick Goerner, David Aldrich, Kurt Busch, and William Carpou. Under these agreements, we agreed to issue to each director an option to purchase 2,000 shares of Class A Common Stock. The options are fully vested. We also agreed to reimburse the director for any reasonable costs and expenses incurred in connection with the director’s services requested by us and performed by the director. Each agreement will automatically renew on the date of director’s reelection unless the Board determines not to renew the agreement, or until a director’s earlier resignation, removal or death.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we amended the Board agreement with each of the co-founders Mr. Peterson and Mr. Goerner. The amendment provides that the director will be granted, on the first, second and third anniversaries of December 21, 2023, Post-Closing RSUs with respect to 16,666 shares of Class A Common Stock, which will vest on the first anniversary of the applicable grant date, subject to his continuous service to Mobix Labs through the applicable grant dates and vesting dates. The Post-Closing RSUs will become fully vested in the event of a change of control, or if the director’s service is terminated either without cause or by him for Good Reason (as defined in the Company’s 2022 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2024, the Board approved non-employee director compensation that is designed to retain competent and experienced persons to serve as members of the Board. Non-employee directors will be entitled to receive an annual cash retainer, which will be payable quarterly and pro-rated for partial quarters, of $200,000 and reimbursement for expenses incurred for attending Board meetings. Non-employee Board members will also be entitled to receive awards under the 2023 Equity Incentive Plan annually and upon their initial appointment to the Board as follows:</w:t>
      </w:r>
    </w:p>
    <w:p>
      <w:pPr>
        <w:pStyle w:val="TextBody"/>
        <w:bidi w:val="0"/>
        <w:spacing w:before="0" w:after="0"/>
        <w:ind w:left="0" w:right="0" w:firstLine="72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70"/>
        <w:gridCol w:w="8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awards of 2,000 RSUs at the next Board meeting occurring after December 21, 2024;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initial election or appointment to the Board, a pro-rated amount of 2,000 RSUs for the partial year.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Board approved, and on January 3, 2025 the stockholders approved, the grant of RSUs to the following non-employee directors who were influential in the public listing of our shares on Nasdaq:</w:t>
      </w:r>
    </w:p>
    <w:p>
      <w:pPr>
        <w:pStyle w:val="TextBody"/>
        <w:bidi w:val="0"/>
        <w:spacing w:before="0" w:after="0"/>
        <w:ind w:left="0" w:right="0" w:firstLine="72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170"/>
        <w:gridCol w:w="3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Peterson, Co-Founder 105,000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Frederick Goerner, Co-Founder 105,000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Aldrich 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Kurt Busch 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Carpou 5,000 RSUs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 Table for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non-employee director compensation for the year ended September 30, 2025.</w:t>
      </w:r>
    </w:p>
    <w:p>
      <w:pPr>
        <w:pStyle w:val="TextBody"/>
        <w:bidi w:val="0"/>
        <w:spacing w:before="0" w:after="0"/>
        <w:ind w:left="0" w:right="0" w:hanging="0"/>
        <w:jc w:val="left"/>
        <w:rPr>
          <w:caps w:val="false"/>
          <w:smallCaps w:val="false"/>
        </w:rPr>
      </w:pPr>
      <w:r>
        <w:rPr>
          <w:caps w:val="false"/>
          <w:smallCaps w:val="false"/>
        </w:rPr>
        <w:t> </w:t>
      </w:r>
    </w:p>
    <w:tbl>
      <w:tblPr>
        <w:tblW w:w="6619" w:type="dxa"/>
        <w:jc w:val="left"/>
        <w:tblInd w:w="0" w:type="dxa"/>
        <w:tblLayout w:type="fixed"/>
        <w:tblCellMar>
          <w:top w:w="0" w:type="dxa"/>
          <w:left w:w="0" w:type="dxa"/>
          <w:bottom w:w="28" w:type="dxa"/>
          <w:right w:w="0" w:type="dxa"/>
        </w:tblCellMar>
      </w:tblPr>
      <w:tblGrid>
        <w:gridCol w:w="3050"/>
        <w:gridCol w:w="60"/>
        <w:gridCol w:w="77"/>
        <w:gridCol w:w="1037"/>
        <w:gridCol w:w="60"/>
        <w:gridCol w:w="60"/>
        <w:gridCol w:w="60"/>
        <w:gridCol w:w="980"/>
        <w:gridCol w:w="60"/>
        <w:gridCol w:w="60"/>
        <w:gridCol w:w="60"/>
        <w:gridCol w:w="980"/>
        <w:gridCol w:w="75"/>
      </w:tblGrid>
      <w:tr>
        <w:trPr/>
        <w:tc>
          <w:tcPr>
            <w:tcW w:w="305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Fees Earned </w:t>
              <w:br/>
              <w:t xml:space="preserve">or Paid in </w:t>
              <w:br/>
              <w:t>Cash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Stock </w:t>
              <w:br/>
              <w:t xml:space="preserve">Awards </w:t>
              <w:br/>
              <w:t>($)</w:t>
            </w:r>
            <w:r>
              <w:rPr>
                <w:rFonts w:ascii="Times New Roman;Times;Serif" w:hAnsi="Times New Roman;Times;Serif"/>
                <w:b/>
                <w:position w:val="7"/>
                <w:sz w:val="16"/>
                <w:sz w:val="20"/>
              </w:rPr>
              <w:t>(2)(3)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Total </w:t>
              <w:br/>
              <w:t>($)</w:t>
            </w:r>
            <w:r>
              <w:rPr>
                <w:rFonts w:ascii="Times New Roman;Times;Serif" w:hAnsi="Times New Roman;Times;Serif"/>
                <w:b/>
                <w:position w:val="7"/>
                <w:sz w:val="16"/>
                <w:sz w:val="20"/>
              </w:rPr>
              <w:t>(4)</w:t>
            </w:r>
          </w:p>
        </w:tc>
        <w:tc>
          <w:tcPr>
            <w:tcW w:w="75"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James Peterson, Co-Founder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2,707,341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2,819,841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Frederick Goerner, Co-Founder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2,733,663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2,846,163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David Aldrich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264,917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277,417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Kurt Busch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260,995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273,495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William Carpou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245,309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257,809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Michael Long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224,917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237,417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non-employee directors received a portion of their fees in Class A Common Stock in lieu of cash. The amount each of our non-employee directors would have otherwise received in cash was $162,500.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for co-founders Messrs. Peterson and Goerner represents the aggregate grant date fair value of the stock awards in accordance with ASC Topic 718, which is based on the stock price on the date of the Closing of $104.70. However, the value received at issuance of the Post-Closing RSUs on April 15, 2025 was approximately $141,667, which is based on the issuance date stock price of $8.50.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number of restricted stock units outstanding, as of September 30, 2025, for each of our non-employee directors.</w:t>
            </w:r>
          </w:p>
        </w:tc>
      </w:tr>
    </w:tbl>
    <w:p>
      <w:pPr>
        <w:pStyle w:val="TextBody"/>
        <w:bidi w:val="0"/>
        <w:spacing w:before="0" w:after="0"/>
        <w:ind w:left="0" w:right="0" w:hanging="0"/>
        <w:jc w:val="left"/>
        <w:rPr>
          <w:caps w:val="false"/>
          <w:smallCaps w:val="false"/>
        </w:rPr>
      </w:pPr>
      <w:r>
        <w:rPr>
          <w:caps w:val="false"/>
          <w:smallCaps w:val="false"/>
        </w:rPr>
        <w:t> </w:t>
      </w:r>
    </w:p>
    <w:tbl>
      <w:tblPr>
        <w:tblW w:w="5938" w:type="dxa"/>
        <w:jc w:val="left"/>
        <w:tblInd w:w="0" w:type="dxa"/>
        <w:tblLayout w:type="fixed"/>
        <w:tblCellMar>
          <w:top w:w="0" w:type="dxa"/>
          <w:left w:w="0" w:type="dxa"/>
          <w:bottom w:w="28" w:type="dxa"/>
          <w:right w:w="0" w:type="dxa"/>
        </w:tblCellMar>
      </w:tblPr>
      <w:tblGrid>
        <w:gridCol w:w="3050"/>
        <w:gridCol w:w="60"/>
        <w:gridCol w:w="82"/>
        <w:gridCol w:w="1107"/>
        <w:gridCol w:w="60"/>
        <w:gridCol w:w="60"/>
        <w:gridCol w:w="116"/>
        <w:gridCol w:w="1328"/>
        <w:gridCol w:w="75"/>
      </w:tblGrid>
      <w:tr>
        <w:trPr/>
        <w:tc>
          <w:tcPr>
            <w:tcW w:w="305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8" w:space="0" w:color="000000"/>
            </w:tcBorders>
            <w:vAlign w:val="center"/>
          </w:tcPr>
          <w:p>
            <w:pPr>
              <w:pStyle w:val="TableContents"/>
              <w:bidi w:val="0"/>
              <w:spacing w:before="0" w:after="283"/>
              <w:jc w:val="center"/>
              <w:rPr>
                <w:b/>
              </w:rPr>
            </w:pPr>
            <w:r>
              <w:rPr>
                <w:b/>
              </w:rPr>
              <w:t xml:space="preserve">Restricted </w:t>
              <w:br/>
              <w:t>Stock Units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283"/>
              <w:jc w:val="center"/>
              <w:rPr>
                <w:b/>
              </w:rPr>
            </w:pPr>
            <w:r>
              <w:rPr>
                <w:b/>
              </w:rPr>
              <w:t xml:space="preserve">Unexercised </w:t>
              <w:br/>
              <w:t>Stock Options</w:t>
              <w:br/>
              <w:t>(#)</w:t>
            </w:r>
          </w:p>
        </w:tc>
        <w:tc>
          <w:tcPr>
            <w:tcW w:w="75"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James Peterson, Co-Founder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127,336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15,341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Frederick Goerner, Co-Founder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127,665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15,341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David Aldrich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6,952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15,341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Kurt Busch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6,903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15,341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William Carpou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6,707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Michael Long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6,952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245"/>
        <w:gridCol w:w="4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herein may not foot due to rounding.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Practices Related to the Grant of Certain Equity Awards Close in Time to the Release of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Item 402(x)(1) of Regulation S-K, we do not grant new awards of stock options, stock appreciation rights, or similar option-like instruments within four business days before or one business day after the release of a Form 10-Q, 10-K, or 8-K that discloses material nonpublic information. Accordingly, we have no specific policy or practice on the timing of awards of such options in relation to the disclosure of material nonpublic information by us. In the event that we determine to grant new awards of such options, the Board will evaluate the appropriate steps to take in relation to the foregoing.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9" w:name="sq_004"/>
      <w:bookmarkEnd w:id="39"/>
      <w:r>
        <w:rPr>
          <w:rFonts w:ascii="Times New Roman;Times;Serif" w:hAnsi="Times New Roman;Times;Serif"/>
          <w:b/>
          <w:i w:val="false"/>
          <w:caps/>
          <w:sz w:val="20"/>
        </w:rPr>
        <w:t>DESCRIPTION OF SECURITIES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terms of our securities is not intended to be a complete summary of the rights and preferences of such securities. The full text of our Charter and amendment to the Charter, which together are referred to as the Charter, and Bylaws is included as Exhibit 3.1, Exhibit 3.2, and Exhibit 3.3 respectively, to the registration statement of which this prospectus forms a part and is incorporated herein by reference. We urge you to read our Charter and Bylaws in their entirety for a complete description of the rights and preferences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authorizes three hundred million (300,000,000) shares, consisting of three (3) classes: (i) two-hundred and eighty-five million (285,000,000) shares of Class A Common Stock, $0.00001 par value per share, (ii) five million (5,000,000) shares of Class B Common Stock, $0.00001 par value per share, and (iii) ten million (10,000,000) shares of Preferred Stock, $0.00001 par value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8, 2026, there were 14,998,187 shares of Class A Common Stock outstanding, 200,491 shares of Class B Common Stock outstanding. As of the date of this prospectus, there were 2,000 shares of Series A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Common Stock and holders of Class B Common Stock vote together as a single class on all matters submitted to a vote of the stockholders except as otherwise required by applicable law or the rules or regulations of any stock exchange applicable to Mobix Labs or by or pursuant to the Charter. Holders of Class A Common Stock are entitled to one (1) vote for each share of Class A Common Stock held of record by such holder on all matters to be voted on by stockholders except as otherwise required by applicable law or the rules or regulations of any stock exchange applicable to Mobix Labs or by or pursuant to the Charter. Holders of Class B Common Stock are entitled to ten (10) votes for each share of Class B Common Stock held of record by such holder on all matters to be voted on by stockholders except as otherwise required by applicable law or the rules or regulations of any stock exchange applicable to Mobix Labs or by or pursuant to the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and Distribution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if any, of any holders of any outstanding series of Preferred Stock, holders of Common Stock are entitled to receive dividends or distributions when, as and if declared by the Board in its discretion, payable either in cash, in property or in shares of capital stock. Generally, the holders of Common Stock share in such dividends or distributions ratably in proportion to the number of shares held by them; except that if a dividend or distribution is proposed to be declared and paid or set apart for payment to the holders of Class A Common Stock in shares of Class A Common Stock or rights to acquire shares of Class A Common Stock or to the holders of Class B Common Stock shares of Class B Common Stock or rights to acquire Class B Common Stock, a dividend or distribution of an equal number of shares of Class B Common Stock or rights to acquires Class B Common Stock shall be declared and paid or set apart for payment to the holders of Class B Common Stock or a dividend or distribution of an equal number of shares of Class A Common Stock or rights to acquire shares of Class A Common Stock shall be declared and paid or set apart for payment to the holders of Class A Common Stock,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Dissolution and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if any, of any holders of any outstanding series of Preferred Stock, in the event of any liquidation, dissolution or winding up, the holders of outstanding shares of Common Stock are entitled to receive pro rata Mobix Labs’ remaining assets available for distribution, ratably in proportion to the number of shares of Common Stock held by them.</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share of Class B Common Stock may, at the option of the holder thereof at any time upon written notice to Mobix Labs, be converted into one (1) fully-paid and non-assessable share of Class A Common Stock. Each outstanding share of Class B Common Stock will be automatically, without further action by the holder thereof, converted into one (1) fully-paid and non-assessable share of Class A Common Stock upon the transfer of such share of Class B Common Stock other than to a “permitted transferee” or (b) at 5:00 p.m. New York City time on the first trading day (on the primary stock exchange on which Mobix Labs shares are then listed) after the seventh anniversary date of the Closing Date. “Permitted Transferees” for this purpose means (1) the other holders of Class B Common Stock immediately following the Closing, (2) their immediate family members, (3) entities controlled directly or indirectly by them or their immediate family members, and (4) individual retirement accounts for their exclusive benefit or the benefit of their immediate family members or any trust forming part of the a stock bonus, pension or profit-sharing plan for the exclusive benefit of the employer’s employees or their beneficiaries under Section 401 of the Code in which they or their immediate family members are participants, subject to them or their immediate family members having sole decision making authority as to the Class B Common Stock in such account or trust, including as to the voting of such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or Other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will not be entitled to preemptive rights, and Common Stock is not subject to redemption or sinking fund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except for those directors, if any, elected by the holders of any series of Preferred Stock then outstanding pursuant to the Charter, establish a classified board of directors that is divided into three (3) classes designated as Class I, Class II and Class III, as nearly equal in number as possible, with staggered three-year terms and with each class containing (for so long as there are three Class B Directors then in office) not more than one Class B Director. Only the directors in one class are elected at each annual meeting of Mobix Labs’ stockholders, with the directors in the other classes continuing for the remainder of their respective three-year terms. For so long as any shares of Class B Common Stock remain outstanding, the holders of a majority of the voting power of the shares of Class B Common Stock then outstanding voting as a separate class are entitled to (i) elect three Class B Directors, (ii) remove from office any Class B Director, and (iii) fill any vacancy caused by the death, resignation, disqualification, removal or other cause of any Class B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stockholders will not have the ability to cumulate votes for the election of directors. The Bylaws provide that, other than with respect to Class B Directors or the directors elected by any series of Preferred Stock then outstanding pursuant to the Charter, at all meetings of stockholders held for the election of directors at which a quorum is present, a majority of the votes cast will be sufficient to elect directors; provided, however, that where one or more stockholders have (a) nominated one or more individuals to the Board in compliance with the Bylaws, and such nominees for election exceeds the number of open seats, and (b) not withdrawn such nomination on or prior to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preceding the date on which Mobix Labs first gives notice to stockholders of such meeting of stockholders for the election of directors, a plurality of the votes cast will be sufficient to elect.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expressly authorizes the Board to provide for one or more series of Preferred Stock and pursuant to which the Board is authorized to establish the number of shares to be included in each such series, to fix the designation, powers (including voting powers), preferences and relative, participating, optional or other rights (and the qualifications, limitations or restrictions thereof) of the shares of each such series, in each case without further vote or action by the stockholders. The Charter provides that the number of authorized shares of Preferred Stock may be increased or decreased (but not below the number of shares thereof then outstanding) by the affirmative vote of the holders of a majority of the voting power of the then outstanding shares of capital stock entitled to vote, without the separate vote of the holders of outstanding shares of Preferred Stock voting as a single class. The Charter provides that except as may otherwise be provided by applicable law or the rules or regulations of any stock exchange applicable to Mobix Labs or by or pursuant to the provisions of the Charter, no holder of any series of Preferred Stock is entitled to any voting powers. The Board is able to, without stockholder approval, create and issue series of Preferred Stock with voting and other rights that could adversely affect the voting power and other rights of the holders of the Common Stock and could have anti-takeover effects. The ability of the Board to issue Preferred Stock, while providing flexibility in connection with possible acquisitions and other corporate purposes, could, among other things, have the effect of delaying, deferring or preventing a change of control of Mobix Labs or the removal of existing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2026, there are 2,000 shares of Series A Preferred Stock outstanding.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10% Convertible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the May 2026 Purchase Agreement, pursuant to which we agreed to sell to Kips (i) 2,000 Preferred Shares for aggregate gross proceeds of $2,400, and (ii) the Preferred Warrant to purchase up to an additional 6,000 Preferred Shares at an exercise price of $1,000 per share. The COD provides that 20,000 shares have been designated as Preferred Shares, subject to increase as set forth in the COD.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Stated Value</w:t>
      </w:r>
      <w:r>
        <w:rPr>
          <w:rFonts w:ascii="Times New Roman;Times;Serif" w:hAnsi="Times New Roman;Times;Serif"/>
          <w:b w:val="false"/>
          <w:i w:val="false"/>
          <w:caps w:val="false"/>
          <w:smallCaps w:val="false"/>
          <w:sz w:val="20"/>
        </w:rPr>
        <w:t>. Each share of Series A Preferred Stock has a stated value of $1,200 per share (the “Stated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Holders of Preferred Shares are entitled to receive cumulative dividends at the rate of 10% per annum of the Stated Value, payable quarterly and on each conversion or redemption date. Dividends are payable, at our option, in cash or in additional shares of Series A Preferred Stock (the “Dividend Shares”) at the rate of one share of Series A Preferred Stock per $1,000 of the dividend amount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Each Preferred Share is convertible at the option of the holder, subject to the beneficial ownership and Nasdaq stockholder approval limitations described below, into a number of shares of Class A Common Stock equal to the Stated Value (plus any accrued and unpaid dividends and other amounts due) divided by the applicable conversion price. The conversion price is equal to 82% of the lowest VWAP of the Class A Common Stock during the eight (8) trading days immediately prior to and including the applicable conversion date (the “Kips Conversion Price”), subject to adjustment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Anti-Dilution Adjustment</w:t>
      </w:r>
      <w:r>
        <w:rPr>
          <w:rFonts w:ascii="Times New Roman;Times;Serif" w:hAnsi="Times New Roman;Times;Serif"/>
          <w:b w:val="false"/>
          <w:i w:val="false"/>
          <w:caps w:val="false"/>
          <w:smallCaps w:val="false"/>
          <w:sz w:val="20"/>
        </w:rPr>
        <w:t>. If we issue or sell any shares of Class A Common Stock or common stock equivalents at an effective price per share lower than the then-applicable Kips Conversion Price (a “Dilutive Issuance”), the Kips Conversion Price will be reduced to equal such lower effective price per share, subject to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Market Price Adjustment</w:t>
      </w:r>
      <w:r>
        <w:rPr>
          <w:rFonts w:ascii="Times New Roman;Times;Serif" w:hAnsi="Times New Roman;Times;Serif"/>
          <w:b w:val="false"/>
          <w:i w:val="false"/>
          <w:caps w:val="false"/>
          <w:smallCaps w:val="false"/>
          <w:sz w:val="20"/>
        </w:rPr>
        <w:t>. If the lowest VWAP of the Class A Common Stock during the ten (10) trading days prior to the applicable conversion date (the “Market Price”) is less than the Kips Conversion Price, the aggregate Stated Value of the holder’s outstanding shares of Series A Preferred Stock will be automatically increased by an amount equal to the difference between the Kips Conversion Price and the Market Price, multiplied by the number of shares issued upon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Ownership Limitation</w:t>
      </w:r>
      <w:r>
        <w:rPr>
          <w:rFonts w:ascii="Times New Roman;Times;Serif" w:hAnsi="Times New Roman;Times;Serif"/>
          <w:b w:val="false"/>
          <w:i w:val="false"/>
          <w:caps w:val="false"/>
          <w:smallCaps w:val="false"/>
          <w:sz w:val="20"/>
        </w:rPr>
        <w:t>. A holder of Preferred Shares will not have the right to convert any portion of the Preferred Shares, to the extent that, after giving effect to such conversion, the holder (together with its affiliates) would beneficially own in excess of 4.99% of shares of Class A Common Stock outstanding immediately after giving effect to such conversion. A holder may, upon 61 days’ prior notice to us, increase such limitation to a percentage not in excess of 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Optional Redemption by the Company</w:t>
      </w:r>
      <w:r>
        <w:rPr>
          <w:rFonts w:ascii="Times New Roman;Times;Serif" w:hAnsi="Times New Roman;Times;Serif"/>
          <w:b w:val="false"/>
          <w:i w:val="false"/>
          <w:caps w:val="false"/>
          <w:smallCaps w:val="false"/>
          <w:sz w:val="20"/>
        </w:rPr>
        <w:t>. Beginning thirty business days after the original issue date of the Series A Preferred Stock, we may, subject to the satisfaction of certain “equity conditions” specified in the COD, redeem some or all of the then-outstanding Preferred Shares for cash at a redemption price equal to 110% of the aggregate Stated Value, plus accrued but unpaid dividends and other amounts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Triggering Events; Holder Redemption Rights</w:t>
      </w:r>
      <w:r>
        <w:rPr>
          <w:rFonts w:ascii="Times New Roman;Times;Serif" w:hAnsi="Times New Roman;Times;Serif"/>
          <w:b w:val="false"/>
          <w:i w:val="false"/>
          <w:caps w:val="false"/>
          <w:smallCaps w:val="false"/>
          <w:sz w:val="20"/>
        </w:rPr>
        <w:t>. The COD specifies certain “Triggering Events,” including, among other things, (i) failure to maintain an effective registration statement covering the resale of the Class A Common Stock issuable upon conversion of the Preferred Shares, (ii) failure to timely deliver conversion shares, (iii) an Authorized Share Failure (as defined in the COD), (iv) a Bankruptcy Event (as defined in the COD), (v) delisting of the Class A Common Stock for more than five trading days, (vi) an unsatisfied monetary judgment against us in excess of $500,000 that remains unsatisfied for 60 calendar days, (vii) any cessation of operations by us, and (viii) certain other specified events. Upon the occurrence of a Triggering Event, each holder of Series A Preferred Stock may require us to redeem all of such holder’s Preferred Shares for cash at a “Triggering Redemption Amount” equal to the greater of (a) 120% of the aggregate Stated Value and (b) a market-based amount calculated by reference to the VWAP of the Class A Common Stock and the then-applicable Kips Conversion Price, in each case plus all accrued but unpaid dividends and any liquidated damages and other amounts due. In addition, upon the occurrence of a Triggering Event, we are obligated to pay liquidated damages of $250,000 in cash within five trading days, with interest accruing at a rate of 2% per month on any unpaid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8, 2026 there were 6,000,000 Public Warrants and 3,000,000 Private Warrants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and whole Private Warrant entitles the registered holder to purchase one-tenth (1/10) of a share of Class A Common Stock at a price of $57.90 per share, subject to adjustment as discussed below, at any time commencing January 20, 2024, provided that a registration statement under the Securities Act covering shares of Class A Common Stock issuable upon exercise of the Public Warrants is then effective and a current prospectus relating thereto is available (or holders are permitted to exercise their Public Warrants on a cashless basis under the circumstances specified in the Warrant Agreement) and such shares are registered, qualified or exempt from registration under the securities, or blue sky, laws of the state of residence of the holder. The Public Warrants will expire on December 21, 2028, at 5:00 p.m., New York City time, or earlier upon redemption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obligated to deliver any shares of Class A Common Stock pursuant to the exercise of a Public Warrant and will have no obligation to settle such warrant exercise unless a registration statement under the Securities Act with respect to the shares of Class A Common Stock underlying the Public Warrants is then effective and a prospectus relating thereto is current, subject to us satisfying its obligations described below with respect to registration. No Public Warrant will be exercisable, and we will not be obligated to issue shares of Class A Common Stock upon exercise of a Public Warrant unless the shares of Class A Common Stock issuable upon such warrant exercise has been registered, qualified or deemed to be exempt from registration or qualification under the securities laws of the state of residence of the registered holder of the Public Warrants. In the event that the conditions in the two immediately preceding sentences are not satisfied with respect to a Public Warrant, the holder of such warrant will not be entitled to exercise such warrant and such warrant may have no value and expire worthless, in which case the purchaser of a Unit containing such Public Warrants will have paid the full purchase price for the Unit solely for the shares of Class A Common Stock underlying such Unit. In no event will we be required to net cash settle any Public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registered the shares of Class A Common Stock issuable upon exercise of the Public Warrants in the registration statement relating to the Merger. However, because the Public Warrants will be exercisable until their expiration date of December 21, 2028, in order to comply with the requirements of Section 10(a)(3) of the Securities Act following the consummation of an initial business combination, we will use our best efforts to file with the SEC a registration statement registering, under the Securities Act, the issuance of the shares of Class A Common Stock issuable upon exercise of the Public Warrants, and the registration statement of which this prospectus is a part is intended to satisfy this requirement. We will use our best efforts to cause the same to become effective and to maintain the effectiveness of such registration statement, and a current prospectus relating thereto, until the expiration of the Public Warrants in accordance with the provisions of the Warrant Agreement. If any such registration statement has not been declared effective by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following the closing of the Merger, holders of the Public Warrants will have the right, during the period beginning on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business day after the Closing and ending upon such registration statement being declared effective by the SEC, and during any other period when we fail to have maintained an effective registration statement covering the shares of Class A Common Stock issuable upon exercise of the Public Warrants, to exercise such warrants on a “cashless basis,” by exchanging the Public Warrants (in accordance with Section 3(a)(9) of the Securities Act (or any successor rule) or another exemption). Notwithstanding the above, if the shares of Class A Common Stock are at the time of any exercise of a Public Warrant not listed on a national securities exchange such that it satisfies the definition of a “covered security” under Section 18(b)(1) of the Securities Act (or any successor rule), we may, at our option, require holders of Public Warrants who exercise their Public Warrants to exercise such Public Warrants on a “cashless basis” in accordance with Section 3(a)(9) of the Securities Act (or any successor rule) and (i) in the event we so elect, we will not be required to file or maintain in effect a registration statement for the registration, under the Securities Act, of the shares of Class A Common Stock issuable upon exercise of the Public Warrants or (ii) if we do not so elect, we agree to use our best efforts to register or qualify for sale the shares of Class A Common Stock issuable upon exercise of the Public Warrants under the applicable blue sky laws of the state of residence of the exercising Public Warrant holder to the extent an exemption is not available.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Public Warrants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redeem the Public Warrants in whole and not in part;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warrant;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Public Warrants become exercisable;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 less than 30 days’ prior written notice of redemption to each warrant 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reported last sale price of the shares of Class A Common Stock equals or exceeds $90.60 per share (as adjusted for share subdivisions, share capitalizations, reorganizations, recapitalizations and the like and for certain issuances of shares of Class A Common Stock and equity-linked securities for capital raising purposes in connection with the closing of our initial business combination), for any 20 trading days within a 30-day trading period commencing after the Public Warrants become exercisable and ending on the third business day prior to the notice of redemption to warrant holders;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there is a current registration statement in effect with respect to the shares of Class A Common Stock underlying such Public Warrants at the time of redemption and for the entire 30-day trading period referred to above and continuing each day thereafter until the date of redemption, except if the Public Warrants may be exercised on a cashless basis and such cashless exercise is exempt from registration under the Securities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established the penultimate item of the redemption criterion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his, her or its Public Warrant prior to the scheduled redemption date. Any such exercise would not be done on a “cashless” basis and would require the exercising warrant holder to pay the exercise price for each Public Warrant being exercised. However, the price of the Ordinary Share may fall below the $90.60 redemption trigger price (as adjusted for adjustments to the number of shares issuable upon exercise or the exercise price of a Public Warrant as described under the heading “— </w:t>
      </w: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below) as well as the $90.60 (for whole shares) warrant exercise price after the redemption notice is issued. As of the date of this prospectus, the trading price of the shares of Class A Common Stock on Nasdaq has not achieved the $90.60 threshold that would allow us to redeem the Public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Procedures and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call the Public Warrants for redemption as described above, the Board will have the option to require any holder that wishes to exercise its Public Warrant to do so on a “cashless basis,” by surrendering the Public Warrants for that number of shares of Class A Common Stock equal to the quotient obtained by dividing (x) the product of the number shares of Class A Common Stock underlying the warrants, multiplied by the excess of the “fair market value” (defined below), over the exercise price of the warrants by (y) the fair market value. “Fair market value” means the average reported closing price of the shares of Class A Common Stock as reported during the ten (10) trading days ending on the third trading day prior to the date on which the notice of redemption is sent to the holders of the Public Warrants. If our Board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If we call the Public Warrants for redemption and our Board does not take advantage of this option, the members of the Sponsor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Class A Common Stock outstanding immediately after giving effect to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increased by a share capitalization payable in shares of Class A Common Stock, or by a split-up of shares of Class A Common Stock or other similar event, then, on the effective date of such share capitalization, split-up or similar event, the number of shares of Class A Common Stock issuable on exercise of each Public Warrant will be increased in proportion to such increase in the outstanding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shares of our share capital into which the warrants are convertible), other than (a) as described above, (b) any cash dividend or cash distribution which, when combined on a per share basis with the per share amounts of all other cash dividends and cash distributions paid on the shares of Class A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of Class A Common Stock issuable on exercise of each Public Warrant), but only with respect to the amount of the aggregate cash dividends or cash distributions equal to or less than $5.00 per share (c) to satisfy the redemption rights of the holders of the shares of Class A Common Stock in connection with a proposed initial business combination, (d) to satisfy the redemption rights of the holders of the shares of Class A Common Stock in connection with a shareholder vote to amend the Existing Charter to modify the substance or timing of our obligation to redeem 100% of the Class A Common Stock if the Company does not complete the initial business combination within the period set forth in the Existing Charter or with respect to any other provisions relating to shareholders’ rights or pre-initial business combination activity or (e) in connection with the redemption of the Public Shares upon our failure to complete an initial business combination, then the Public Warrant exercise price will be decreased, effective immediately after the effective date of such event, by the amount of cash and/or the fair market value (as determined by our Board in good faith) of any securities or other assets paid on each Ordinary Share in respect of such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decreased by a consolidation, combination, reverse share split or reclassification of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outstanding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Class A Common Stock purchasable upon the exercise of the Public Warrants is adjusted, as described above, the Public Warrant exercise price will be adjusted (to the nearest cent) by multiplying such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we issued additional shares of Class A Common Stock or equity-linked securities for capital raising purposes in connection with the Closing at an issue price or effective issue price of less than $92.00 per share (with such issue price or effective issue price to be determined in good faith by our Board and, in the case of any such issuance to the Sponsor and the officers and directors of Chavant (collectively, the “Initial Shareholders”) or their affiliates, without taking into account any shares issued to the Sponsor prior to the consummation of the Chavant IPO (the “Founder Shares”) held by such shareholders or their affiliates, as applicable, prior to such issuance) (the “Newly Issued Price”), (y) the aggregate gross proceeds from such issuances represented more than 60% of the total equity proceeds, and interest thereon, available for funding the initial business combination on the date of Closing (net of redemptions), and (z) the volume weighted average trading price of the shares of Class A Common Stock during the ten (10) trading day period starting on the trading day prior to the Closing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(such price, the “Market Value”) was below $92.00 per share, the exercise price of the Public Warrants will be adjusted (to the nearest cent) to be equal to 115% of the higher of the Market Value and the Newly Issued Price, the $180.00 per share redemption trigger described under “— </w:t>
      </w:r>
      <w:r>
        <w:rPr>
          <w:rFonts w:ascii="Times New Roman;Times;Serif" w:hAnsi="Times New Roman;Times;Serif"/>
          <w:b w:val="false"/>
          <w:i/>
          <w:caps w:val="false"/>
          <w:smallCaps w:val="false"/>
          <w:sz w:val="20"/>
        </w:rPr>
        <w:t>Redemption of Warrants for Cash</w:t>
      </w:r>
      <w:r>
        <w:rPr>
          <w:rFonts w:ascii="Times New Roman;Times;Serif" w:hAnsi="Times New Roman;Times;Serif"/>
          <w:b w:val="false"/>
          <w:i w:val="false"/>
          <w:caps w:val="false"/>
          <w:smallCaps w:val="false"/>
          <w:sz w:val="20"/>
        </w:rPr>
        <w:t>” will be adjusted (to the nearest cent) to be equal to 180% of the higher of the Market Value and the Newly Issued Price. As a result of the issuances of shares under the PIPE Subscription Agreements and other agreements in connection with the Closing, we adjusted the exercise price of the Warrants from $115.00 to $57.90 per share and adjusted the redemption trigger price from $180.00 to $90.60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the outstanding shares of Class A Common Stock), or in the case of any sale or conveyance to another corporation or entity of the assets or other property of Mobix Labs as an entirety or substantially as an entirety in connection with which we are dissolved, the holders of the Public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issued in registered form under the Warrant Agreement between Continental Stock Transfer &amp; Trust Company, as warrant agent, and the Company. You should review a copy of the Warrant Agreement, which is filed as an exhibit to the registration statement, for a complete description of the terms and conditions applicable to the Public Warrants. The Warrant Agreement provides that the terms of the Public Warrants may be amended without the consent of any holder to cure any ambiguity or correct any defective provision or mistake, and that all other modifications or amendments will require the vote or written consent of the holders of at least 50% of the then-outstanding Public Warrants, and, solely with respect to any amendment to the terms of the Private Placement Warrants, a majority of the then-outstanding Private Placement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Public Warrant holders do not have the rights or privileges of holders of shares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upon exercise of the Public Warrants. If, upon exercise of the Public Warrants, a holder would be entitled to receive a fractional interest in a share, we will, upon exercise, round down to the nearest whole number the number of shares of Class A Common Stock to be issued to the Public Warrant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provides that any dispute, controversy, or claim, whether in contract of tort, arising or relating to the Warrant Agreement or the enforcement, breach, termination, or validity thereof, shall be submitted to final and binding arbitration in Orange County, California before one neutral and impartial arbitrator, in accordance with the laws of the state of New York. As a result, warrant holders will not be able to pursue litigation in federal or state court against us and instead will be required to pursue such claims through a final and binding arbitration proceeding.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Warrants</w:t>
      </w:r>
    </w:p>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entered into a subscription agreement with Joseph J. Gebbia (“Gebbia”) (the “Gebbia PIPE Subscription Agreement”) pursuant to which Gebbia purchased 7,500 shares of our Class A Common Stock in cash at a price of $100.00 per share for an aggregate purchase price of $750,000, on the terms and subject to the conditions set forth in the Gebbia PIPE Subscription Agreement. In connection with the execution of the Gebbia PIPE Subscription Agreement, Legacy Mobix issued to Gebbia a warrant to purchase 15,000 shares of common stock of Legacy Mobix at an exercise price of $0.10 per share (the “Gebbia Warrant”). We assumed the Gebbia Warrant in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entered into a subscription agreement with Steven Wright Owens, Jr. (“Owens”) (the “Owens PIPE Subscription Agreement”) pursuant to which Owens purchased 5,000 shares of our Class A Common Stock in cash at a price of $100.00 per share for an aggregate purchase price of $500,000, on the terms and subject to the conditions set forth in the Owens PIPE Subscription Agreement. In connection with the execution of the Owens PIPE Subscription Agreement, Legacy Mobix issued to Owens a warrant to purchase 15,000 shares of common stock of Legacy Mobix at an exercise price of $0.10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Warrants and Series B Warrants (“Existing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July 2024 Purchase Agreement, on July 22, 2024 we issued the Existing Warrants as part of the July 2024 Private Placement, each to purchase up to 287,769 shares of Class A Common Stock, to an accredited investor at an exercise price of $13.90 per share. Pursuant to the April 2025 Purchase Agreement, the Company agreed to reduce the exercise price of the Existing Warrants to $8.20 per share. The Existing Warrants became exercisable beginning on the effective date of stockholder approval, which was obtained on May 30, 2025, at an exercise price of $8.20. The Series A Warrants will expire on January 3, 2030 and the Series B Warrants will expire on April 3, 2030.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Inducement Letter, the holder of the Existing Warrants agreed to exercise for cash the Existing Warrants to purchase 148,495 shares of Class A Common Stock underlying the Series A Warrants and 148,495 shares Class A Common Stock underlying the Series B Warrants at the current exercise price of $8.20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Warrants and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we entered into the April 2025 Purchase Agreement with an investor. Pursuant to the April 2025 Purchase Agreement, on April 7, 2025, we issued 385,000 shares of Class A Common Stock and the Pre-Funded Warrant in a Registered Direct Offering (constituting part of the 2025 Offering). The public offering price for each share was $8.20 and the public offering price for each Pre-Funded Warrant was $8.20. Simultaneous with the Registered Direct Offering, the Company conducted a private placement as part of the 2025 Offering and issued the Common Warrants to purchase up to 487,686 shares of our Class A Common Stock. The Pre-Funded Warrant had an exercise price of $0.001 per share and was partially exercised on May 28, 2025, with the balance exercised on June 4, 2025. The Common Warrants became exercisable beginning on the effective date of stockholder approval, which occurred on May 30, 2025 and will expire on May 30, 2030.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we entered into the Inducement Letter with the holder. Pursuant to the Inducement Letter, the holder of the Common Warrants agreed to exercise for cash the Common Warrants to purchase 251,656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Placement Agent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compensation in connection with the 2024 Private Placement, we issued to HCW, acting as our exclusive placement agent or its designees upon closing of the 2024 Private Placement warrants to purchase up to 20,143 shares of Class A Common Stock at an exercise price of $17.375 per share. These warrants became exercisable on January 3, 2025 and are set to expire on January 3, 2030. Upon any exercise for cash of the Existing Warrants, we are obligated to pay HCW a cash fee of 8.0% of the aggregate gross proceeds received from the exercise of any of the Existing Warrants (which includes a management fee of 1.0%) and will also be obligated to issue the Private Placement Warrants to HCW (or its designees) to purchase up to 20,143 shares of our Class A Common Stock (representing 7.0% of the aggregate number of such shares of our common stock underlying the Existing Warrants).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compensation for the 2025 Offering, we paid to Roth a cash placement fee equal to 7.0% of the aggregate gross proceeds raised in the 2025 Offering. In addition, we also issued to Roth (or its designees) to purchase up to 68,276 shares of Class A Common Stock equal to 7% of aggregate number of Class A Common Stock issued in the 2025 Offering at an exercise price of $8.20. Furthermore, we also paid Roth fees and expenses of $75,000 for expenses in connection with the 2025 Offering. The Placement Agent Warrants issued to Roth became exercisable beginning on the effective date of stockholder approval, which was obtained on May 30, 2025, and will expire on April 4, 2030, and are not transferable for 180 days beginning April 4, 2025 (the date of entering into the April 2025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compensation for the placing of the Inducement Warrants, we paid Roth a cash placement fee equal to 7.0% of the aggregate gross proceeds from the exercise of the warrants exercised pursuant to the Inducement Letter and issued warrants to purchase up to 38,405 shares of our Class A Common Stock (representing 7.0% of the sum of the warrants exercised) at an exercise price of $10.80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Inducement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we entered into the Inducement Letter. In consideration for the Holder’s agreement to exercise the warrants for cash, we agreed to issue to the Holder Inducement Warrants to purchase up to an aggregate of 822,970 shares of Class A Common Stock at an exercise price of $10.80 per share. The Inducement Warrants will become exercisable upon stockholder approval and will expire five years from the initial exercise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shares of Class A Common Stock issuable upon exercise are subject to adjustment in the event of stock splits, stock dividends, reorganizations, or similar events. The Inducement Warrants are subject to customary limitations on beneficial ownership and may be exercised on a cashless basis if a registration statement is not available. In connection with certain fundamental transactions, the Holder may have the right to alternative consideration or to redeem the unexercised portion of the Inducement Warrants at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2025, we entered into amendments to certain liability-classified warrants to purchase an aggregate of 1,337,549 shares of our Class A Common Stock. The amendments revised certain terms of the warrants, including terms that could potentially require cash settlement, such that under the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the warrants are equity-classified financial instruments. The amendments did not affect any terms of the warrants that are inputs into the estimation of the fair value of warrants under the Black-Scholes option pricing model, which we use to estimate the fair value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we remeasured the related liabilities to their estimated fair value of $6,912 as of the date of the amendments and we reclassified this amount from “Liability-classified warrants” to “Additional paid-in capital” in the condensed consolidated balance sheet. As consideration for these amendments, we issued the warrant holder an additional warrant to purchase 100,000 shares of our Class A Common Stock at a price of $10.80 per share. We recognized the $514 fair value of the additional warrant as an expense, included in “Other non-operating losses, net” in the condensed consolidated statements of operations and comprehensive loss for the three months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 Purchase Warrant</w:t>
      </w:r>
    </w:p>
    <w:p>
      <w:pPr>
        <w:pStyle w:val="TextBody"/>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the May 2026 Purchase Agreement, pursuant to which we agreed to sell to Kips (i) the Preferred Shares for aggregate gross proceeds of $2,400, and (ii) the Preferred Warrant to purchase up to an additional 6,000 shares of Series A Preferred Stock at an exercise price of $1,000 per share. The Preferred Warrant is exercisable beginning May 19, 2026 and expires no later than twelve months thereafter.</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shares of Class A Common Stock issuable upon exercise of the Preferred Warrant are subject to adjustment in the event of stock splits, stock dividends, reorganizations, or similar events. The Preferred Warrant is subject to customary limitations on beneficial ownership.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Common Stock is currently listed on The Nasdaq Capital Market, under the symbol “MOBX” and the Public Warrants are currently listed on The Nasdaq Capital Market under the symbol “MOBXW”.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Common Stock and warrant agent for the Warrants is Continental Stock Transfer &amp;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Provisions of the Charter, the Bylaws and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Charter, the Bylaws, and the DGCL could make it more difficult to acquire Mobix Labs by means of a tender offer, a proxy contest or otherwise, or to remove incumbent officers and directors. These provisions, summarized below, are intended to discourage coercive takeover practices and inadequate takeover bids. These provisions are also designed to encourage persons seeking to acquire control of Mobix Labs to first negotiate with the Board. Mobix Labs believes that the benefits of these provisions outweigh the disadvantages of discouraging certain takeover or acquisition proposals because, among other things, negotiation of these proposals could result in an improvement of their terms and enhance the ability of the Board to maximize stockholder value. However, these provisions may delay, deter or prevent a merger or acquisition of Mobix Labs that a stockholder might consider is in their best interest or in Mobix Labs’ best interests, including transactions that might result in a premium over the prevailing market price of Class A Common Stock. For additional information, see the section titled “</w:t>
      </w:r>
      <w:r>
        <w:rPr>
          <w:rFonts w:ascii="Times New Roman;Times;Serif" w:hAnsi="Times New Roman;Times;Serif"/>
          <w:b w:val="false"/>
          <w:i/>
          <w:caps w:val="false"/>
          <w:smallCaps w:val="false"/>
          <w:sz w:val="20"/>
        </w:rPr>
        <w:t>Risk Factors — Delaware law and Mobix Labs’ governing documents contain certain provisions, including anti-takeover provisions, that limit the ability of stockholders to take certain actions and that could delay or discourage takeover attempts that stockholders may consider favorable.”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Classified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that, except for those directors, if any, elected by the holders of any series of Preferred Stock then outstanding pursuant to the Charter, the Board will be divided into three (3) classes of directors, designated as Class I, Class II and Class III, with the classes to be as nearly equal in number as possible, and with each class being elected to a staggered three-year term and with each class containing (for so long as there are three Class B Directors then in office) not more than one Class B Director. As a result, approximately one-third of the Board will be elected each year. The classification of directors will have the effect of making it more difficult and time-consuming for stockholders to change the composition of the Board. The holders of the Class B Common Stock, voting as a separate class, are entitled to elect up to three members of the Board at any given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but unissued shares of Common Stock and, once created by the Board in accordance with the Charter, authorized but unissued shares of one or more series of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once created by the Board in accordance with the Charter, authorized but unissued shares of one or more series of Preferred Stock could make more difficult or discourage an attempt to obtain control of Mobix Labs by means of a proxy contest, tender offer, merger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Action; 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except as otherwise provided by or pursuant to the Charter (including, without limitation, as to the holders of Class B Common Stock, consenting separately as a single class), Mobix Labs’ stockholders may not take action by written consent, but may only take action at annual or special meetings of stockholders. Any action to be taken at any meeting of the holders of shares of Class B Common Stock may be taken without a meeting, without prior notice and without a vote, if a consent or consents, setting forth the action so taken, is signed by the holders of shares of Class B Common Stock then outstanding having not less than the minimum number of votes that would be necessary to authorize or take such action at a meeting at which all shares of Class B Common Stock then outstanding were present and voted and is delivered to Mobix Labs in accordance with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Charter provides that solely the Chairperson of the Board, the Chief Executive Officer of Mobix Labs, the President of Mobix Labs, or the Board acting pursuant to a resolution adopted by a majority of the whole board may call special meetings of stockholders, and that the Board will call a special meeting of stockholders upon the written request (made in accordance with the Charter and the Bylaws) of the holders of not less than ten percent of the voting power of the outstanding shares of capital stock of Mobix Labs generally entitled to vote on the nomination, question or business for which such special meeting is requested to be called. These provisions might delay the ability of stockholders to force consideration of a proposal or for stockholders controlling a majority of Mobix Labs capital stock to take any action, including the removal of directors.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bring business before Mobix Labs’ annual meeting of stockholders (other than business required by or pursuant to the Charter to be voted on by the holders of a class of capital stock of Mobix Labs, separately as a single class, or by the holders of a series of Preferred Stock, separately as a single class), or to nominate candidates for election as directors at its annual meeting of stockholders, must provide timely notice. To be timely, a stockholder’s notice will need to be delivered to the Secretary of Mobix Labs at Mobix Labs’ principal executive offices not less than 90 days nor more than 120 days prior to the one-year anniversary of the preceding year’s annual meeting, provided, however, that in the event that no annual meeting was held during the preceding year or the date of the annual meeting is more than 30 days before or more than 70 days after such anniversary date, to be timely, a stockholder’s notice must be so delivered not earlier than the close of business on the 120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prior to such annual meeting and not later than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prior to such annual meeting or, if later, the 10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day following the day on which public announcement of the date of such annual meeting was first made by Mobix Labs. The Bylaws also specify certain requirements as to the form and content of a stockholders’ notice. These provisions may preclude Mobix Labs’ stockholders from bringing matters before its annual meeting of stockholders or from making nominations for directors at its annual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Supermajority Requirements for the Amendment of the Charter and the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the Bylaws may be amended or repealed by the Board or by the affirmative vote of the holders of at least 66⅔% in voting power of the then outstanding shares of capital stock of Mobix Labs entitled to vote, voting together as a single class. In addition, the Charter provides that the affirmative vote of the holders of at least 66⅔% of the voting power of the then outstanding shares of capital stock of Mobix Labs generally entitled to vote, voting together as a single class, will be required to amend certain provisions of the Charter, including provisions relating to the classified board, the size of the board, removal of directors, special meetings of stockholders, actions by written consent, and exculpation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Removed Only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subject to the rights of the holders of any series of Preferred Stock provided by or pursuant to the Charter, no director may be removed from the Board except for cause and only by the affirmative vote of the holders of at least a majority of the voting power of the then outstanding shares of capital stock of Mobix Labs entitled to vote at an election of directors, voting together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Vacancies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subject to applicable law and the rights, if any, of the holders of any class of capital stock of Mobix Labs then outstanding to elect one or more directors or the holders of any series of Preferred Stock then outstanding to elect one or more preferred directors, newly created directorships resulting from an increase in the authorized number of directors or any vacancies on the board of directors will be filled solely and exclusively by a majority of the directors then in office, even if less than a quorum, or by the sole remaining director. Any director so elected will hold office until the expiration of the term of office of the director whom he or she has replaced and until his or her successor will be elected and qualified, subject to such director’s earlier death, resignation, disqualification or removal. No decrease in the number of directors will shorten the term of any incumbent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for so long as any shares of Class B Common Stock remain outstanding, only the holders of a majority of the voting power of the shares of Class B Common Stock then outstanding, voting or consenting as a single class, will be entitled to remove from office any Class B Director and fill any vacancy of any Class B Director.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prevent a stockholder from increasing the size of the Board and then gaining control of the board by filling the resulting vacancies with its own nominees. This makes it more difficult to change the composition of the Board, but promotes continuity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 Forum Selection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unless Mobix Labs consents in writing to the selection of an alternative forum and to the fullest extent permitted by law, that the Court of Chancery of the State of Delaware (or, if the Court of Chancery of the State of Delaware lacks jurisdiction, any state or federal court located within the State of Delaware) will be the sole and exclusive forum for: (a) any derivative action or proceeding brought on behalf of Mobix Labs, (b) any action asserting a claim of breach of fiduciary duty owed by any director, officer or employee of Mobix Labs to Mobix Labs or the Mobix Labs stockholders, (c) any civil action to interpret, apply or enforce any provision of the DGCL, (d) any civil action to interpret, apply, enforce or determine the validity of the provisions of the Charter or the Bylaws or (e) any action asserting a claim governed by the internal affairs doctrine, in all cases subject to the court’s having personal jurisdiction over the indispensable parties named as defendants. However, such forum selection provisions will not apply to the resolution of any complaint asserting a cause of action arising under the Securities Act or any action asserting claims arising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also provides that, unless Mobix Labs consents in writing to the selection of an alternative forum, the federal district courts of the United States of America will be the exclusive forum for the resolution of any complaint asserting a cause of action arising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As noted above, the Charter provides that the federal district courts of the United States will have exclusive jurisdiction over any action asserting a cause of action arising under the Securities Act. Accordingly, there is uncertainty as to whether a court would enforce such provision. Mobix Labs stockholders will not be deemed to have waived Mobix Labs’ compliance with the federal securities laws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Exchange Act creates exclusive United States federal jurisdiction over all claims brought to enforce any duty or liability created by the Exchange Act or the rules and regulations thereunder. As noted above, the Charter provides that the choice of forum provision does not apply to any action asserting claims arising under the Exchange Act. Accordingly, actions by Mobix Labs stockholders asserting claims arising under the Exchange Act or the rules and regulations thereunder must be brought in United States federal court. Mobix Labs stockholders will not be deemed to have waived Mobix Labs’ compliance with the federal securities laws and the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any interest in shares of Mobix Labs’ capital stock will be deemed to have notice of and consented to the forum selection provisions in the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provisions may limit a stockholder’s ability to bring a claim in a judicial forum that it finds favorable for disputes with Mobix Labs or its directors, officers, or other employees, which may discourage such lawsuits against Mobix Labs and its directors, officers, and other employees. Alternatively, if a court were to find the choice of forum provisions contained in the Charter to be inapplicable or unenforceable in an action, Mobix Labs may incur additional costs associated with resolving such action in other jurisdictions, which could harm its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Section 203 of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is subject to the provisions of Section 203 of the DGCL. In general, Section 203 prohibits a Delaware corporation that is listed on a national securities exchange or held of record by more than 2,000 stockholders from engaging in a “business combination” with an “interested stockholder” for a three-year period following the time that such stockholder becomes an interested stockholder, unless the business combination is approved in a prescribed manner as summarized below. A “business combination” includes, among other things, certain mergers, asset or stock sales or other transactions together resulting in a financial benefit to the interested stockholder. An “interested stockholder” is a person who, together with affiliates and associates, owns, or did own within three years prior to the determination of interested stockholder status, 15% or more of the corporation’s outstanding voting stock. Under Section 203 of the DGCL, a business combination between a corporation and an interested stockholder is prohibited unless it satisfies one of the following conditions: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stockholder became an interested stockholder, the board of directors of the corporation approved either the business combination or the transaction which resulted in the stockholder becoming an interested stockholder;</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those shares owned by persons who are directors and also officers, and employee stock plans, in some instances;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after the time the stockholder became an interested stockholder, the business combination was approved by the board of directors of the corporation and authorized at an annual or special meeting of the stockholders by the affirmative vote of at least 66⅔% of the outstanding voting stock which is not owned by the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Section 203 of the DGCL will make it more difficult for a person who would be an “interested stockholder” to effect various business combinations with a corporation for a three-year period. This provision may encourage companies interested in acquiring Mobix Labs to negotiate in advance with the Board because the stockholder approval requirement would be avoided if the Board approves either the business combination or the transaction which results in the stockholder becoming an interested stockholder. Section 203 of the DGCL also may have the effect of preventing changes in the Board and may make it more difficult to accomplish transactions which stockholders may otherwise deem to be in their best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Limitation on Liability and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Mobix Labs’ directors and officers will be indemnified and advanced expenses by Mobix Labs to the fullest extent permitted by applicable law. In addition, the Charter provides that Mobix Labs’ directors and officers will not be liable to Mobix Labs or its stockholders for monetary damages for breaches of their fiduciary duty as directors and officers, except to the extent such exemption from liability or limitation thereof is not permitted under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will also permit Mobix Labs to purchase and maintain insurance on behalf of any director, officer, employee or agent of Mobix Labs for any liability arising out of his or her status as such, regardless of whether the DGCL would permit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discourage stockholders from bringing a lawsuit against Mobix Labs directors or officers for breach of their fiduciary duty. These provisions also may have the effect of reducing the likelihood of derivative litigation against directors and officers, even though such an action, if successful, might otherwise benefit Mobix Labs and its stockholders. Furthermore, a stockholder’s investment may be adversely affected to the extent Mobix Labs pays the costs of settlement and damage awards against directors and officers pursuant to these indemnification and advancement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Mobix Labs’ directors, officers and controlling persons pursuant to the foregoing provisions, or otherwise,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0" w:name="sq_005"/>
      <w:bookmarkEnd w:id="40"/>
      <w:r>
        <w:rPr>
          <w:rFonts w:ascii="Times New Roman;Times;Serif" w:hAnsi="Times New Roman;Times;Serif"/>
          <w:b/>
          <w:i w:val="false"/>
          <w:caps/>
          <w:sz w:val="20"/>
        </w:rPr>
        <w:t>SECURITIES ACT RESTRICTIONS ON RESALE OF SECURITIES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has beneficially owned restricted Class A Common Stock or Public Warrants of Mobix Labs for at least six months would be entitled to sell such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Mobix Labs was required to file reports) preceding the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Class A Common Stock or Public Warrants of Mobix Labs for at least six months but who are our affiliates at the time of, or any time during the three months preceding, a sale, would be subject to additional restrictions, by which such person would be entitled to sell within any three-month period only a number of securities that does not exceed the greater of either of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then outstanding shares of Class A Common Stock or Public Warrants;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trading volume of Class A Common Stock or Public Warrants of Mobix Labs, as applicable, during the four calendar weeks preceding the date on which notice of the sale is filed with the SEC.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affiliates of Mobix Labs under Rule 144 are also subject to certain requirements relating to manner of sale, notice and the availability of current public information about Mobix Labs.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the Use of Rule 144 by Shell Companies or Former Shell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is not available for the resale of securities initially issued by shell companies (other than business combination-related shell companies) or issuers that have been at any time previously a shell company. However, Rule 144 also includes an important exception to this prohibition if the following conditions are met: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that was formerly a shell company has ceased to be a shell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is subject to the reporting requirements of Section 13 or 15(d) of the Exchange 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year has elapsed from the time that the issuer filed current Form 10 type information with the SEC, which was filed on December 28, 2023, reflecting its status as an entity that is not a shell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we are no longer a shell company; accordingly, once the conditions listed above are satisfied, Rule 144 will become available for the resale of the above-noted restricted securities.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1" w:name="sq_006"/>
      <w:bookmarkEnd w:id="41"/>
      <w:r>
        <w:rPr>
          <w:rFonts w:ascii="Times New Roman;Times;Serif" w:hAnsi="Times New Roman;Times;Serif"/>
          <w:b/>
          <w:i w:val="false"/>
          <w:caps/>
          <w:sz w:val="20"/>
        </w:rPr>
        <w:t>SECURITY OWNERSHIP OF CERTAIN BENEFICIAL OWNERS AND MANAGEMENT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known to us regarding the beneficial ownership of shares of Class A Common Stock and Class B Common Stock by:</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is the beneficial owner of more than 5% of issued and outstanding shares of Class A Common Stock and Class B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and directors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In computing the number of shares of Class A Common Stock and Class B Common Stock beneficially owned by a person and the percentage ownership, we deemed outstanding shares of Class A Common Stock and Class B Common Stock subject to options and warrants held by that person that are currently exercisable or exercisable within 60 days of the date of June 8, 2026 (the “Determination Date”) and restricted stock units that (i) have vested but are subject to certain delivery conditions that have not yet been met or (ii) are unvested but will vest within 60 days of the Determination Date. We did not deem these shares outstanding, however, for the purpose of computing the percentage ownership of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have sole voting and investment power with respect to all shares of Class A Common Stock and Class B Common Stock beneficially owned by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listed in the table below is c/o Mobix Labs, Inc., 1 Venture, Suite 220, Irvine, CA 92618.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of Class A Common Stock and Class B Common Stock is based on 14,998,187 shares of Class A Common Stock and 200,491 shares of Class B Common Stock, respectively, outstanding as of June 8, 2026.</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73"/>
        <w:gridCol w:w="60"/>
        <w:gridCol w:w="120"/>
        <w:gridCol w:w="1968"/>
        <w:gridCol w:w="60"/>
        <w:gridCol w:w="60"/>
        <w:gridCol w:w="60"/>
        <w:gridCol w:w="440"/>
        <w:gridCol w:w="215"/>
        <w:gridCol w:w="60"/>
        <w:gridCol w:w="156"/>
        <w:gridCol w:w="2102"/>
        <w:gridCol w:w="60"/>
        <w:gridCol w:w="60"/>
        <w:gridCol w:w="60"/>
        <w:gridCol w:w="440"/>
        <w:gridCol w:w="215"/>
        <w:gridCol w:w="60"/>
        <w:gridCol w:w="143"/>
        <w:gridCol w:w="1059"/>
        <w:gridCol w:w="234"/>
      </w:tblGrid>
      <w:tr>
        <w:trPr/>
        <w:tc>
          <w:tcPr>
            <w:tcW w:w="2573" w:type="dxa"/>
            <w:tcBorders>
              <w:bottom w:val="single" w:sz="8" w:space="0" w:color="000000"/>
            </w:tcBorders>
            <w:vAlign w:val="center"/>
          </w:tcPr>
          <w:p>
            <w:pPr>
              <w:pStyle w:val="TableContents"/>
              <w:bidi w:val="0"/>
              <w:spacing w:before="0" w:after="283"/>
              <w:jc w:val="center"/>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208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of Mobix Labs Class A Common Stock</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b/>
              </w:rPr>
            </w:pPr>
            <w:r>
              <w:rPr>
                <w:b/>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58" w:type="dxa"/>
            <w:gridSpan w:val="2"/>
            <w:tcBorders>
              <w:bottom w:val="single" w:sz="8" w:space="0" w:color="000000"/>
            </w:tcBorders>
            <w:vAlign w:val="center"/>
          </w:tcPr>
          <w:p>
            <w:pPr>
              <w:pStyle w:val="TableContents"/>
              <w:bidi w:val="0"/>
              <w:spacing w:before="0" w:after="283"/>
              <w:jc w:val="center"/>
              <w:rPr>
                <w:b/>
              </w:rPr>
            </w:pPr>
            <w:r>
              <w:rPr>
                <w:b/>
              </w:rPr>
              <w:t>Number of Shares of Mobix Labs Class B 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b/>
              </w:rPr>
            </w:pPr>
            <w:r>
              <w:rPr>
                <w:b/>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2" w:type="dxa"/>
            <w:gridSpan w:val="2"/>
            <w:tcBorders>
              <w:bottom w:val="single" w:sz="8" w:space="0" w:color="000000"/>
            </w:tcBorders>
            <w:vAlign w:val="center"/>
          </w:tcPr>
          <w:p>
            <w:pPr>
              <w:pStyle w:val="TableContents"/>
              <w:bidi w:val="0"/>
              <w:spacing w:before="0" w:after="283"/>
              <w:jc w:val="center"/>
              <w:rPr>
                <w:b/>
              </w:rPr>
            </w:pPr>
            <w:r>
              <w:rPr>
                <w:b/>
              </w:rPr>
              <w:t>% of Total Voting Power</w:t>
            </w:r>
          </w:p>
        </w:tc>
        <w:tc>
          <w:tcPr>
            <w:tcW w:w="234" w:type="dxa"/>
            <w:tcBorders/>
            <w:tcMar>
              <w:bottom w:w="0" w:type="dxa"/>
            </w:tcMar>
            <w:vAlign w:val="center"/>
          </w:tcPr>
          <w:p>
            <w:pPr>
              <w:pStyle w:val="TableContents"/>
              <w:bidi w:val="0"/>
              <w:spacing w:before="0" w:after="283"/>
              <w:jc w:val="left"/>
              <w:rPr/>
            </w:pPr>
            <w:r>
              <w:rPr/>
              <w:t> </w:t>
            </w:r>
          </w:p>
        </w:tc>
      </w:tr>
      <w:tr>
        <w:trPr/>
        <w:tc>
          <w:tcPr>
            <w:tcW w:w="2573" w:type="dxa"/>
            <w:tcBorders/>
            <w:shd w:fill="CCEEFF" w:val="clear"/>
            <w:tcMar>
              <w:bottom w:w="0" w:type="dxa"/>
            </w:tcMar>
            <w:vAlign w:val="center"/>
          </w:tcPr>
          <w:p>
            <w:pPr>
              <w:pStyle w:val="TableContents"/>
              <w:bidi w:val="0"/>
              <w:spacing w:before="0" w:after="283"/>
              <w:jc w:val="left"/>
              <w:rPr>
                <w:b/>
                <w:i/>
              </w:rPr>
            </w:pPr>
            <w:r>
              <w:rPr>
                <w:b/>
                <w:i/>
              </w:rPr>
              <w:t>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pPr>
            <w:r>
              <w:rPr/>
              <w:t> </w:t>
            </w:r>
          </w:p>
        </w:tc>
        <w:tc>
          <w:tcPr>
            <w:tcW w:w="234" w:type="dxa"/>
            <w:tcBorders/>
            <w:shd w:fill="FFFFFF" w:val="clear"/>
            <w:tcMar>
              <w:bottom w:w="0" w:type="dxa"/>
            </w:tcMar>
            <w:vAlign w:val="center"/>
          </w:tcPr>
          <w:p>
            <w:pPr>
              <w:pStyle w:val="TableContents"/>
              <w:bidi w:val="0"/>
              <w:spacing w:before="0" w:after="283"/>
              <w:jc w:val="left"/>
              <w:rPr/>
            </w:pPr>
            <w:r>
              <w:rPr/>
              <w:t> </w:t>
            </w:r>
          </w:p>
        </w:tc>
      </w:tr>
      <w:tr>
        <w:trPr/>
        <w:tc>
          <w:tcPr>
            <w:tcW w:w="2573" w:type="dxa"/>
            <w:tcBorders/>
            <w:shd w:fill="CCEEFF" w:val="clear"/>
            <w:tcMar>
              <w:bottom w:w="0" w:type="dxa"/>
            </w:tcMar>
            <w:vAlign w:val="center"/>
          </w:tcPr>
          <w:p>
            <w:pPr>
              <w:pStyle w:val="TableContents"/>
              <w:bidi w:val="0"/>
              <w:spacing w:before="0" w:after="283"/>
              <w:jc w:val="left"/>
              <w:rPr/>
            </w:pPr>
            <w:r>
              <w:rPr/>
              <w:t>Fabrizio Battaglia</w:t>
            </w: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227,500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1.5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6.2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pPr>
            <w:r>
              <w:rPr/>
              <w:t>2.0</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57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Keyvan Samini</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343,836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2.3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6.2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pPr>
            <w:r>
              <w:rPr/>
              <w:t>2.7</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5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Aralis</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12,516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Peterson</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485,730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3.2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144,928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72.3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pPr>
            <w:r>
              <w:rPr/>
              <w:t>10.5</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5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Aldrich</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68,034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Kurt Busch</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76,302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FFFFFF" w:val="clear"/>
            <w:tcMar>
              <w:bottom w:w="0" w:type="dxa"/>
            </w:tcMar>
            <w:vAlign w:val="center"/>
          </w:tcPr>
          <w:p>
            <w:pPr>
              <w:pStyle w:val="TableContents"/>
              <w:bidi w:val="0"/>
              <w:spacing w:before="0" w:after="283"/>
              <w:jc w:val="left"/>
              <w:rPr/>
            </w:pPr>
            <w:r>
              <w:rPr/>
              <w:t> </w:t>
            </w:r>
          </w:p>
        </w:tc>
      </w:tr>
      <w:tr>
        <w:trPr/>
        <w:tc>
          <w:tcPr>
            <w:tcW w:w="25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Carpou</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68,963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Frederick Goerner</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209,137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1.4</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21,739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10.8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pPr>
            <w:r>
              <w:rPr/>
              <w:t>2.4</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573" w:type="dxa"/>
            <w:tcBorders/>
            <w:shd w:fill="CCEEFF" w:val="clear"/>
            <w:tcMar>
              <w:bottom w:w="0" w:type="dxa"/>
            </w:tcMar>
            <w:vAlign w:val="center"/>
          </w:tcPr>
          <w:p>
            <w:pPr>
              <w:pStyle w:val="TableContents"/>
              <w:bidi w:val="0"/>
              <w:spacing w:before="0" w:after="283"/>
              <w:jc w:val="left"/>
              <w:rPr/>
            </w:pPr>
            <w:r>
              <w:rPr/>
              <w:t>Michael Long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124,932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pPr>
            <w:r>
              <w:rPr/>
              <w:t>Philip Sansone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65,340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FFFFFF" w:val="clear"/>
            <w:tcMar>
              <w:bottom w:w="0" w:type="dxa"/>
            </w:tcMar>
            <w:vAlign w:val="center"/>
          </w:tcPr>
          <w:p>
            <w:pPr>
              <w:pStyle w:val="TableContents"/>
              <w:bidi w:val="0"/>
              <w:spacing w:before="0" w:after="283"/>
              <w:jc w:val="left"/>
              <w:rPr/>
            </w:pPr>
            <w:r>
              <w:rPr/>
              <w:t> </w:t>
            </w:r>
          </w:p>
        </w:tc>
      </w:tr>
      <w:tr>
        <w:trPr/>
        <w:tc>
          <w:tcPr>
            <w:tcW w:w="25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b/>
              </w:rPr>
            </w:pPr>
            <w:r>
              <w:rPr>
                <w:b/>
              </w:rPr>
              <w:t>All Directors and Executive Officers as a Group (ten individuals)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1,682,290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11.0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191,667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95.6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pPr>
            <w:r>
              <w:rPr/>
              <w:t>19.9</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573" w:type="dxa"/>
            <w:tcBorders/>
            <w:shd w:fill="CCEEFF" w:val="clear"/>
            <w:tcMar>
              <w:bottom w:w="0" w:type="dxa"/>
            </w:tcMar>
            <w:vAlign w:val="center"/>
          </w:tcPr>
          <w:p>
            <w:pPr>
              <w:pStyle w:val="TableContents"/>
              <w:bidi w:val="0"/>
              <w:spacing w:before="0" w:after="283"/>
              <w:jc w:val="left"/>
              <w:rPr>
                <w:b/>
                <w:i/>
              </w:rPr>
            </w:pPr>
            <w:r>
              <w:rPr>
                <w:b/>
                <w:i/>
              </w:rPr>
              <w:t>Five Percent and Greater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Armistice Capital, LLC</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1,775,299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10.8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pPr>
            <w:r>
              <w:rPr/>
              <w:t>9.6</w:t>
            </w:r>
          </w:p>
        </w:tc>
        <w:tc>
          <w:tcPr>
            <w:tcW w:w="234"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140"/>
        <w:gridCol w:w="1790"/>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one percent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beneficially owned by each person or entity includes any shares of Class B Common Stock (which is convertible for Class A Common Stock) beneficially owned by such person or entity.</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215,000 shares of unvested stock awards and (ii) 12,500 shares of Class B Common Stock held of record by The Battaglia Trust. Fabrizio Battaglia is Trustee of The Battaglia Trust and may be deemed to have voting and investment power over securities held thereby.</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216,750 shares of unvested stock awards, (ii) 17,114 shares of Class A Common Stock and 12,500 shares of Class B Common Stock held of record by The KSSF Trust, dated November 27, 2012 (the “KSSF Trust”), (iii) 73,529 shares of Class A Common Stock held of record by The KSLI Trust, dated December 7, 2012 (the “KSLI Trust”), and (iv) 7,352 shares of Class A Common Stock held of record by The SSLI Trust dated December 7, 2012 (“SSLI Trust”). Keyvan Samini is Trustee of The KSSF Trust and The SSLI Trust, and may be deemed to have voting and investment power over securities held thereby. Keyvan Samini’s spouse is the Trustee of The KSLI Trust and may be deemed to have voting and investment power over securities held thereby. Includes options to purchase 32,353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options to purchase 3,684 shares of Class A Common Stock exercisable within 60 days of the Determination Date. </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options to purchase 15,341 shares of Class A Common Stock exercisable within 60 days of the Determination Date and (ii) 105,000 restricted stock units that have vested but not yet been delivered.</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options to purchase 15,341 shares of Class A Common Stock exercisable within 60 days of the Determination Date and (ii) 105,000 restricted stock units that have vested but not yet been delivered.</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Schedule 13G/A filed on February 17, 2026 by Armistice Capital Master Fund Ltd., a Cayman Islands exempted company (the “Master Fund”). The securities are held directly by the Master Fund and may be deemed to be beneficially owned by: (i) Armistice Capital, LLC (“Armistice Capital”), as the investment manager of the Master Fund; (ii) Steven Boyd, as the Managing Member of Armistice Capital. This amount consists of (i) 337,750 shares and (ii) 1,437,549 shares underlying warrants that are exercisable within 60 days of the Determination Date. The warrants are subject to a beneficial ownership limitation of 9.99%, which such limitation restricts the stockholder from exercising that portion of the warrants that would result in the stockholder and its affiliates owning, after exercise, a number of shares of common stock in excess of the beneficial ownership limitation. The address of Armistice Capital Master Fund Ltd. is c/o Armistice Capital, LLC, 510 Madison Avenue, 7th Floor, New York, NY 10022.</w:t>
            </w:r>
          </w:p>
        </w:tc>
      </w:tr>
    </w:tbl>
    <w:p>
      <w:pPr>
        <w:pStyle w:val="TextBody"/>
        <w:bidi w:val="0"/>
        <w:spacing w:before="0" w:after="0"/>
        <w:ind w:left="36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2" w:name="sq_007"/>
      <w:bookmarkEnd w:id="42"/>
      <w:r>
        <w:rPr>
          <w:rFonts w:ascii="Times New Roman;Times;Serif" w:hAnsi="Times New Roman;Times;Serif"/>
          <w:b/>
          <w:i w:val="false"/>
          <w:caps/>
          <w:sz w:val="20"/>
        </w:rPr>
        <w:t>SELLING STOCKHOLDERS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by the Selling Stockholders of up to 3,744,161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offer and sell any or all of the shares of Class A Common Stock set forth below pursuant to this prospectus and any accompanying prospectus supplement. We cannot advise you as to whether the Selling Stockholders will in fact sell any or all of such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the “Selling Stockholders” in this prospectus, we mean the person listed in the table below, and the pledgees, donees, transferees, assignees, successors, designees and others who later come to hold any of the Selling Stockholders’ interest in the Class A Common Stock other than through a public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 the names of the Selling Stockholders, the number of shares of Class A Common Stock that the Selling Stockholders may offer pursuant to this prospectus, and the number of shares of Class A Common Stock owned by the Selling Stockholders before the offering (as of June 8, 2026) and after the offering, assuming that the Selling Stockholders will sell all of their Offered Securities and will make no other purchases or sales of Class A Common Stock. Information below regarding the Selling Stockholder is based on information provided to us by the Selling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beneficial ownership is based on the 14,998,187 shares of Class A Common Stock issued and outstanding as of June 8, 2026 and is determined in accordance with the rules of the SEC, which, among other things, assumes the exercise of convertible securities, warrants and options by a securityholder for shares of Class A Common Stock by such securityholder only.</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0"/>
        <w:gridCol w:w="60"/>
        <w:gridCol w:w="163"/>
        <w:gridCol w:w="2194"/>
        <w:gridCol w:w="167"/>
        <w:gridCol w:w="60"/>
        <w:gridCol w:w="191"/>
        <w:gridCol w:w="2368"/>
        <w:gridCol w:w="60"/>
        <w:gridCol w:w="60"/>
        <w:gridCol w:w="709"/>
        <w:gridCol w:w="545"/>
        <w:gridCol w:w="345"/>
        <w:gridCol w:w="345"/>
        <w:gridCol w:w="647"/>
        <w:gridCol w:w="549"/>
        <w:gridCol w:w="82"/>
      </w:tblGrid>
      <w:tr>
        <w:trPr/>
        <w:tc>
          <w:tcPr>
            <w:tcW w:w="1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2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Number of Shares of Class A Common Stock Beneficially Owned Prior to Offering</w:t>
            </w:r>
          </w:p>
        </w:tc>
        <w:tc>
          <w:tcPr>
            <w:tcW w:w="60" w:type="dxa"/>
            <w:tcBorders/>
            <w:vAlign w:val="center"/>
          </w:tcPr>
          <w:p>
            <w:pPr>
              <w:pStyle w:val="TableContents"/>
              <w:bidi w:val="0"/>
              <w:spacing w:before="0" w:after="283"/>
              <w:jc w:val="left"/>
              <w:rPr/>
            </w:pPr>
            <w:r>
              <w:rPr/>
              <w:t> </w:t>
            </w:r>
          </w:p>
        </w:tc>
        <w:tc>
          <w:tcPr>
            <w:tcW w:w="2559" w:type="dxa"/>
            <w:gridSpan w:val="2"/>
            <w:tcBorders/>
            <w:vAlign w:val="center"/>
          </w:tcPr>
          <w:p>
            <w:pPr>
              <w:pStyle w:val="TableContents"/>
              <w:bidi w:val="0"/>
              <w:spacing w:before="0" w:after="283"/>
              <w:jc w:val="center"/>
              <w:rPr>
                <w:b/>
              </w:rPr>
            </w:pPr>
            <w:r>
              <w:rPr>
                <w:b/>
              </w:rPr>
              <w:t xml:space="preserve">Maximum Number of Shares of Class A Common Stock to be Offered Pursuant to this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Number of Shares of Class A Common Stock Beneficially Owned After Offering</w:t>
            </w:r>
          </w:p>
        </w:tc>
        <w:tc>
          <w:tcPr>
            <w:tcW w:w="82" w:type="dxa"/>
            <w:tcBorders/>
            <w:vAlign w:val="center"/>
          </w:tcPr>
          <w:p>
            <w:pPr>
              <w:pStyle w:val="TableContents"/>
              <w:bidi w:val="0"/>
              <w:spacing w:before="0" w:after="283"/>
              <w:jc w:val="left"/>
              <w:rPr/>
            </w:pPr>
            <w:r>
              <w:rPr/>
              <w:t> </w:t>
            </w:r>
          </w:p>
        </w:tc>
      </w:tr>
      <w:tr>
        <w:trPr/>
        <w:tc>
          <w:tcPr>
            <w:tcW w:w="1660" w:type="dxa"/>
            <w:tcBorders>
              <w:bottom w:val="single" w:sz="8" w:space="0" w:color="000000"/>
            </w:tcBorders>
            <w:tcMar>
              <w:bottom w:w="28" w:type="dxa"/>
            </w:tcMar>
            <w:vAlign w:val="center"/>
          </w:tcPr>
          <w:p>
            <w:pPr>
              <w:pStyle w:val="TableContents"/>
              <w:bidi w:val="0"/>
              <w:spacing w:before="0" w:after="283"/>
              <w:jc w:val="left"/>
              <w:rPr>
                <w:b/>
              </w:rPr>
            </w:pPr>
            <w:r>
              <w:rPr>
                <w:b/>
              </w:rPr>
              <w:t>Name of Selling Stockholders</w:t>
            </w:r>
          </w:p>
        </w:tc>
        <w:tc>
          <w:tcPr>
            <w:tcW w:w="60" w:type="dxa"/>
            <w:tcBorders/>
            <w:vAlign w:val="center"/>
          </w:tcPr>
          <w:p>
            <w:pPr>
              <w:pStyle w:val="TableContents"/>
              <w:bidi w:val="0"/>
              <w:spacing w:before="0" w:after="283"/>
              <w:jc w:val="left"/>
              <w:rPr/>
            </w:pPr>
            <w:r>
              <w:rPr/>
              <w:t> </w:t>
            </w:r>
          </w:p>
        </w:tc>
        <w:tc>
          <w:tcPr>
            <w:tcW w:w="23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1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Prospectus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345"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82" w:type="dxa"/>
            <w:tcBorders/>
            <w:vAlign w:val="center"/>
          </w:tcPr>
          <w:p>
            <w:pPr>
              <w:pStyle w:val="TableContents"/>
              <w:bidi w:val="0"/>
              <w:spacing w:before="0" w:after="283"/>
              <w:jc w:val="left"/>
              <w:rPr/>
            </w:pPr>
            <w:r>
              <w:rPr/>
              <w:t> </w:t>
            </w:r>
          </w:p>
        </w:tc>
      </w:tr>
      <w:tr>
        <w:trPr/>
        <w:tc>
          <w:tcPr>
            <w:tcW w:w="1660" w:type="dxa"/>
            <w:tcBorders/>
            <w:shd w:fill="CCEEFF" w:val="clear"/>
            <w:vAlign w:val="center"/>
          </w:tcPr>
          <w:p>
            <w:pPr>
              <w:pStyle w:val="TableContents"/>
              <w:bidi w:val="0"/>
              <w:spacing w:before="0" w:after="283"/>
              <w:jc w:val="left"/>
              <w:rPr/>
            </w:pPr>
            <w:r>
              <w:rPr>
                <w:rFonts w:ascii="Times New Roman;Times;Serif" w:hAnsi="Times New Roman;Times;Serif"/>
                <w:sz w:val="20"/>
              </w:rPr>
              <w:t>Kips Bay Select, LP</w:t>
            </w:r>
            <w:r>
              <w:rPr>
                <w:rFonts w:ascii="Times New Roman;Times;Serif" w:hAnsi="Times New Roman;Times;Serif"/>
                <w:position w:val="7"/>
                <w:sz w:val="16"/>
                <w:sz w:val="20"/>
              </w:rPr>
              <w:t>(1)(2)</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2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294,117</w:t>
            </w:r>
          </w:p>
        </w:tc>
        <w:tc>
          <w:tcPr>
            <w:tcW w:w="1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368" w:type="dxa"/>
            <w:tcBorders/>
            <w:shd w:fill="CCEEFF" w:val="clear"/>
            <w:vAlign w:val="center"/>
          </w:tcPr>
          <w:p>
            <w:pPr>
              <w:pStyle w:val="TableContents"/>
              <w:bidi w:val="0"/>
              <w:spacing w:before="0" w:after="283"/>
              <w:jc w:val="right"/>
              <w:rPr/>
            </w:pPr>
            <w:r>
              <w:rPr/>
              <w:t>2,000,000</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45"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1660" w:type="dxa"/>
            <w:tcBorders/>
            <w:shd w:fill="FFFFFF" w:val="clear"/>
            <w:vAlign w:val="center"/>
          </w:tcPr>
          <w:p>
            <w:pPr>
              <w:pStyle w:val="TableContents"/>
              <w:bidi w:val="0"/>
              <w:spacing w:before="0" w:after="283"/>
              <w:jc w:val="left"/>
              <w:rPr/>
            </w:pPr>
            <w:r>
              <w:rPr/>
              <w:t>Rocket Capital NY LLC</w:t>
            </w:r>
            <w:r>
              <w:rPr>
                <w:position w:val="8"/>
                <w:sz w:val="19"/>
              </w:rPr>
              <w:t>(1)(3)</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194" w:type="dxa"/>
            <w:tcBorders/>
            <w:shd w:fill="FFFFFF" w:val="clear"/>
            <w:vAlign w:val="center"/>
          </w:tcPr>
          <w:p>
            <w:pPr>
              <w:pStyle w:val="TableContents"/>
              <w:bidi w:val="0"/>
              <w:spacing w:before="0" w:after="283"/>
              <w:jc w:val="right"/>
              <w:rPr/>
            </w:pPr>
            <w:r>
              <w:rPr/>
              <w:t>832,937</w:t>
            </w:r>
          </w:p>
        </w:tc>
        <w:tc>
          <w:tcPr>
            <w:tcW w:w="1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368" w:type="dxa"/>
            <w:tcBorders/>
            <w:shd w:fill="FFFFFF" w:val="clear"/>
            <w:vAlign w:val="center"/>
          </w:tcPr>
          <w:p>
            <w:pPr>
              <w:pStyle w:val="TableContents"/>
              <w:bidi w:val="0"/>
              <w:spacing w:before="0" w:after="283"/>
              <w:jc w:val="right"/>
              <w:rPr/>
            </w:pPr>
            <w:r>
              <w:rPr/>
              <w:t>832,937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w:t>
            </w:r>
          </w:p>
        </w:tc>
        <w:tc>
          <w:tcPr>
            <w:tcW w:w="345"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1660" w:type="dxa"/>
            <w:tcBorders/>
            <w:shd w:fill="CCEEFF" w:val="clear"/>
            <w:vAlign w:val="center"/>
          </w:tcPr>
          <w:p>
            <w:pPr>
              <w:pStyle w:val="TableContents"/>
              <w:bidi w:val="0"/>
              <w:spacing w:before="0" w:after="283"/>
              <w:jc w:val="left"/>
              <w:rPr/>
            </w:pPr>
            <w:r>
              <w:rPr/>
              <w:t>Green Flash Media, LLC</w:t>
            </w:r>
            <w:r>
              <w:rPr>
                <w:position w:val="8"/>
                <w:sz w:val="19"/>
              </w:rPr>
              <w:t>(1)(4)</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21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49,702</w:t>
            </w:r>
          </w:p>
        </w:tc>
        <w:tc>
          <w:tcPr>
            <w:tcW w:w="1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3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w:t>
            </w:r>
          </w:p>
        </w:tc>
        <w:tc>
          <w:tcPr>
            <w:tcW w:w="345"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1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Wolff Moscaro LLP</w:t>
            </w:r>
            <w:r>
              <w:rPr>
                <w:rFonts w:ascii="Times New Roman;Times;Serif" w:hAnsi="Times New Roman;Times;Serif"/>
                <w:b w:val="false"/>
                <w:i w:val="false"/>
                <w:caps w:val="false"/>
                <w:smallCaps w:val="false"/>
                <w:position w:val="7"/>
                <w:sz w:val="16"/>
                <w:sz w:val="20"/>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21,565</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Russell Cyr</w:t>
            </w:r>
            <w:r>
              <w:rPr>
                <w:rFonts w:ascii="Times New Roman;Times;Serif" w:hAnsi="Times New Roman;Times;Serif"/>
                <w:b w:val="false"/>
                <w:i w:val="false"/>
                <w:caps w:val="false"/>
                <w:smallCaps w:val="false"/>
                <w:position w:val="7"/>
                <w:sz w:val="16"/>
                <w:sz w:val="20"/>
              </w:rPr>
              <w:t>(1)(6)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232,941</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232,941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Geoffrey Dawe</w:t>
            </w:r>
            <w:r>
              <w:rPr>
                <w:rFonts w:ascii="Times New Roman;Times;Serif" w:hAnsi="Times New Roman;Times;Serif"/>
                <w:b w:val="false"/>
                <w:i w:val="false"/>
                <w:caps w:val="false"/>
                <w:smallCaps w:val="false"/>
                <w:position w:val="7"/>
                <w:sz w:val="16"/>
                <w:sz w:val="20"/>
              </w:rPr>
              <w:t>(1)(6)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232,011</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232,011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Fuji West Funding, LLC</w:t>
            </w:r>
            <w:r>
              <w:rPr>
                <w:rFonts w:ascii="Times New Roman;Times;Serif" w:hAnsi="Times New Roman;Times;Serif"/>
                <w:b w:val="false"/>
                <w:i w:val="false"/>
                <w:caps w:val="false"/>
                <w:smallCaps w:val="false"/>
                <w:position w:val="7"/>
                <w:sz w:val="16"/>
                <w:sz w:val="20"/>
              </w:rPr>
              <w:t>(1)(7)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375,005</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jc w:val="left"/>
        <w:rPr/>
      </w:pPr>
      <w:r>
        <w:rPr/>
        <w:t>* Less than 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Assumes the sale of all shares of our Class A Common Stock being offered for resale pursuant to this prospectus.</w:t>
            </w:r>
          </w:p>
        </w:tc>
      </w:tr>
      <w:tr>
        <w:trPr/>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of Class A Common Stock consist of (i) 294,117 shares of Class A Common Stock issuable to Kips within 60 days of the Determination Date at such time and in such amounts as Kips may elect, and (ii) a good faith estimate of shares issuable upon conversion of the Preferred Shares. Pursuant to the terms of the Series A Preferred Stock, the shares are subject to a beneficial ownership limitation of 4.99% (or upon election of the Kips, by providing a 61-day written notice to Mobix Labs, 9.99%), which such limitation restricts the stockholder from converting that portion of the Preferred Shares that would result in the stockholder and its affiliates owning, after conversion, a number of shares of Class A Common Stock in excess of the beneficial ownership limitation. The issuance of the Offered Securities upon conversion of the Preferred Shares is subject to stockholder approval. As a result, as of the date of this prospectus Kips does not beneficially own the shares of Class A Common Stock issuable upon conversion of the Preferred Shares. John Miller holds voting and dispositive power over the Preferred Shares held by Kips.</w:t>
            </w:r>
          </w:p>
        </w:tc>
      </w:tr>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283"/>
              <w:jc w:val="both"/>
              <w:rPr/>
            </w:pPr>
            <w:r>
              <w:rPr/>
              <w:t>The shares of Class A Common Stock issued to Rocket consist entirely of shares issued in exchange for satisfaction of debt owed to Rocket. The shares are subject to a beneficial ownership limitation of 4.99%. Additionally, the shares are subject to a share cap of 19.99% of the outstanding Class A Common Stock on May 13, 2026, or 2,250,353 shares. Any amounts issued in excess of the share cap are subject to stockholder approval. Tzvi Rosenblum, as manager of Rocket, holds voting and dispositive power over the shares of Class A Common Stock held by Rocket.</w:t>
            </w:r>
          </w:p>
        </w:tc>
      </w:tr>
      <w:tr>
        <w:trPr/>
        <w:tc>
          <w:tcPr>
            <w:tcW w:w="237" w:type="dxa"/>
            <w:tcBorders/>
            <w:vAlign w:val="center"/>
          </w:tcPr>
          <w:p>
            <w:pPr>
              <w:pStyle w:val="TableContents"/>
              <w:bidi w:val="0"/>
              <w:spacing w:before="0" w:after="283"/>
              <w:jc w:val="left"/>
              <w:rPr/>
            </w:pPr>
            <w:r>
              <w:rPr/>
              <w:t>(4)</w:t>
            </w:r>
          </w:p>
        </w:tc>
        <w:tc>
          <w:tcPr>
            <w:tcW w:w="9968" w:type="dxa"/>
            <w:tcBorders/>
            <w:vAlign w:val="center"/>
          </w:tcPr>
          <w:p>
            <w:pPr>
              <w:pStyle w:val="TableContents"/>
              <w:bidi w:val="0"/>
              <w:spacing w:before="0" w:after="283"/>
              <w:jc w:val="both"/>
              <w:rPr/>
            </w:pPr>
            <w:r>
              <w:rPr/>
              <w:t>The shares of Class A Common Stock issued to Green Flash Media, LLC (“Green Flash”) consist entirely of shares issued in connection with the settlement of litigation. Jeremy Hyatt, as principal of Green Flash, holds voting and dispositive power over the shares of Class A Common Stock held by Green Flash.</w:t>
            </w:r>
          </w:p>
        </w:tc>
      </w:tr>
      <w:tr>
        <w:trPr/>
        <w:tc>
          <w:tcPr>
            <w:tcW w:w="237" w:type="dxa"/>
            <w:tcBorders/>
            <w:vAlign w:val="center"/>
          </w:tcPr>
          <w:p>
            <w:pPr>
              <w:pStyle w:val="TableContents"/>
              <w:bidi w:val="0"/>
              <w:spacing w:before="0" w:after="283"/>
              <w:jc w:val="left"/>
              <w:rPr/>
            </w:pPr>
            <w:r>
              <w:rPr/>
              <w:t>(5)</w:t>
            </w:r>
          </w:p>
        </w:tc>
        <w:tc>
          <w:tcPr>
            <w:tcW w:w="9968" w:type="dxa"/>
            <w:tcBorders/>
            <w:vAlign w:val="center"/>
          </w:tcPr>
          <w:p>
            <w:pPr>
              <w:pStyle w:val="TableContents"/>
              <w:bidi w:val="0"/>
              <w:spacing w:before="0" w:after="283"/>
              <w:jc w:val="both"/>
              <w:rPr/>
            </w:pPr>
            <w:r>
              <w:rPr/>
              <w:t>The shares of Class A Common Stock issued to Wolff Moscaro LLP (“Wolff”) consist entirely of shares issued in connection with the settlement of litigation. Joshua M. Wolff, as partner of Wolff, holds voting and dispositive power over the shares of Class A Common Stock held by Wolff.</w:t>
            </w:r>
          </w:p>
        </w:tc>
      </w:tr>
      <w:tr>
        <w:trPr/>
        <w:tc>
          <w:tcPr>
            <w:tcW w:w="237" w:type="dxa"/>
            <w:tcBorders/>
            <w:vAlign w:val="center"/>
          </w:tcPr>
          <w:p>
            <w:pPr>
              <w:pStyle w:val="TableContents"/>
              <w:bidi w:val="0"/>
              <w:spacing w:before="0" w:after="283"/>
              <w:jc w:val="left"/>
              <w:rPr/>
            </w:pPr>
            <w:r>
              <w:rPr/>
              <w:t>(6)</w:t>
            </w:r>
          </w:p>
        </w:tc>
        <w:tc>
          <w:tcPr>
            <w:tcW w:w="9968" w:type="dxa"/>
            <w:tcBorders/>
            <w:vAlign w:val="center"/>
          </w:tcPr>
          <w:p>
            <w:pPr>
              <w:pStyle w:val="TableContents"/>
              <w:bidi w:val="0"/>
              <w:spacing w:before="0" w:after="283"/>
              <w:jc w:val="both"/>
              <w:rPr/>
            </w:pPr>
            <w:r>
              <w:rPr/>
              <w:t>The shares of Class A Common Stock were issued as earnout shares pursuant to the earnout provisions of the business combination agreement in connection with our May 2024 acquisition of RaGE Systems, our wholly owned subsidiary, in which Messrs. Cyr and Dawe were the selling stockholders. Such earnout payments are based upon the attainment of certain financial targets and continued employment with RaGE Systems. Both Mr. Cyr and Mr. Dawe entered into employment agreements in connection with the acquisition and are executives at RaGE Systems, serving as General Manager and Chief Engineer, respectively.</w:t>
            </w:r>
          </w:p>
        </w:tc>
      </w:tr>
      <w:tr>
        <w:trPr/>
        <w:tc>
          <w:tcPr>
            <w:tcW w:w="237" w:type="dxa"/>
            <w:tcBorders/>
            <w:vAlign w:val="center"/>
          </w:tcPr>
          <w:p>
            <w:pPr>
              <w:pStyle w:val="TableContents"/>
              <w:bidi w:val="0"/>
              <w:spacing w:before="0" w:after="283"/>
              <w:jc w:val="left"/>
              <w:rPr/>
            </w:pPr>
            <w:r>
              <w:rPr/>
              <w:t>(7)</w:t>
            </w:r>
          </w:p>
        </w:tc>
        <w:tc>
          <w:tcPr>
            <w:tcW w:w="9968" w:type="dxa"/>
            <w:tcBorders/>
            <w:vAlign w:val="center"/>
          </w:tcPr>
          <w:p>
            <w:pPr>
              <w:pStyle w:val="TableContents"/>
              <w:bidi w:val="0"/>
              <w:spacing w:before="0" w:after="283"/>
              <w:jc w:val="both"/>
              <w:rPr/>
            </w:pPr>
            <w:r>
              <w:rPr/>
              <w:t>The shares of Class A Common Stock issued to Fuji West Funding, LLC (“Fuji”) consist entirely of shares issued in exchange for satisfaction of debt owed to Fuji. Johnathan Hershberg, as manager of Fuji holds voting and dispositive power over the shares of Class A Common Stock held by Fuji.</w:t>
            </w:r>
          </w:p>
        </w:tc>
      </w:tr>
    </w:tbl>
    <w:p>
      <w:pPr>
        <w:pStyle w:val="TextBody"/>
        <w:bidi w:val="0"/>
        <w:spacing w:before="0" w:after="0"/>
        <w:ind w:left="480" w:right="0" w:hanging="48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3" w:name="sq_008"/>
      <w:bookmarkEnd w:id="43"/>
      <w:r>
        <w:rPr>
          <w:rFonts w:ascii="Times New Roman;Times;Serif" w:hAnsi="Times New Roman;Times;Serif"/>
          <w:b/>
          <w:i w:val="false"/>
          <w:caps/>
          <w:sz w:val="20"/>
        </w:rPr>
        <w:t>CERTAIN RELATIONSHIPS AND RELATED TRANSACTIONS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written related party transactions policy that requires that related party transactions (as defined below) be reviewed and, if appropriate, approved by the Board’s audit committee, subject to certain exceptions. Our related party transactions policy is designed to minimize potential conflicts of interest arising from any dealings we may have with our affiliates and to provide appropriate procedures for the disclosure of any real or potential conflicts of interest that may exist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 party transaction” is a transaction, arrangement or relationship in which the Company or any of its subsidiaries was, is or will be a participant, the amount of which involved exceeds $120,000, and in which any related party had, has or will have a direct or indirect material interest. A “related party” means: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is, or at any time during the applicable period was, one of the Company’s executive officers or one of the Company’s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is known by the Company to be the beneficial owner of more than 5% of the Company’s voting securities;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the Company’s voting securities, and any person (other than a domestic employee) sharing the household of such director, executive officer or beneficial owner of more than 5% of the Company’s voting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2023, Legacy Mobix issued a promissory note having a principal balance of $100,000 to Mr. James Peterson, our director. The note, which matured on August 22, 2023, did not bear interest and was unsecured. In connection with the note, Legacy Mobix agreed to issue the purchaser warrants to purchase 292 shares of Legacy Mobix Common Stock at an exercise price of $68.40 per share. The note was assumed in connection with the Closing. We repaid the loan in January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issued four promissory notes in the aggregate principal amount of $1,395,000 to Giuseppe Battaglia, the brother of Fabrizio Battaglia, a former director and our former Chief Executive Officer. The interest rate on the note in the principal amount of $500,000 was 6%, the note in the principal amount of $400,000 was 15%, the note in the principal amount of $165,000 was issued with an original issue discount of 10% and bore interest at 16% per year, and the note in the principal amount of $330,000 was issued with an original issue discount of 10% and bore interest at 16% per year. The proceeds for such loans were used for working capital purposes. We repaid all four notes in full, and no longer remain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entered into indemnification agreements with each of its directors and executive officers. The indemnification agreements provide that Mobix Labs will indemnify each of its directors and executive officers against any and all expenses incurred by that director or executive officer because of his or her status as a director or officer of Mobix Labs, to the fullest extent permitted by Delaware law, the Charter and the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of Mobix Labs contains a provision limiting the liability of directors and certain officers of Mobix Labs for monetary damages for breach of fiduciary duty, and the Bylaws provide that Mobix Labs will indemnify each of its present and former directors and officers in those capacities or for serving other business enterprises at its request, to the fullest extent permitted under Delaware law. In addition, the Bylaws provide that, to the fullest extent permitted by Delaware law, Mobix Labs will advance all expenses incurred by its present and former directors and officers in connection with a legal proceeding involving his or her status as a director or officer of Mobix Labs, except that present directors or officers shall undertake to repay such advances if it is ultimately determined that such person is not entitled to indemnification.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Guarantees of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2023, Legacy Mobix borrowed $150,000 from an unrelated finance company, which loan is secured by substantially all assets of Legacy Mobix and is guaranteed by Keyvan Samini, the President, Chief Financial Officer and a director of Mobix Labs. The loan matured in November 2024 and was repaid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2024, a subsidiary of Mobix borrowed $200,000 from an unrelated finance company, which loan is guaranteed by Keyvan Samini, the President, Chief Financial Officer and a director of Mobix Labs. The loan matures in June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August 15, 2025, Philip Sansone, our Chief Executive Officer and director, and Keyvan Samini, the President, Chief Financial Officer and a director, both personally guaranteed the Maxim loan to us with a principal amount of $600,000.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2023, Chavant entered into a subscription agreement with Michael Long, who was appointed as a director of Mobix Labs on January 22, 2024, pursuant to which Mr. Long agreed to purchase, in a private placement that closed substantially concurrently with the Closing, 30,000 shares of Class A Common Stock at a price of $100.00 per share for an aggregate purchase price of $3,000,000, on the terms and subject to the conditions set forth in the subscription agreement. Mobix Labs registered for resale the shares received by Mr. Long pursuant to the subscription agreement and upon exercise of the warrant. Pursuant to the subscription agreement, Mobix Labs agreed to issue additional shares of Class A Common Stock to Mr. Long in the event that the Adjustment Period VWAP during the Adjustment Period is less than $100.00 per share. In such case, Mr. Long was entitled to receive a number of shares of Make-Whole Shares equal to the product of (x) the number of shares of Class A Common Stock issued to him at the closing of the subscription and held by him through the end of the Adjustment Period multiplied by (y) a fraction, (A) the numerator of which is $100.00 minus the Adjustment Period VWAP and (B) the denominator of which is the Adjustment Period VWAP. In the event that the Adjustment Period VWAP is less than $70.00, the Adjustment Period VWAP will be deemed to be $70.00. On November 4, 2024, Mr. Long received 12,857 Make-Whole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subscription agreement, Legacy Mobix issued to Mr. Long a warrant to purchase 10,000 shares of Mobix Labs Stock at an exercise price of $0.10 per share, exercisable upon the closing of the subscription agreement. The warrant was exercised at the closing of the subscription agreement and, following net settlement into 9,990 shares of Mobix Labs Stock, converted into 9,990 shares of Class A Common Stock in connection with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Pre-Merger Related Party Transactions of Chavant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and as contemplated by the Business Combination Agreement, the Company and certain holders entered into the Amended and Restated Registration Rights and Lock-Up Agreement, dated December 21, 2023 (the “Amended and Restated Registration Rights and Lock-Up Agreement”), pursuant to which, among other things, the Company is obligated to file a registration statement to register the resale of certain securities of Mobix Labs held by certain holders, including all the members of the Board other than Michael Long, and to use reasonable best efforts to cause the registration statement to become effective as soon as reasonably practical after the initial filing of the registration statement. This registration statement was filed on June 6, 2024. The Amended and Restated Registration Rights and Lock-Up Agreement also provides certain holders with “piggy-back” registration rights, subject to certain requirements and customary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Amended and Restated Registration Rights and Lock-Up Agreement further provides the Founder Equityholders and Legacy Mobix Holders shall not transfer their Common Stock until (a) with respect to 50% of such shares, for a period ending on the earlier of the one-year anniversary of the Closing and the date on which the VWAP of the Class A Common Stock equals or exceeds $120.00 per share (as adjusted for stock splits, stock capitalizations, reorganizations, recapitalizations and the like) for any 20 trading days within a 30-trading day period following the Closing or (b) with respect to the remaining 50% of such shares, for a period ending on the earlier of the one-year anniversary of the Closing and the date on which the VWAP of the Class A Common Stock equals or exceeds $150.00 per share (as adjusted for stock splits, stock capitalizations, reorganizations, recapitalizations and the like) for any 20 trading days within a 30-trading day period following the Closing. The restriction on transfers contained in the Amended and Restated Registration Rights and Lock-Up Agreement expired on December 23, 2024.</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Chavant Capital Partners LLC (the “Sponsor”) $10,000 per month for office space, and secretarial and administrative services provided to members of the Company’s management team prior to the Closing. Upon completion of the Merger, the Company ceased paying these monthly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2023 and 2022, the Company incurred expenses of $90,000 and $90,000 under the administrative services agreement, respectively, of which $150,000 and $80,000 were included in accrued expenses as of September 30, 2023 and December 31, 2022,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2023, the Company issued an unsecured convertible promissory note in the aggregate principal amount of $300,000 to the Sponsor, under which the Company was permitted to draw down non-interest bearing loans which are made by the Sponsor or an affiliate of the Sponsor, or certain of the Company’s officers and directors to Chavant (the “Working Capital Loans”) from time to time prior to the maturity date up to such aggregate principal amount. The Company drew down the full amount of the Working Capital Loans under such promissory note. As of September 30, 2023, the Company had drawn down $1,150,000 under the Working Capital Loans. The Chairman of the Board of Chavant, Dr. Auberton-Hervé, and/or STAR SCI, an entity affiliated with him, and another existing investor in the Sponsor and/or persons affiliated with such investor provided the funds to the Sponsor for the foregoing Working Capital Loans. On June 22, 2023, the Company issued an unsecured non-convertible promissory note in the aggregate principal amount of up to $500,000 to its Sponsor under which the Company was permitted to draw down Working Capital Loans from time to time prior to the maturity date up to such aggregate principal amount. As of the Closing, the Company had drawn down the full amount of the Working Capital Loans under such promissory note. The Chairman of the Board of Chavant and/or STAR SCI and the Chief Executive Officer of Chavant, Dr. Ma, and/or Chavant Family Office, an entity affiliated with her, provided the funds to the Sponsor for the Working Capital Loans under this unsecured non-convertible promissory note. On November 30, 2023, the Company issued an unsecured non-convertible promissory note in the aggregate principal amount of up to $325,000 to its Sponsor under which the Company was permitted to draw down Working Capital Loans from time to time prior to the maturity date up to such aggregate principal amount. As of the Closing, the Company had drawn down approximately $150,000 of Working Capital Loans under such promissory note. The Chairman of the Board of Chavant and/or STAR SCI, the Chief Executive Officer of Chavant and/or Chavant Family Office and another investor in the Sponsor and/or persons affiliated with such investor provided the funds to the Sponsor for the foregoing Working Capital Loans under such promissory note. As of the Closing, the Company had drawn down an aggregate of approximately $1,800,000 of Working Capital Loans under the promissory notes issued to the Sponsor, of which an aggregate amount of $1,418,000 was provided to the Sponsor by Dr. Auberton-Hervé and/or STAR SCI and an aggregate amount of $140,000 was provided to the Sponsor by Dr. Ma and/or Chavant Family Office. The outstanding Working Capital Loans were paid to the Sponsor through the issuance of shares of Class A Common Stock to the Sponsor pursuant to the Sponsor PIPE Subscription Agreement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2024, and 2023, the Company, as borrower, issued two promissory notes in the aggregate principal amount of $565,000 to Giuseppe Battaglia, the brother of Fabrizio Battaglia, a former director and the former Chief Executive Officer of the Company. The interest rate on the note in the principal amount of $400,000 was 15%, and the note in the principal amount of $165,000 was issued with an original issue discount of 10% and bore interest at 16% per year. The proceeds for such loans were used for working capital purposes. The Company repaid in full both notes in December 2023 and July 2024, and neither of the notes remains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as borrower, issued a third promissory note in a principal amount of $330,000 to Giuseppe Battaglia. The note was issued with an original issue discount of 10% and has a maturity date of November 16, 2024. The note bore interest at a rate of 16% per year. The Company repaid the note in full in April 2025 and the note is no longer outstanding.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Sage Hill PIPE Subscription Agreement and Sage Hill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Chavant entered into a subscription agreement with Sage Hill Investors, LLC (“Sage Hill”) (the “Sage Hill PIPE Subscription Agreement”), pursuant to which Sage Hill agreed to purchase, in a private placement that closed substantially concurrently with the Closing, 150,000 shares of Class A Common Stock in cash at a price of $100.00 per share for an aggregate purchase price of $15,000,000, on the terms and subject to the conditions set forth in the Sage Hill PIPE Subscription Agreement. Pursuant to the Sage Hill Subscription Agreement, Chavant agreed to issue additional shares of Class A Common Stock to Sage Hill in the event that the volume weighted average price per share of the Class A Common Stock during the 30-day period (the “Adjustment Period”) commencing on the date that is 30 days after the date on which the resale registration statement was declared effective (the “Adjustment Period VWAP”) is less than $100.00 per share. In such case, Sage Hill will be entitled to receive a number of shares of Class A Common Stock equal to the product of (x) the number of shares of Class A Common Stock issued to Sage Hill at the closing of the subscription and held by Sage Hill through the end of the Adjustment Period multiplied by (y) a fraction, (A) the numerator of which is $100.00 minus the Adjustment Period VWAP and (B) the denominator of which is the Adjustment Period VWAP (the “Make-Whole Shares”). Such condition was satisfied on August 30, 2024 and 64,285 Make-Whole Shares were delivered on November 4,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Sage Hill PIPE Subscription Agreement, Mobix Labs issued to Sage Hill a warrant to purchase 150,000 shares of Mobix Labs Stock at an exercise price of $0.10 per share, exercisable upon the closing of the Sage Hill PIPE Subscription Agreement and stockholder approval (the “Sage Hill Warrant”). Stockholders approved the exercise of the Sage Hill Warrant at the special meeting held on January 3, 2025 and was exercised on February 25,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 PIPE Subscription Agreement, Sponsor Warrant and Sponsor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2023, Chavant entered into the subscription agreement (the “Sponsor PIPE Subscription Agreement”) with the Sponsor pursuant to which the Sponsor agreed to purchase, in a private placement that closed substantially concurrently with the Closing, 19,973 shares of Class A Common Stock at a price of $100.00 per share for an aggregate purchase price of $1,997,370 paid through the forgiveness of the Forgiven Chavant Obligations (as defined below), on the terms and subject to the conditions set forth in the Sponsor PIPE Subscription Agreement and the Sponsor Letter Agreement described below. Pursuant to the Sponsor PIPE Subscription Agreement, Chavant agreed to issue additional shares of Class A Common Stock to the Sponsor or its permitted transferees in the event that the Adjustment Period VWAP during the Adjustment Period is less than $100.00 per share. In such case, the Sponsor or its permitted transferees will be entitled to receive a number of shares of Class A Common Stock equal to the product of (x) the number of shares of Class A Common Stock issued to the Sponsor at the closing of the subscription and held by the Sponsor or its permitted transferees through the end of the Adjustment Period multiplied by (y) a fraction, (A) the numerator of which is $100.00 minus the Adjustment Period VWAP and (B) the denominator of which is the Adjustment Period VWAP (the “Make-Whole Shares”). Such condition was satisfied on August 30, 2024 and 1,294 Make-Whole Shares were delivered on November 4,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Sponsor PIPE Subscription Agreement, Legacy Mobix issued to the Sponsor a warrant to purchase 27,245 shares of Mobix Labs Stock at an exercise price of $0.10 per share, exercisable upon the closing of the Sponsor PIPE Subscription Agreement (the “Sponsor Warrant”). The Sponsor Warrant was exercised at the closing of the Sponsor PIPE Subscription Agreement and, following net settlement into 27,218 shares of Mobix Labs Stock, converted into 27,218 shares of Class A Common Stock of the Company in connection with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also entered into a Sponsor Letter Agreement with the Sponsor (the “Sponsor Letter Agreement”). Pursuant to the Sponsor Letter Agreement, as consideration for the 19,973 shares issued pursuant to the Sponsor PIPE Subscription Agreement, the Sponsor agreed to forgive, effective upon the Closing, approximately $1,997,370 of aggregate outstanding obligations of Chavant owed to the Sponsor, consisting of (i) $1,150,000 aggregate principal amount of working capital loans outstanding under Chavant’s convertible promissory notes issued to the Sponsor, (ii) $610,000 aggregate principal amount of working capital loans outstanding under Chavant’s non-convertible promissory notes issued to the Sponsor (the accrued interest under which was forgiven), (iii) an estimated additional $40,000 in aggregate principal amount of working capital loans incurred to pay additional expenses in connection with the Closing, (iv) approximately $165,000 of outstanding reimbursement obligations owed to the Sponsor by Chavant for administrative services, as described above and (v) approximately $32,370 of reimbursement obligations owed to Dr. Jiong Ma, the Chief Executive Officer of Chavant, by Chavant for certain operating expenses of Chavant paid by Dr. Ma (collectively, the “Forgiven Chavant Obligations”).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Sponsor Letter Agreement, the Sponsor agreed to forfeit (1) 65,863 Founder Shares that it held (“Sponsor Forfeited Founder Shares”) and (2) 40,000 Private Placement Warrants that it held (“Sponsor Forfeited Private Placement Warrants”), in each case upon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forfeiture of the Sponsor Forfeited Founder Shares reduced the number of Founder Shares held by the Sponsor, which are subject to the lock-up agreement applicable to the Founder Equityholders as set forth in the Amended and Restated Registration Rights and Lock-Up Agreement (the “Founder Share Lock-Up”), to 92,218 Founder Shares. The Sponsor expects to distribute these Founder Shares to its members in April 2024. In such distributions, (1) Chavant Family Office, a controlled affiliate of Dr. Ma, Chavant’s Chief Executive Officer, is expected to receive (i) 72,460 shares of Class A Common Stock representing Founder Shares, and (2) STAR SCI, a controlled affiliate of Dr. André-Jacques Auberton-Hervé, Chavant’s Chairman, is expected to receive (i) 19,758 shares of Class A Common Stock representing Founder Shares. The forfeiture of the Sponsor Forfeited Private Placement Warrants reduced the number of Private Placement Warrants held by the Sponsor to 239,433 Private Placement Warrants. None of the Private Placement Warrants are subject to the Founder Share Lock-Up, and the Sponsor distributed these Private Placement Warrants to its members following the Closing. In such distribution, (ii) Chavant Family Office, a controlled affiliate of Dr. Ma, received 124,155 Private Placement Warrants, and (ii) STAR SCI, a controlled affiliate of Dr. Auberton-Hervé, received 35,832 Private Placement Warrants. In addition, the shares of Class A Common Stock the Sponsor received upon the Closing pursuant to the Sponsor PIPE Subscription Agreement and the conversion of the Sponsor Warrant, as described above, are not subject to the Founder Share Lock-Up. The Sponsor distributed those shares to its members. In such distribution, (1) Chavant Family Office, a controlled affiliate of Dr. Ma, received approximately 7,139 shares of Class A Common Stock (reflecting $140,000 of non-convertible debt that Dr. Ma had funded to the Sponsor in respect of working capital loans to Chavant, Dr. Ma’s pro rata share in the amount of approximately $130,000 of the outstanding reimbursement obligations owed to the Sponsor for administrative services, and the outstanding reimbursement obligations of $32,370 owed to Dr. Ma, as described above, each forgiven pursuant to the Sponsor Letter Agreement) and (2) STAR SCI, a controlled affiliate of Dr. Auberton-Hervé, received approximately 34,338 shares of Class A Common Stock (reflecting $1.4 million of convertible and non-convertible debt that Dr. Auberton-Hervé had funded to the Sponsor in respect of working capital loans to Chavant and Dr. Auberton-Hervé’s pro rata share of the outstanding reimbursement obligations owed to the Sponsor for administrative services, each forgiven pursuant to the Sponsor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entered into amendments to certain outstanding warrants to purchase an aggregate of 1,337,549 shares of the Company’s Class A Common Stock held by the Master Fund (the “Armistice Warrants”). The amendments revise certain terms of the Armistice Warrants so that, under applicable accounting guidance, the Armistice Warrants are classified as equity rather than liabilities on the Company’s balance sheet. As part of these amendments, the Company issued an additional warrant to purchase 100,000 shares of Class A Common Stock. No cash consideration was paid or received in connection with these amendments.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4" w:name="sq_009"/>
      <w:bookmarkEnd w:id="44"/>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shares or interests therein: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members, partners, stockholders or other equity holders of the Selling Stockholders;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the Selling Stockholders to sell a specified number of such shares at a stipulated price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of the common stock offered by them will be the purchase price of the common stock less discounts or commissions, if any. The Selling Stockholders reserve the right to accept and, together with their agents from time to time, to reject, in whole or in part, any proposed purchase of common stock to be made directly or through agents. We will not receive any of the proceeds from this offering.</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The Selling Stockholders may be deemed an “underwriter” within the meaning of Section 2(a)(11) of the Securities Act will be subject to the prospectus delivery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We have agreed to indemnify the Selling Stockholders against liabilities, including liabilities under the Securities Act and state securities laws, relating to the registration of the shares offered by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the requirement for the Company to be in compliance with the current public information requirement under Rule 144 under the Securities Act or any other rule of similar effect.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i w:val="false"/>
          <w:caps/>
          <w:sz w:val="20"/>
        </w:rPr>
      </w:pPr>
      <w:bookmarkStart w:id="45" w:name="sq_010"/>
      <w:bookmarkEnd w:id="45"/>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P.A. has passed upon the validity of the Class A Common Stock offered by this prospectus and certain other legal matters related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46" w:name="sq_011"/>
      <w:bookmarkEnd w:id="46"/>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Mobix Labs, Inc. as of September 30, 2025 and September 30, 2024 and for the years then ended included in this prospectus have been so included in reliance on the report (which contains an explanatory paragraph relating to Mobix Labs, Inc.’s ability to continue as a going concern as described in Note 1 to the financial statements) of PricewaterhouseCoopers LLP,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47" w:name="sq_012"/>
      <w:bookmarkEnd w:id="47"/>
      <w:r>
        <w:rPr>
          <w:rFonts w:ascii="Times New Roman;Times;Serif" w:hAnsi="Times New Roman;Times;Serif"/>
          <w:b/>
          <w:i w:val="false"/>
          <w:caps/>
          <w:sz w:val="20"/>
        </w:rPr>
        <w:t>WHERE YOU CAN FIND ADDITIONAL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(including any amendments and supplements thereto) under the Securities Act with respect to the shares of Class A Common Stock offered hereby. This prospectus does not contain all of the information set forth in the registration statement and the exhibits and schedules thereto. For further information with respect to the Company, the Class A Common Stock, reference is made to the registration statement and the exhibits and any schedules filed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from which interested persons can electronically access the registration statement, including the exhibits and any schedules thereto and which contains the periodic reports, proxy and information statements and other information that we file electronically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w:t>
      </w:r>
      <w:r>
        <w:rPr>
          <w:rFonts w:ascii="Times New Roman;Times;Serif" w:hAnsi="Times New Roman;Times;Serif"/>
          <w:b w:val="false"/>
          <w:i/>
          <w:caps w:val="false"/>
          <w:smallCaps w:val="false"/>
          <w:sz w:val="20"/>
        </w:rPr>
        <w:t>https://www.investors.mobixlabs.com</w:t>
      </w:r>
      <w:r>
        <w:rPr>
          <w:rFonts w:ascii="Times New Roman;Times;Serif" w:hAnsi="Times New Roman;Times;Serif"/>
          <w:b w:val="false"/>
          <w:i w:val="false"/>
          <w:caps w:val="false"/>
          <w:smallCaps w:val="false"/>
          <w:sz w:val="20"/>
        </w:rPr>
        <w:t>,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ind w:left="0" w:right="0" w:hanging="0"/>
        <w:jc w:val="center"/>
        <w:rPr>
          <w:rFonts w:ascii="Times New Roman;Times;Serif" w:hAnsi="Times New Roman;Times;Serif"/>
          <w:b/>
          <w:i w:val="false"/>
          <w:caps w:val="false"/>
          <w:smallCaps w:val="false"/>
          <w:sz w:val="20"/>
        </w:rPr>
      </w:pPr>
      <w:bookmarkStart w:id="48" w:name="f_1"/>
      <w:bookmarkEnd w:id="48"/>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shd w:fill="FFFFFF" w:val="clear"/>
            <w:vAlign w:val="center"/>
          </w:tcPr>
          <w:p>
            <w:pPr>
              <w:pStyle w:val="TableContents"/>
              <w:bidi w:val="0"/>
              <w:spacing w:before="0" w:after="283"/>
              <w:jc w:val="left"/>
              <w:rPr>
                <w:sz w:val="4"/>
                <w:szCs w:val="4"/>
              </w:rPr>
            </w:pPr>
            <w:r>
              <w:rPr>
                <w:sz w:val="4"/>
                <w:szCs w:val="4"/>
              </w:rPr>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CONSOLIDATED INTERIM UNAUDITED FINANCIAL STATEMENTS</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FFFF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Condensed Consolidated Balance Sheets as of March 31, 2026 and September 30, 2025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750" w:type="dxa"/>
            <w:tcBorders/>
            <w:shd w:fill="CCEE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Condensed Consolidated Statements of Operations and Comprehensive Loss for the three months and six months ended March 31, 2026 and 2025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750" w:type="dxa"/>
            <w:tcBorders/>
            <w:shd w:fill="FFFFFF" w:val="clear"/>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Condensed Consolidated Statements of Stockholders’ Equity (Deficit) for the three months and six months ended March 31, 2026 and 2025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50" w:type="dxa"/>
            <w:tcBorders/>
            <w:shd w:fill="CCEEFF" w:val="clear"/>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rPr>
                <w:t>Condensed Consolidated Statements of Cash Flows for the six months ended March 31, 2026 and 2025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50" w:type="dxa"/>
            <w:tcBorders/>
            <w:shd w:fill="FFFFFF" w:val="clear"/>
            <w:vAlign w:val="center"/>
          </w:tcPr>
          <w:p>
            <w:pPr>
              <w:pStyle w:val="TableContents"/>
              <w:bidi w:val="0"/>
              <w:spacing w:before="0" w:after="283"/>
              <w:jc w:val="both"/>
              <w:rPr/>
            </w:pPr>
            <w:hyperlink w:anchor="a_019">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 CONSOLIDATED FINANCIAL STATEMENTS</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FFFFFF" w:val="clear"/>
            <w:vAlign w:val="center"/>
          </w:tcPr>
          <w:p>
            <w:pPr>
              <w:pStyle w:val="TableContents"/>
              <w:bidi w:val="0"/>
              <w:spacing w:before="0" w:after="283"/>
              <w:jc w:val="left"/>
              <w:rPr/>
            </w:pPr>
            <w:hyperlink w:anchor="sd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 PCAOB ID: 238</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F-21</w:t>
            </w:r>
          </w:p>
        </w:tc>
      </w:tr>
      <w:tr>
        <w:trPr/>
        <w:tc>
          <w:tcPr>
            <w:tcW w:w="9750" w:type="dxa"/>
            <w:tcBorders/>
            <w:shd w:fill="CCEEFF" w:val="clear"/>
            <w:vAlign w:val="center"/>
          </w:tcPr>
          <w:p>
            <w:pPr>
              <w:pStyle w:val="TableContents"/>
              <w:bidi w:val="0"/>
              <w:spacing w:before="0" w:after="283"/>
              <w:jc w:val="left"/>
              <w:rPr/>
            </w:pPr>
            <w:hyperlink w:anchor="sd_002">
              <w:r>
                <w:rPr>
                  <w:rStyle w:val="InternetLink"/>
                  <w:rFonts w:ascii="Times New Roman;Times;Serif" w:hAnsi="Times New Roman;Times;Serif"/>
                  <w:b w:val="false"/>
                  <w:i w:val="false"/>
                  <w:caps w:val="false"/>
                  <w:smallCaps w:val="false"/>
                  <w:sz w:val="20"/>
                </w:rPr>
                <w:t>Consolidated Balance Sheets as of September 30, 2025 and 2024</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F-22</w:t>
            </w:r>
          </w:p>
        </w:tc>
      </w:tr>
      <w:tr>
        <w:trPr/>
        <w:tc>
          <w:tcPr>
            <w:tcW w:w="9750" w:type="dxa"/>
            <w:tcBorders/>
            <w:shd w:fill="FFFFFF" w:val="clear"/>
            <w:vAlign w:val="center"/>
          </w:tcPr>
          <w:p>
            <w:pPr>
              <w:pStyle w:val="TableContents"/>
              <w:bidi w:val="0"/>
              <w:spacing w:before="0" w:after="283"/>
              <w:jc w:val="left"/>
              <w:rPr/>
            </w:pPr>
            <w:hyperlink w:anchor="sd_003">
              <w:r>
                <w:rPr>
                  <w:rStyle w:val="InternetLink"/>
                  <w:rFonts w:ascii="Times New Roman;Times;Serif" w:hAnsi="Times New Roman;Times;Serif"/>
                  <w:b w:val="false"/>
                  <w:i w:val="false"/>
                  <w:caps w:val="false"/>
                  <w:smallCaps w:val="false"/>
                  <w:sz w:val="20"/>
                </w:rPr>
                <w:t>Consolidated Statements of Operations and Comprehensive Loss for the years ended September 30, 2025 and 2024</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F-23</w:t>
            </w:r>
          </w:p>
        </w:tc>
      </w:tr>
      <w:tr>
        <w:trPr/>
        <w:tc>
          <w:tcPr>
            <w:tcW w:w="9750" w:type="dxa"/>
            <w:tcBorders/>
            <w:shd w:fill="CCEEFF" w:val="clear"/>
            <w:vAlign w:val="center"/>
          </w:tcPr>
          <w:p>
            <w:pPr>
              <w:pStyle w:val="TableContents"/>
              <w:bidi w:val="0"/>
              <w:spacing w:before="0" w:after="283"/>
              <w:jc w:val="left"/>
              <w:rPr/>
            </w:pPr>
            <w:hyperlink w:anchor="sd_004">
              <w:r>
                <w:rPr>
                  <w:rStyle w:val="InternetLink"/>
                  <w:rFonts w:ascii="Times New Roman;Times;Serif" w:hAnsi="Times New Roman;Times;Serif"/>
                  <w:b w:val="false"/>
                  <w:i w:val="false"/>
                  <w:caps w:val="false"/>
                  <w:smallCaps w:val="false"/>
                  <w:sz w:val="20"/>
                </w:rPr>
                <w:t>Consolidated Statements of Redeemable Convertible Preferred Stock and Stockholders’ Equity (Deficit) for the years ended September 30, 2025 and 2024</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F-24</w:t>
            </w:r>
          </w:p>
        </w:tc>
      </w:tr>
      <w:tr>
        <w:trPr/>
        <w:tc>
          <w:tcPr>
            <w:tcW w:w="9750" w:type="dxa"/>
            <w:tcBorders/>
            <w:shd w:fill="FFFFFF" w:val="clear"/>
            <w:vAlign w:val="center"/>
          </w:tcPr>
          <w:p>
            <w:pPr>
              <w:pStyle w:val="TableContents"/>
              <w:bidi w:val="0"/>
              <w:spacing w:before="0" w:after="283"/>
              <w:jc w:val="left"/>
              <w:rPr/>
            </w:pPr>
            <w:hyperlink w:anchor="sd_005">
              <w:r>
                <w:rPr>
                  <w:rStyle w:val="InternetLink"/>
                  <w:rFonts w:ascii="Times New Roman;Times;Serif" w:hAnsi="Times New Roman;Times;Serif"/>
                  <w:b w:val="false"/>
                  <w:i w:val="false"/>
                  <w:caps w:val="false"/>
                  <w:smallCaps w:val="false"/>
                  <w:sz w:val="20"/>
                </w:rPr>
                <w:t>Consolidated Statements of Cash Flows for the years ended September 30, 2025 and 2024</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F-25</w:t>
            </w:r>
          </w:p>
        </w:tc>
      </w:tr>
      <w:tr>
        <w:trPr/>
        <w:tc>
          <w:tcPr>
            <w:tcW w:w="9750" w:type="dxa"/>
            <w:tcBorders/>
            <w:shd w:fill="CCEEFF" w:val="clear"/>
            <w:vAlign w:val="center"/>
          </w:tcPr>
          <w:p>
            <w:pPr>
              <w:pStyle w:val="TableContents"/>
              <w:bidi w:val="0"/>
              <w:spacing w:before="0" w:after="283"/>
              <w:jc w:val="left"/>
              <w:rPr/>
            </w:pPr>
            <w:hyperlink w:anchor="sd_006">
              <w:r>
                <w:rPr>
                  <w:rStyle w:val="InternetLink"/>
                  <w:rFonts w:ascii="Times New Roman;Times;Serif" w:hAnsi="Times New Roman;Times;Serif"/>
                  <w:b w:val="false"/>
                  <w:i w:val="false"/>
                  <w:caps w:val="false"/>
                  <w:smallCaps w:val="false"/>
                  <w:sz w:val="20"/>
                </w:rPr>
                <w:t>Notes to Consolidated 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F-26</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9" w:name="a_015"/>
      <w:bookmarkEnd w:id="49"/>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0" w:name="xdx_309_111_pn3n3_zP9mpPkxVNv3"/>
      <w:bookmarkStart w:id="51" w:name="xdx_309_111_pn3n3_zP9mpPkxVNv3"/>
      <w:bookmarkEnd w:id="51"/>
    </w:p>
    <w:tbl>
      <w:tblPr>
        <w:tblW w:w="10205" w:type="dxa"/>
        <w:jc w:val="left"/>
        <w:tblInd w:w="0" w:type="dxa"/>
        <w:tblLayout w:type="fixed"/>
        <w:tblCellMar>
          <w:top w:w="0" w:type="dxa"/>
          <w:left w:w="0" w:type="dxa"/>
          <w:bottom w:w="0" w:type="dxa"/>
          <w:right w:w="0" w:type="dxa"/>
        </w:tblCellMar>
      </w:tblPr>
      <w:tblGrid>
        <w:gridCol w:w="7609"/>
        <w:gridCol w:w="60"/>
        <w:gridCol w:w="142"/>
        <w:gridCol w:w="891"/>
        <w:gridCol w:w="95"/>
        <w:gridCol w:w="60"/>
        <w:gridCol w:w="169"/>
        <w:gridCol w:w="1067"/>
        <w:gridCol w:w="112"/>
      </w:tblGrid>
      <w:tr>
        <w:trPr/>
        <w:tc>
          <w:tcPr>
            <w:tcW w:w="76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 w:name="xdx_49A_20260331_zJ83sckoNWUj"/>
            <w:bookmarkEnd w:id="52"/>
          </w:p>
        </w:tc>
        <w:tc>
          <w:tcPr>
            <w:tcW w:w="1033"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 w:name="xdx_49F_20250930_zllAdyYfytm2"/>
            <w:bookmarkEnd w:id="53"/>
          </w:p>
        </w:tc>
        <w:tc>
          <w:tcPr>
            <w:tcW w:w="1236"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September 30,</w:t>
            </w:r>
          </w:p>
        </w:tc>
        <w:tc>
          <w:tcPr>
            <w:tcW w:w="112" w:type="dxa"/>
            <w:tcBorders/>
            <w:vAlign w:val="center"/>
          </w:tcPr>
          <w:p>
            <w:pPr>
              <w:pStyle w:val="TableContents"/>
              <w:bidi w:val="0"/>
              <w:spacing w:before="0" w:after="283"/>
              <w:jc w:val="left"/>
              <w:rPr/>
            </w:pPr>
            <w:r>
              <w:rPr/>
              <w:t> </w:t>
            </w:r>
          </w:p>
        </w:tc>
      </w:tr>
      <w:tr>
        <w:trPr/>
        <w:tc>
          <w:tcPr>
            <w:tcW w:w="76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2" w:type="dxa"/>
            <w:tcBorders/>
            <w:vAlign w:val="center"/>
          </w:tcPr>
          <w:p>
            <w:pPr>
              <w:pStyle w:val="TableContents"/>
              <w:bidi w:val="0"/>
              <w:spacing w:before="0" w:after="283"/>
              <w:jc w:val="left"/>
              <w:rPr/>
            </w:pPr>
            <w:r>
              <w:rPr/>
              <w:t> </w:t>
            </w:r>
            <w:bookmarkStart w:id="54" w:name="xdx_408_eus-gaap--AssetsAbstract_iB_zKcf"/>
            <w:bookmarkEnd w:id="54"/>
          </w:p>
        </w:tc>
      </w:tr>
      <w:tr>
        <w:trPr/>
        <w:tc>
          <w:tcPr>
            <w:tcW w:w="7609"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5" w:name="xdx_40A_eus-gaap--AssetsCurrentAbstract_"/>
            <w:bookmarkEnd w:id="55"/>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6" w:name="xdx_40C_eus-gaap--Cash_i02I_maCzcIO_zzF1"/>
            <w:bookmarkEnd w:id="56"/>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3,273</w:t>
            </w:r>
          </w:p>
        </w:tc>
        <w:tc>
          <w:tcPr>
            <w:tcW w:w="112" w:type="dxa"/>
            <w:tcBorders/>
            <w:shd w:fill="CCEEFF" w:val="clear"/>
            <w:vAlign w:val="center"/>
          </w:tcPr>
          <w:p>
            <w:pPr>
              <w:pStyle w:val="TableContents"/>
              <w:bidi w:val="0"/>
              <w:spacing w:before="0" w:after="283"/>
              <w:jc w:val="left"/>
              <w:rPr/>
            </w:pPr>
            <w:r>
              <w:rPr/>
              <w:t> </w:t>
            </w:r>
            <w:bookmarkStart w:id="57" w:name="xdx_404_eus-gaap--AccountsReceivableNetC"/>
            <w:bookmarkEnd w:id="57"/>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1,414</w:t>
            </w:r>
          </w:p>
        </w:tc>
        <w:tc>
          <w:tcPr>
            <w:tcW w:w="112" w:type="dxa"/>
            <w:tcBorders/>
            <w:shd w:fill="FFFFFF" w:val="clear"/>
            <w:vAlign w:val="center"/>
          </w:tcPr>
          <w:p>
            <w:pPr>
              <w:pStyle w:val="TableContents"/>
              <w:bidi w:val="0"/>
              <w:spacing w:before="0" w:after="283"/>
              <w:jc w:val="left"/>
              <w:rPr/>
            </w:pPr>
            <w:r>
              <w:rPr/>
              <w:t> </w:t>
            </w:r>
            <w:bookmarkStart w:id="58" w:name="xdx_402_eus-gaap--InventoryNet_i02I_maCz"/>
            <w:bookmarkEnd w:id="58"/>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1,435</w:t>
            </w:r>
          </w:p>
        </w:tc>
        <w:tc>
          <w:tcPr>
            <w:tcW w:w="112" w:type="dxa"/>
            <w:tcBorders/>
            <w:shd w:fill="CCEEFF" w:val="clear"/>
            <w:vAlign w:val="center"/>
          </w:tcPr>
          <w:p>
            <w:pPr>
              <w:pStyle w:val="TableContents"/>
              <w:bidi w:val="0"/>
              <w:spacing w:before="0" w:after="283"/>
              <w:jc w:val="left"/>
              <w:rPr/>
            </w:pPr>
            <w:r>
              <w:rPr/>
              <w:t> </w:t>
            </w:r>
            <w:bookmarkStart w:id="59" w:name="xdx_401_eus-gaap--PrepaidExpenseAndOther"/>
            <w:bookmarkEnd w:id="59"/>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w:t>
            </w:r>
          </w:p>
        </w:tc>
        <w:tc>
          <w:tcPr>
            <w:tcW w:w="112" w:type="dxa"/>
            <w:tcBorders/>
            <w:shd w:fill="FFFFFF" w:val="clear"/>
            <w:vAlign w:val="center"/>
          </w:tcPr>
          <w:p>
            <w:pPr>
              <w:pStyle w:val="TableContents"/>
              <w:bidi w:val="0"/>
              <w:spacing w:before="0" w:after="283"/>
              <w:jc w:val="left"/>
              <w:rPr/>
            </w:pPr>
            <w:r>
              <w:rPr/>
              <w:t> </w:t>
            </w:r>
            <w:bookmarkStart w:id="60" w:name="xdx_407_eus-gaap--AssetsCurrent_i02TI_mt"/>
            <w:bookmarkEnd w:id="60"/>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6,715</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1" w:name="xdx_408_eus-gaap--PropertyPlantAndEquipm"/>
            <w:bookmarkEnd w:id="61"/>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112" w:type="dxa"/>
            <w:tcBorders/>
            <w:shd w:fill="CCEEFF" w:val="clear"/>
            <w:vAlign w:val="center"/>
          </w:tcPr>
          <w:p>
            <w:pPr>
              <w:pStyle w:val="TableContents"/>
              <w:bidi w:val="0"/>
              <w:spacing w:before="0" w:after="283"/>
              <w:jc w:val="left"/>
              <w:rPr/>
            </w:pPr>
            <w:r>
              <w:rPr/>
              <w:t> </w:t>
            </w:r>
            <w:bookmarkStart w:id="62" w:name="xdx_40F_eus-gaap--IntangibleAssetsNetExc"/>
            <w:bookmarkEnd w:id="62"/>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13,519</w:t>
            </w:r>
          </w:p>
        </w:tc>
        <w:tc>
          <w:tcPr>
            <w:tcW w:w="112" w:type="dxa"/>
            <w:tcBorders/>
            <w:shd w:fill="FFFFFF" w:val="clear"/>
            <w:vAlign w:val="center"/>
          </w:tcPr>
          <w:p>
            <w:pPr>
              <w:pStyle w:val="TableContents"/>
              <w:bidi w:val="0"/>
              <w:spacing w:before="0" w:after="283"/>
              <w:jc w:val="left"/>
              <w:rPr/>
            </w:pPr>
            <w:r>
              <w:rPr/>
              <w:t> </w:t>
            </w:r>
            <w:bookmarkStart w:id="63" w:name="xdx_403_eus-gaap--Goodwill_i01I_maCzfdq_"/>
            <w:bookmarkEnd w:id="63"/>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16,066</w:t>
            </w:r>
          </w:p>
        </w:tc>
        <w:tc>
          <w:tcPr>
            <w:tcW w:w="112" w:type="dxa"/>
            <w:tcBorders/>
            <w:shd w:fill="CCEEFF" w:val="clear"/>
            <w:vAlign w:val="center"/>
          </w:tcPr>
          <w:p>
            <w:pPr>
              <w:pStyle w:val="TableContents"/>
              <w:bidi w:val="0"/>
              <w:spacing w:before="0" w:after="283"/>
              <w:jc w:val="left"/>
              <w:rPr/>
            </w:pPr>
            <w:r>
              <w:rPr/>
              <w:t> </w:t>
            </w:r>
            <w:bookmarkStart w:id="64" w:name="xdx_406_eus-gaap--OperatingLeaseRightOfU"/>
            <w:bookmarkEnd w:id="64"/>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w:t>
            </w:r>
          </w:p>
        </w:tc>
        <w:tc>
          <w:tcPr>
            <w:tcW w:w="112" w:type="dxa"/>
            <w:tcBorders/>
            <w:shd w:fill="FFFFFF" w:val="clear"/>
            <w:vAlign w:val="center"/>
          </w:tcPr>
          <w:p>
            <w:pPr>
              <w:pStyle w:val="TableContents"/>
              <w:bidi w:val="0"/>
              <w:spacing w:before="0" w:after="283"/>
              <w:jc w:val="left"/>
              <w:rPr/>
            </w:pPr>
            <w:r>
              <w:rPr/>
              <w:t> </w:t>
            </w:r>
            <w:bookmarkStart w:id="65" w:name="xdx_400_eus-gaap--OtherAssetsNoncurrent_"/>
            <w:bookmarkEnd w:id="65"/>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w:t>
            </w:r>
          </w:p>
        </w:tc>
        <w:tc>
          <w:tcPr>
            <w:tcW w:w="112" w:type="dxa"/>
            <w:tcBorders/>
            <w:shd w:fill="CCEEFF" w:val="clear"/>
            <w:vAlign w:val="center"/>
          </w:tcPr>
          <w:p>
            <w:pPr>
              <w:pStyle w:val="TableContents"/>
              <w:bidi w:val="0"/>
              <w:spacing w:before="0" w:after="283"/>
              <w:jc w:val="left"/>
              <w:rPr/>
            </w:pPr>
            <w:r>
              <w:rPr/>
              <w:t> </w:t>
            </w:r>
            <w:bookmarkStart w:id="66" w:name="xdx_40A_eus-gaap--Assets_i01TI_mtCzfdq_z"/>
            <w:bookmarkEnd w:id="66"/>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37,113</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7" w:name="xdx_404_eus-gaap--LiabilitiesAndStockhol"/>
            <w:bookmarkEnd w:id="67"/>
          </w:p>
        </w:tc>
      </w:tr>
      <w:tr>
        <w:trPr/>
        <w:tc>
          <w:tcPr>
            <w:tcW w:w="7609"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8" w:name="xdx_400_eus-gaap--LiabilitiesCurrentAbst"/>
            <w:bookmarkEnd w:id="68"/>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9" w:name="xdx_406_eus-gaap--AccountsPayableCurrent"/>
            <w:bookmarkEnd w:id="69"/>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8,981</w:t>
            </w:r>
          </w:p>
        </w:tc>
        <w:tc>
          <w:tcPr>
            <w:tcW w:w="112" w:type="dxa"/>
            <w:tcBorders/>
            <w:shd w:fill="FFFFFF" w:val="clear"/>
            <w:vAlign w:val="center"/>
          </w:tcPr>
          <w:p>
            <w:pPr>
              <w:pStyle w:val="TableContents"/>
              <w:bidi w:val="0"/>
              <w:spacing w:before="0" w:after="283"/>
              <w:jc w:val="left"/>
              <w:rPr/>
            </w:pPr>
            <w:r>
              <w:rPr/>
              <w:t> </w:t>
            </w:r>
            <w:bookmarkStart w:id="70" w:name="xdx_401_eus-gaap--AccruedLiabilitiesCurr"/>
            <w:bookmarkEnd w:id="70"/>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11,122</w:t>
            </w:r>
          </w:p>
        </w:tc>
        <w:tc>
          <w:tcPr>
            <w:tcW w:w="112" w:type="dxa"/>
            <w:tcBorders/>
            <w:shd w:fill="CCEEFF" w:val="clear"/>
            <w:vAlign w:val="center"/>
          </w:tcPr>
          <w:p>
            <w:pPr>
              <w:pStyle w:val="TableContents"/>
              <w:bidi w:val="0"/>
              <w:spacing w:before="0" w:after="283"/>
              <w:jc w:val="left"/>
              <w:rPr/>
            </w:pPr>
            <w:r>
              <w:rPr/>
              <w:t> </w:t>
            </w:r>
            <w:bookmarkStart w:id="71" w:name="xdx_405_ecustom--DeferredPurchaseConside"/>
            <w:bookmarkEnd w:id="71"/>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purchase consideration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2,323</w:t>
            </w:r>
          </w:p>
        </w:tc>
        <w:tc>
          <w:tcPr>
            <w:tcW w:w="112" w:type="dxa"/>
            <w:tcBorders/>
            <w:shd w:fill="FFFFFF" w:val="clear"/>
            <w:vAlign w:val="center"/>
          </w:tcPr>
          <w:p>
            <w:pPr>
              <w:pStyle w:val="TableContents"/>
              <w:bidi w:val="0"/>
              <w:spacing w:before="0" w:after="283"/>
              <w:jc w:val="left"/>
              <w:rPr/>
            </w:pPr>
            <w:r>
              <w:rPr/>
              <w:t> </w:t>
            </w:r>
            <w:bookmarkStart w:id="72" w:name="xdx_403_eus-gaap--NotesPayableCurrent_i0"/>
            <w:bookmarkEnd w:id="72"/>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current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3,934</w:t>
            </w:r>
          </w:p>
        </w:tc>
        <w:tc>
          <w:tcPr>
            <w:tcW w:w="112" w:type="dxa"/>
            <w:tcBorders/>
            <w:shd w:fill="CCEEFF" w:val="clear"/>
            <w:vAlign w:val="center"/>
          </w:tcPr>
          <w:p>
            <w:pPr>
              <w:pStyle w:val="TableContents"/>
              <w:bidi w:val="0"/>
              <w:spacing w:before="0" w:after="283"/>
              <w:jc w:val="left"/>
              <w:rPr/>
            </w:pPr>
            <w:r>
              <w:rPr/>
              <w:t> </w:t>
            </w:r>
            <w:bookmarkStart w:id="73" w:name="xdx_405_eus-gaap--NotesPayableCurrent_i0"/>
            <w:bookmarkEnd w:id="73"/>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 related parties, current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1,152</w:t>
            </w:r>
          </w:p>
        </w:tc>
        <w:tc>
          <w:tcPr>
            <w:tcW w:w="112" w:type="dxa"/>
            <w:tcBorders/>
            <w:shd w:fill="FFFFFF" w:val="clear"/>
            <w:vAlign w:val="center"/>
          </w:tcPr>
          <w:p>
            <w:pPr>
              <w:pStyle w:val="TableContents"/>
              <w:bidi w:val="0"/>
              <w:spacing w:before="0" w:after="283"/>
              <w:jc w:val="left"/>
              <w:rPr/>
            </w:pPr>
            <w:r>
              <w:rPr/>
              <w:t> </w:t>
            </w:r>
            <w:bookmarkStart w:id="74" w:name="xdx_402_eus-gaap--NotesPayableCurrent_i0"/>
            <w:bookmarkEnd w:id="74"/>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current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1,152</w:t>
            </w:r>
          </w:p>
        </w:tc>
        <w:tc>
          <w:tcPr>
            <w:tcW w:w="112" w:type="dxa"/>
            <w:tcBorders/>
            <w:shd w:fill="FFFFFF" w:val="clear"/>
            <w:vAlign w:val="center"/>
          </w:tcPr>
          <w:p>
            <w:pPr>
              <w:pStyle w:val="TableContents"/>
              <w:bidi w:val="0"/>
              <w:spacing w:before="0" w:after="283"/>
              <w:jc w:val="left"/>
              <w:rPr/>
            </w:pPr>
            <w:r>
              <w:rPr/>
              <w:t> </w:t>
            </w:r>
            <w:bookmarkStart w:id="75" w:name="xdx_403_eus-gaap--OperatingLeaseLiabilit"/>
            <w:bookmarkEnd w:id="75"/>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w:t>
            </w:r>
          </w:p>
        </w:tc>
        <w:tc>
          <w:tcPr>
            <w:tcW w:w="112" w:type="dxa"/>
            <w:tcBorders/>
            <w:shd w:fill="CCEEFF" w:val="clear"/>
            <w:vAlign w:val="center"/>
          </w:tcPr>
          <w:p>
            <w:pPr>
              <w:pStyle w:val="TableContents"/>
              <w:bidi w:val="0"/>
              <w:spacing w:before="0" w:after="283"/>
              <w:jc w:val="left"/>
              <w:rPr/>
            </w:pPr>
            <w:r>
              <w:rPr/>
              <w:t> </w:t>
            </w:r>
            <w:bookmarkStart w:id="76" w:name="xdx_406_eus-gaap--LiabilitiesCurrent_i02"/>
            <w:bookmarkEnd w:id="76"/>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27,786</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77" w:name="xdx_409_eus-gaap--LongTermNotesPayable_i"/>
            <w:bookmarkEnd w:id="77"/>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noncurrent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78" w:name="xdx_40D_eus-gaap--LongTermNotesPayable_i"/>
            <w:bookmarkEnd w:id="78"/>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 related parties, noncurrent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1,099</w:t>
            </w:r>
          </w:p>
        </w:tc>
        <w:tc>
          <w:tcPr>
            <w:tcW w:w="112" w:type="dxa"/>
            <w:tcBorders/>
            <w:shd w:fill="CCEEFF" w:val="clear"/>
            <w:vAlign w:val="center"/>
          </w:tcPr>
          <w:p>
            <w:pPr>
              <w:pStyle w:val="TableContents"/>
              <w:bidi w:val="0"/>
              <w:spacing w:before="0" w:after="283"/>
              <w:jc w:val="left"/>
              <w:rPr/>
            </w:pPr>
            <w:r>
              <w:rPr/>
              <w:t> </w:t>
            </w:r>
            <w:bookmarkStart w:id="79" w:name="xdx_400_eus-gaap--LongTermNotesPayable_i"/>
            <w:bookmarkEnd w:id="79"/>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noncurrent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1,099</w:t>
            </w:r>
          </w:p>
        </w:tc>
        <w:tc>
          <w:tcPr>
            <w:tcW w:w="112" w:type="dxa"/>
            <w:tcBorders/>
            <w:shd w:fill="CCEEFF" w:val="clear"/>
            <w:vAlign w:val="center"/>
          </w:tcPr>
          <w:p>
            <w:pPr>
              <w:pStyle w:val="TableContents"/>
              <w:bidi w:val="0"/>
              <w:spacing w:before="0" w:after="283"/>
              <w:jc w:val="left"/>
              <w:rPr/>
            </w:pPr>
            <w:r>
              <w:rPr/>
              <w:t> </w:t>
            </w:r>
            <w:bookmarkStart w:id="80" w:name="xdx_40F_ecustom--EarnoutLiability_i01I_m"/>
            <w:bookmarkEnd w:id="80"/>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1,240</w:t>
            </w:r>
          </w:p>
        </w:tc>
        <w:tc>
          <w:tcPr>
            <w:tcW w:w="112" w:type="dxa"/>
            <w:tcBorders/>
            <w:shd w:fill="FFFFFF" w:val="clear"/>
            <w:vAlign w:val="center"/>
          </w:tcPr>
          <w:p>
            <w:pPr>
              <w:pStyle w:val="TableContents"/>
              <w:bidi w:val="0"/>
              <w:spacing w:before="0" w:after="283"/>
              <w:jc w:val="left"/>
              <w:rPr/>
            </w:pPr>
            <w:r>
              <w:rPr/>
              <w:t> </w:t>
            </w:r>
            <w:bookmarkStart w:id="81" w:name="xdx_40B_eus-gaap--DeferredIncomeTaxLiabi"/>
            <w:bookmarkEnd w:id="81"/>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w:t>
            </w:r>
          </w:p>
        </w:tc>
        <w:tc>
          <w:tcPr>
            <w:tcW w:w="112" w:type="dxa"/>
            <w:tcBorders/>
            <w:shd w:fill="CCEEFF" w:val="clear"/>
            <w:vAlign w:val="center"/>
          </w:tcPr>
          <w:p>
            <w:pPr>
              <w:pStyle w:val="TableContents"/>
              <w:bidi w:val="0"/>
              <w:spacing w:before="0" w:after="283"/>
              <w:jc w:val="left"/>
              <w:rPr/>
            </w:pPr>
            <w:r>
              <w:rPr/>
              <w:t> </w:t>
            </w:r>
            <w:bookmarkStart w:id="82" w:name="xdx_400_eus-gaap--OperatingLeaseLiabilit"/>
            <w:bookmarkEnd w:id="82"/>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w:t>
            </w:r>
          </w:p>
        </w:tc>
        <w:tc>
          <w:tcPr>
            <w:tcW w:w="112" w:type="dxa"/>
            <w:tcBorders/>
            <w:shd w:fill="FFFFFF" w:val="clear"/>
            <w:vAlign w:val="center"/>
          </w:tcPr>
          <w:p>
            <w:pPr>
              <w:pStyle w:val="TableContents"/>
              <w:bidi w:val="0"/>
              <w:spacing w:before="0" w:after="283"/>
              <w:jc w:val="left"/>
              <w:rPr/>
            </w:pPr>
            <w:r>
              <w:rPr/>
              <w:t> </w:t>
            </w:r>
            <w:bookmarkStart w:id="83" w:name="xdx_40E_ecustom--WarrantLiabilityNoncurr"/>
            <w:bookmarkEnd w:id="83"/>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Liability-classified warrants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6,859</w:t>
            </w:r>
          </w:p>
        </w:tc>
        <w:tc>
          <w:tcPr>
            <w:tcW w:w="112" w:type="dxa"/>
            <w:tcBorders/>
            <w:shd w:fill="CCEEFF" w:val="clear"/>
            <w:vAlign w:val="center"/>
          </w:tcPr>
          <w:p>
            <w:pPr>
              <w:pStyle w:val="TableContents"/>
              <w:bidi w:val="0"/>
              <w:spacing w:before="0" w:after="283"/>
              <w:jc w:val="left"/>
              <w:rPr/>
            </w:pPr>
            <w:r>
              <w:rPr/>
              <w:t> </w:t>
            </w:r>
            <w:bookmarkStart w:id="84" w:name="xdx_40F_eus-gaap--OtherLiabilitiesNoncur"/>
            <w:bookmarkEnd w:id="84"/>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112" w:type="dxa"/>
            <w:tcBorders/>
            <w:shd w:fill="FFFFFF" w:val="clear"/>
            <w:vAlign w:val="center"/>
          </w:tcPr>
          <w:p>
            <w:pPr>
              <w:pStyle w:val="TableContents"/>
              <w:bidi w:val="0"/>
              <w:spacing w:before="0" w:after="283"/>
              <w:jc w:val="left"/>
              <w:rPr/>
            </w:pPr>
            <w:r>
              <w:rPr/>
              <w:t> </w:t>
            </w:r>
            <w:bookmarkStart w:id="85" w:name="xdx_400_eus-gaap--Liabilities_i01TI_mtLz"/>
            <w:bookmarkEnd w:id="85"/>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37,449</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86" w:name="xdx_40A_eus-gaap--CommitmentsAndContinge"/>
            <w:bookmarkEnd w:id="86"/>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87" w:name="xdx_407_eus-gaap--TemporaryEquityAbstrac"/>
            <w:bookmarkEnd w:id="87"/>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 (deficit)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88" w:name="xdx_405_eus-gaap--CommonStockValue_i02I_"/>
            <w:bookmarkEnd w:id="88"/>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 $</w:t>
            </w:r>
            <w:bookmarkStart w:id="89" w:name="xdx_901_eus-gaap--CommonStockParOrStated"/>
            <w:bookmarkStart w:id="90" w:name="xdx_901_eus-gaap--CommonStockParOrStated"/>
            <w:bookmarkEnd w:id="89"/>
            <w:bookmarkEnd w:id="90"/>
            <w:r>
              <w:rPr>
                <w:rFonts w:ascii="Times New Roman;Times;Serif" w:hAnsi="Times New Roman;Times;Serif"/>
              </w:rPr>
              <w:t xml:space="preserve">0.00001 par value, </w:t>
            </w:r>
            <w:bookmarkStart w:id="91" w:name="xdx_909_eus-gaap--CommonStockSharesAutho"/>
            <w:bookmarkStart w:id="92" w:name="xdx_903_eus-gaap--CommonStockSharesAutho"/>
            <w:bookmarkEnd w:id="91"/>
            <w:bookmarkEnd w:id="92"/>
            <w:r>
              <w:rPr>
                <w:rFonts w:ascii="Times New Roman;Times;Serif" w:hAnsi="Times New Roman;Times;Serif"/>
              </w:rPr>
              <w:t xml:space="preserve">285,000,000 shares authorized; </w:t>
            </w:r>
            <w:bookmarkStart w:id="93" w:name="xdx_907_eus-gaap--CommonStockSharesOutst"/>
            <w:bookmarkStart w:id="94" w:name="xdx_909_eus-gaap--CommonStockSharesIssue"/>
            <w:bookmarkEnd w:id="93"/>
            <w:bookmarkEnd w:id="94"/>
            <w:r>
              <w:rPr>
                <w:rFonts w:ascii="Times New Roman;Times;Serif" w:hAnsi="Times New Roman;Times;Serif"/>
              </w:rPr>
              <w:t xml:space="preserve">10,355,525 and </w:t>
            </w:r>
            <w:bookmarkStart w:id="95" w:name="xdx_900_eus-gaap--CommonStockSharesOutst"/>
            <w:bookmarkStart w:id="96" w:name="xdx_903_eus-gaap--CommonStockSharesIssue"/>
            <w:bookmarkEnd w:id="95"/>
            <w:bookmarkEnd w:id="96"/>
            <w:r>
              <w:rPr>
                <w:rFonts w:ascii="Times New Roman;Times;Serif" w:hAnsi="Times New Roman;Times;Serif"/>
              </w:rPr>
              <w:t>5,883,842 shares issued and outstanding at March 31, 2026 and September 30, 2025, respectively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97" w:name="xdx_40C_eus-gaap--CommonStockValue_i02I_"/>
            <w:bookmarkEnd w:id="97"/>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Common Stock, $</w:t>
            </w:r>
            <w:bookmarkStart w:id="98" w:name="xdx_90B_eus-gaap--CommonStockParOrStated"/>
            <w:bookmarkStart w:id="99" w:name="xdx_90F_eus-gaap--CommonStockParOrStated"/>
            <w:bookmarkEnd w:id="98"/>
            <w:bookmarkEnd w:id="99"/>
            <w:r>
              <w:rPr>
                <w:rFonts w:ascii="Times New Roman;Times;Serif" w:hAnsi="Times New Roman;Times;Serif"/>
              </w:rPr>
              <w:t xml:space="preserve">0.00001 par value, </w:t>
            </w:r>
            <w:bookmarkStart w:id="100" w:name="xdx_90F_eus-gaap--CommonStockSharesAutho"/>
            <w:bookmarkStart w:id="101" w:name="xdx_90A_eus-gaap--CommonStockSharesAutho"/>
            <w:bookmarkEnd w:id="100"/>
            <w:bookmarkEnd w:id="101"/>
            <w:r>
              <w:rPr>
                <w:rFonts w:ascii="Times New Roman;Times;Serif" w:hAnsi="Times New Roman;Times;Serif"/>
              </w:rPr>
              <w:t xml:space="preserve">5,000,000 shares authorized; </w:t>
            </w:r>
            <w:bookmarkStart w:id="102" w:name="xdx_90F_eus-gaap--CommonStockSharesOutst"/>
            <w:bookmarkStart w:id="103" w:name="xdx_90F_eus-gaap--CommonStockSharesIssue"/>
            <w:bookmarkStart w:id="104" w:name="xdx_904_eus-gaap--CommonStockSharesOutst"/>
            <w:bookmarkStart w:id="105" w:name="xdx_901_eus-gaap--CommonStockSharesIssue"/>
            <w:bookmarkEnd w:id="102"/>
            <w:bookmarkEnd w:id="103"/>
            <w:bookmarkEnd w:id="104"/>
            <w:bookmarkEnd w:id="105"/>
            <w:r>
              <w:rPr>
                <w:rFonts w:ascii="Times New Roman;Times;Serif" w:hAnsi="Times New Roman;Times;Serif"/>
              </w:rPr>
              <w:t>200,491 shares issued and outstanding at March 31, 2026 and September 30, 2025</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06" w:name="xdx_40D_eus-gaap--CommonStockValue_i02I_"/>
            <w:bookmarkEnd w:id="106"/>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value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07" w:name="xdx_400_eus-gaap--AdditionalPaidInCapita"/>
            <w:bookmarkEnd w:id="107"/>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150,252</w:t>
            </w:r>
          </w:p>
        </w:tc>
        <w:tc>
          <w:tcPr>
            <w:tcW w:w="112" w:type="dxa"/>
            <w:tcBorders/>
            <w:shd w:fill="FFFFFF" w:val="clear"/>
            <w:vAlign w:val="center"/>
          </w:tcPr>
          <w:p>
            <w:pPr>
              <w:pStyle w:val="TableContents"/>
              <w:bidi w:val="0"/>
              <w:spacing w:before="0" w:after="283"/>
              <w:jc w:val="left"/>
              <w:rPr/>
            </w:pPr>
            <w:r>
              <w:rPr/>
              <w:t> </w:t>
            </w:r>
            <w:bookmarkStart w:id="108" w:name="xdx_408_eus-gaap--RetainedEarningsAccumu"/>
            <w:bookmarkEnd w:id="108"/>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(166,566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(150,588</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9" w:name="xdx_403_eus-gaap--StockholdersEquity_i02"/>
            <w:bookmarkEnd w:id="109"/>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0" w:name="xdx_40C_eus-gaap--LiabilitiesAndStockhol"/>
            <w:bookmarkEnd w:id="110"/>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37,113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1" w:name="a_016"/>
      <w:bookmarkEnd w:id="111"/>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2" w:name="xdx_302_113_pn3n3_zPn0O4cvsR1g"/>
      <w:bookmarkStart w:id="113" w:name="xdx_302_113_pn3n3_zPn0O4cvsR1g"/>
      <w:bookmarkEnd w:id="113"/>
    </w:p>
    <w:tbl>
      <w:tblPr>
        <w:tblW w:w="10205" w:type="dxa"/>
        <w:jc w:val="left"/>
        <w:tblInd w:w="0" w:type="dxa"/>
        <w:tblLayout w:type="fixed"/>
        <w:tblCellMar>
          <w:top w:w="0" w:type="dxa"/>
          <w:left w:w="0" w:type="dxa"/>
          <w:bottom w:w="0" w:type="dxa"/>
          <w:right w:w="0" w:type="dxa"/>
        </w:tblCellMar>
      </w:tblPr>
      <w:tblGrid>
        <w:gridCol w:w="5090"/>
        <w:gridCol w:w="60"/>
        <w:gridCol w:w="140"/>
        <w:gridCol w:w="980"/>
        <w:gridCol w:w="95"/>
        <w:gridCol w:w="60"/>
        <w:gridCol w:w="140"/>
        <w:gridCol w:w="980"/>
        <w:gridCol w:w="95"/>
        <w:gridCol w:w="60"/>
        <w:gridCol w:w="140"/>
        <w:gridCol w:w="980"/>
        <w:gridCol w:w="95"/>
        <w:gridCol w:w="60"/>
        <w:gridCol w:w="140"/>
        <w:gridCol w:w="980"/>
        <w:gridCol w:w="110"/>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 w:name="xdx_496_20260101__20260331_zFddL7d2Uu56"/>
            <w:bookmarkEnd w:id="114"/>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 w:name="xdx_49A_20250101__20250331_zkrGXFR7fNDb"/>
            <w:bookmarkEnd w:id="115"/>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 w:name="xdx_493_20251001__20260331_z5fv9xnNhtr7"/>
            <w:bookmarkEnd w:id="116"/>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7" w:name="xdx_49E_20241001__20250331_zQdknDj830X7"/>
            <w:bookmarkEnd w:id="117"/>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18" w:name="xdx_40C_eus-gaap--RevenuesAbstract_iB_zG"/>
            <w:bookmarkEnd w:id="118"/>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9" w:name="xdx_40B_eus-gaap--RevenueFromContractWit"/>
            <w:bookmarkEnd w:id="119"/>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3,408</w:t>
            </w:r>
          </w:p>
        </w:tc>
        <w:tc>
          <w:tcPr>
            <w:tcW w:w="110" w:type="dxa"/>
            <w:tcBorders/>
            <w:shd w:fill="FFFFFF" w:val="clear"/>
            <w:vAlign w:val="center"/>
          </w:tcPr>
          <w:p>
            <w:pPr>
              <w:pStyle w:val="TableContents"/>
              <w:bidi w:val="0"/>
              <w:spacing w:before="0" w:after="283"/>
              <w:jc w:val="left"/>
              <w:rPr/>
            </w:pPr>
            <w:r>
              <w:rPr/>
              <w:t> </w:t>
            </w:r>
            <w:bookmarkStart w:id="120" w:name="xdx_40A_eus-gaap--RevenueFromContractWit"/>
            <w:bookmarkEnd w:id="120"/>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2,272</w:t>
            </w:r>
          </w:p>
        </w:tc>
        <w:tc>
          <w:tcPr>
            <w:tcW w:w="110" w:type="dxa"/>
            <w:tcBorders/>
            <w:shd w:fill="CCEEFF" w:val="clear"/>
            <w:vAlign w:val="center"/>
          </w:tcPr>
          <w:p>
            <w:pPr>
              <w:pStyle w:val="TableContents"/>
              <w:bidi w:val="0"/>
              <w:spacing w:before="0" w:after="283"/>
              <w:jc w:val="left"/>
              <w:rPr/>
            </w:pPr>
            <w:r>
              <w:rPr/>
              <w:t> </w:t>
            </w:r>
            <w:bookmarkStart w:id="121" w:name="xdx_402_eus-gaap--RevenueFromContractWit"/>
            <w:bookmarkEnd w:id="121"/>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5,680</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2" w:name="xdx_400_eus-gaap--CostOfRevenueAbstract_"/>
            <w:bookmarkEnd w:id="122"/>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 w:name="xdx_403_eus-gaap--CostOfRevenue_i01_hsrt"/>
            <w:bookmarkEnd w:id="123"/>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2,257</w:t>
            </w:r>
          </w:p>
        </w:tc>
        <w:tc>
          <w:tcPr>
            <w:tcW w:w="110" w:type="dxa"/>
            <w:tcBorders/>
            <w:shd w:fill="CCEEFF" w:val="clear"/>
            <w:vAlign w:val="center"/>
          </w:tcPr>
          <w:p>
            <w:pPr>
              <w:pStyle w:val="TableContents"/>
              <w:bidi w:val="0"/>
              <w:spacing w:before="0" w:after="283"/>
              <w:jc w:val="left"/>
              <w:rPr/>
            </w:pPr>
            <w:r>
              <w:rPr/>
              <w:t> </w:t>
            </w:r>
            <w:bookmarkStart w:id="124" w:name="xdx_40C_eus-gaap--CostOfRevenue_i01_hsrt"/>
            <w:bookmarkEnd w:id="124"/>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110" w:type="dxa"/>
            <w:tcBorders/>
            <w:shd w:fill="FFFFFF" w:val="clear"/>
            <w:vAlign w:val="center"/>
          </w:tcPr>
          <w:p>
            <w:pPr>
              <w:pStyle w:val="TableContents"/>
              <w:bidi w:val="0"/>
              <w:spacing w:before="0" w:after="283"/>
              <w:jc w:val="left"/>
              <w:rPr/>
            </w:pPr>
            <w:r>
              <w:rPr/>
              <w:t> </w:t>
            </w:r>
            <w:bookmarkStart w:id="125" w:name="xdx_40F_eus-gaap--CostOfRevenue_i01_msGP"/>
            <w:bookmarkEnd w:id="125"/>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2,973</w:t>
            </w:r>
          </w:p>
        </w:tc>
        <w:tc>
          <w:tcPr>
            <w:tcW w:w="110" w:type="dxa"/>
            <w:tcBorders/>
            <w:shd w:fill="CCEEFF" w:val="clear"/>
            <w:vAlign w:val="center"/>
          </w:tcPr>
          <w:p>
            <w:pPr>
              <w:pStyle w:val="TableContents"/>
              <w:bidi w:val="0"/>
              <w:spacing w:before="0" w:after="283"/>
              <w:jc w:val="left"/>
              <w:rPr/>
            </w:pPr>
            <w:r>
              <w:rPr/>
              <w:t> </w:t>
            </w:r>
            <w:bookmarkStart w:id="126" w:name="xdx_401_eus-gaap--GrossProfit_i01T_maCzj"/>
            <w:bookmarkEnd w:id="126"/>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2,707</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7" w:name="xdx_404_eus-gaap--OperatingExpensesAbstr"/>
            <w:bookmarkEnd w:id="127"/>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8" w:name="xdx_408_eus-gaap--ResearchAndDevelopment"/>
            <w:bookmarkEnd w:id="128"/>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1,330</w:t>
            </w:r>
          </w:p>
        </w:tc>
        <w:tc>
          <w:tcPr>
            <w:tcW w:w="110" w:type="dxa"/>
            <w:tcBorders/>
            <w:shd w:fill="CCEEFF" w:val="clear"/>
            <w:vAlign w:val="center"/>
          </w:tcPr>
          <w:p>
            <w:pPr>
              <w:pStyle w:val="TableContents"/>
              <w:bidi w:val="0"/>
              <w:spacing w:before="0" w:after="283"/>
              <w:jc w:val="left"/>
              <w:rPr/>
            </w:pPr>
            <w:r>
              <w:rPr/>
              <w:t> </w:t>
            </w:r>
            <w:bookmarkStart w:id="129" w:name="xdx_40B_eus-gaap--SellingGeneralAndAdmin"/>
            <w:bookmarkEnd w:id="129"/>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23,835</w:t>
            </w:r>
          </w:p>
        </w:tc>
        <w:tc>
          <w:tcPr>
            <w:tcW w:w="110" w:type="dxa"/>
            <w:tcBorders/>
            <w:shd w:fill="FFFFFF" w:val="clear"/>
            <w:vAlign w:val="center"/>
          </w:tcPr>
          <w:p>
            <w:pPr>
              <w:pStyle w:val="TableContents"/>
              <w:bidi w:val="0"/>
              <w:spacing w:before="0" w:after="283"/>
              <w:jc w:val="left"/>
              <w:rPr/>
            </w:pPr>
            <w:r>
              <w:rPr/>
              <w:t> </w:t>
            </w:r>
            <w:bookmarkStart w:id="130" w:name="xdx_40C_eus-gaap--ImpairmentOfLongLivedA"/>
            <w:bookmarkEnd w:id="130"/>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1" w:name="xdx_409_eus-gaap--OperatingIncomeLoss_i0"/>
            <w:bookmarkEnd w:id="131"/>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(14,924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(22,458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2" w:name="xdx_406_eus-gaap--InterestExpenseNonoper"/>
            <w:bookmarkEnd w:id="132"/>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w:t>
            </w:r>
          </w:p>
        </w:tc>
        <w:tc>
          <w:tcPr>
            <w:tcW w:w="110" w:type="dxa"/>
            <w:tcBorders/>
            <w:shd w:fill="CCEEFF" w:val="clear"/>
            <w:vAlign w:val="center"/>
          </w:tcPr>
          <w:p>
            <w:pPr>
              <w:pStyle w:val="TableContents"/>
              <w:bidi w:val="0"/>
              <w:spacing w:before="0" w:after="283"/>
              <w:jc w:val="left"/>
              <w:rPr/>
            </w:pPr>
            <w:r>
              <w:rPr/>
              <w:t> </w:t>
            </w:r>
            <w:bookmarkStart w:id="133" w:name="xdx_406_ecustom--ChangeInFairValueOfEarn"/>
            <w:bookmarkEnd w:id="133"/>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4" w:name="xdx_404_eus-gaap--FairValueAdjustmentOfW"/>
            <w:bookmarkEnd w:id="134"/>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5" w:name="xdx_40B_ecustom--ChangeInFairValueOfPIPE"/>
            <w:bookmarkEnd w:id="135"/>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PIPE make-whole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6" w:name="xdx_40C_eus-gaap--NoncashMergerRelatedCo"/>
            <w:bookmarkEnd w:id="136"/>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Merger-related transaction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7" w:name="xdx_404_ecustom--FinancingCostsExpensed_"/>
            <w:bookmarkEnd w:id="137"/>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8" w:name="xdx_404_eus-gaap--OtherNonoperatingGains"/>
            <w:bookmarkEnd w:id="138"/>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non-operating (gains) losses,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c>
          <w:tcPr>
            <w:tcW w:w="110" w:type="dxa"/>
            <w:tcBorders/>
            <w:shd w:fill="FFFFFF" w:val="clear"/>
            <w:vAlign w:val="center"/>
          </w:tcPr>
          <w:p>
            <w:pPr>
              <w:pStyle w:val="TableContents"/>
              <w:bidi w:val="0"/>
              <w:spacing w:before="0" w:after="283"/>
              <w:jc w:val="left"/>
              <w:rPr/>
            </w:pPr>
            <w:r>
              <w:rPr/>
              <w:t> </w:t>
            </w:r>
            <w:bookmarkStart w:id="139" w:name="xdx_40D_eus-gaap--IncomeLossFromContinui"/>
            <w:bookmarkEnd w:id="139"/>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(15,999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(22,137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0" w:name="xdx_408_eus-gaap--IncomeTaxExpenseBenefi"/>
            <w:bookmarkEnd w:id="140"/>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1" w:name="xdx_406_eus-gaap--NetIncomeLoss_iT_mtCzW"/>
            <w:bookmarkEnd w:id="141"/>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(15,978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(22,130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2" w:name="xdx_40D_ecustom--DeemedDividendFromWarra"/>
            <w:bookmarkEnd w:id="142"/>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from warrant price adjustment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3" w:name="xdx_400_eus-gaap--NetIncomeLossAvailable"/>
            <w:bookmarkEnd w:id="143"/>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available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4" w:name="xdx_406_eus-gaap--EarningsPerShareBasicA"/>
            <w:bookmarkEnd w:id="144"/>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of Class A and Class B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5" w:name="xdx_40A_eus-gaap--EarningsPerShareBasic_"/>
            <w:bookmarkEnd w:id="145"/>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6" w:name="xdx_40E_eus-gaap--EarningsPerShareDilute"/>
            <w:bookmarkEnd w:id="146"/>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7" w:name="xdx_402_eus-gaap--WeightedAverageNumberO"/>
            <w:bookmarkEnd w:id="147"/>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8" w:name="xdx_409_eus-gaap--WeightedAverageNumberO"/>
            <w:bookmarkEnd w:id="148"/>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9,838,724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4,023,381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8,058,263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3,932,012</w:t>
            </w:r>
          </w:p>
        </w:tc>
        <w:tc>
          <w:tcPr>
            <w:tcW w:w="110" w:type="dxa"/>
            <w:tcBorders/>
            <w:shd w:fill="CCEEFF" w:val="clear"/>
            <w:vAlign w:val="center"/>
          </w:tcPr>
          <w:p>
            <w:pPr>
              <w:pStyle w:val="TableContents"/>
              <w:bidi w:val="0"/>
              <w:spacing w:before="0" w:after="283"/>
              <w:jc w:val="left"/>
              <w:rPr/>
            </w:pPr>
            <w:r>
              <w:rPr/>
              <w:t> </w:t>
            </w:r>
            <w:bookmarkStart w:id="149" w:name="xdx_407_eus-gaap--WeightedAverageNumberO"/>
            <w:bookmarkEnd w:id="149"/>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9,838,724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4,023,381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8,058,263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3,932,012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0" w:name="a_017"/>
      <w:bookmarkEnd w:id="150"/>
      <w:r>
        <w:rPr>
          <w:rFonts w:ascii="Times New Roman;Times;Serif" w:hAnsi="Times New Roman;Times;Serif"/>
          <w:b/>
          <w:i w:val="false"/>
          <w:caps w:val="false"/>
          <w:smallCaps w:val="false"/>
          <w:sz w:val="20"/>
        </w:rPr>
        <w:t>CONDENSED CONSOLIDATED STATEMENTS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1" w:name="xdx_30C_114_pn3n3_zCYZNdAmjrw7"/>
      <w:bookmarkStart w:id="152" w:name="xdx_30C_114_pn3n3_zCYZNdAmjrw7"/>
      <w:bookmarkEnd w:id="152"/>
    </w:p>
    <w:tbl>
      <w:tblPr>
        <w:tblW w:w="10565" w:type="dxa"/>
        <w:jc w:val="left"/>
        <w:tblInd w:w="0" w:type="dxa"/>
        <w:tblLayout w:type="fixed"/>
        <w:tblCellMar>
          <w:top w:w="0" w:type="dxa"/>
          <w:left w:w="0" w:type="dxa"/>
          <w:bottom w:w="0" w:type="dxa"/>
          <w:right w:w="0" w:type="dxa"/>
        </w:tblCellMar>
      </w:tblPr>
      <w:tblGrid>
        <w:gridCol w:w="1520"/>
        <w:gridCol w:w="95"/>
        <w:gridCol w:w="95"/>
        <w:gridCol w:w="95"/>
        <w:gridCol w:w="95"/>
        <w:gridCol w:w="60"/>
        <w:gridCol w:w="60"/>
        <w:gridCol w:w="1100"/>
        <w:gridCol w:w="60"/>
        <w:gridCol w:w="60"/>
        <w:gridCol w:w="301"/>
        <w:gridCol w:w="559"/>
        <w:gridCol w:w="60"/>
        <w:gridCol w:w="60"/>
        <w:gridCol w:w="60"/>
        <w:gridCol w:w="800"/>
        <w:gridCol w:w="95"/>
        <w:gridCol w:w="60"/>
        <w:gridCol w:w="301"/>
        <w:gridCol w:w="559"/>
        <w:gridCol w:w="60"/>
        <w:gridCol w:w="60"/>
        <w:gridCol w:w="163"/>
        <w:gridCol w:w="937"/>
        <w:gridCol w:w="60"/>
        <w:gridCol w:w="60"/>
        <w:gridCol w:w="188"/>
        <w:gridCol w:w="1182"/>
        <w:gridCol w:w="95"/>
        <w:gridCol w:w="60"/>
        <w:gridCol w:w="140"/>
        <w:gridCol w:w="1355"/>
        <w:gridCol w:w="110"/>
      </w:tblGrid>
      <w:tr>
        <w:trPr/>
        <w:tc>
          <w:tcPr>
            <w:tcW w:w="1520" w:type="dxa"/>
            <w:tcBorders/>
            <w:vAlign w:val="center"/>
          </w:tcPr>
          <w:p>
            <w:pPr>
              <w:pStyle w:val="TableContents"/>
              <w:bidi w:val="0"/>
              <w:spacing w:before="0" w:after="283"/>
              <w:jc w:val="center"/>
              <w:rPr/>
            </w:pPr>
            <w:r>
              <w:rPr/>
              <w:t> </w:t>
            </w:r>
            <w:bookmarkStart w:id="153" w:name="xdx_4B3_us-gaap--StatementClassOfStockAx"/>
            <w:bookmarkEnd w:id="153"/>
          </w:p>
        </w:tc>
        <w:tc>
          <w:tcPr>
            <w:tcW w:w="95" w:type="dxa"/>
            <w:tcBorders/>
            <w:vAlign w:val="center"/>
          </w:tcPr>
          <w:p>
            <w:pPr>
              <w:pStyle w:val="TableContents"/>
              <w:bidi w:val="0"/>
              <w:spacing w:before="0" w:after="283"/>
              <w:jc w:val="left"/>
              <w:rPr/>
            </w:pPr>
            <w:r>
              <w:rPr/>
              <w:t> </w:t>
            </w:r>
            <w:bookmarkStart w:id="154" w:name="xdx_4BC_us-gaap--StatementClassOfStockAx"/>
            <w:bookmarkEnd w:id="154"/>
          </w:p>
        </w:tc>
        <w:tc>
          <w:tcPr>
            <w:tcW w:w="95" w:type="dxa"/>
            <w:tcBorders/>
            <w:vAlign w:val="center"/>
          </w:tcPr>
          <w:p>
            <w:pPr>
              <w:pStyle w:val="TableContents"/>
              <w:bidi w:val="0"/>
              <w:spacing w:before="0" w:after="283"/>
              <w:jc w:val="left"/>
              <w:rPr/>
            </w:pPr>
            <w:r>
              <w:rPr/>
              <w:t> </w:t>
            </w:r>
            <w:bookmarkStart w:id="155" w:name="xdx_4BF_us-gaap--StatementClassOfStockAx"/>
            <w:bookmarkEnd w:id="155"/>
          </w:p>
        </w:tc>
        <w:tc>
          <w:tcPr>
            <w:tcW w:w="95" w:type="dxa"/>
            <w:tcBorders/>
            <w:vAlign w:val="center"/>
          </w:tcPr>
          <w:p>
            <w:pPr>
              <w:pStyle w:val="TableContents"/>
              <w:bidi w:val="0"/>
              <w:spacing w:before="0" w:after="283"/>
              <w:jc w:val="left"/>
              <w:rPr/>
            </w:pPr>
            <w:r>
              <w:rPr/>
              <w:t> </w:t>
            </w:r>
            <w:bookmarkStart w:id="156" w:name="xdx_4B7_us-gaap--StatementClassOfStockAx"/>
            <w:bookmarkEnd w:id="156"/>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7" w:name="xdx_4BA_us-gaap--StatementClassOfStockAx"/>
            <w:bookmarkEnd w:id="157"/>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8" w:name="xdx_4BC_us-gaap--StatementClassOfStockAx"/>
            <w:bookmarkEnd w:id="158"/>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9" w:name="xdx_4BE_us-gaap--StatementEquityComponen"/>
            <w:bookmarkEnd w:id="159"/>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0" w:name="xdx_4BF_us-gaap--StatementEquityComponen"/>
            <w:bookmarkEnd w:id="160"/>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1" w:name="xdx_4BB_zE3Bq01ddqGb"/>
            <w:bookmarkEnd w:id="161"/>
          </w:p>
        </w:tc>
        <w:tc>
          <w:tcPr>
            <w:tcW w:w="14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jc w:val="center"/>
              <w:rPr>
                <w:rFonts w:ascii="Times New Roman;Times;Serif" w:hAnsi="Times New Roman;Times;Serif"/>
                <w:b/>
              </w:rPr>
            </w:pPr>
            <w:r>
              <w:rPr>
                <w:rFonts w:ascii="Times New Roman;Times;Serif" w:hAnsi="Times New Roman;Times;Serif"/>
                <w:b/>
              </w:rPr>
              <w:t>Stockholders’</w:t>
            </w:r>
          </w:p>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0" w:type="dxa"/>
            <w:tcBorders/>
            <w:vAlign w:val="center"/>
          </w:tcPr>
          <w:p>
            <w:pPr>
              <w:pStyle w:val="TableContents"/>
              <w:bidi w:val="0"/>
              <w:spacing w:before="0" w:after="283"/>
              <w:jc w:val="left"/>
              <w:rPr/>
            </w:pPr>
            <w:r>
              <w:rPr/>
              <w:t> </w:t>
            </w:r>
            <w:bookmarkStart w:id="162" w:name="xdx_435_c20251001__20251231_eus-gaap--St"/>
            <w:bookmarkEnd w:id="162"/>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September 30, 2025</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3" w:name="xdx_981_eus-gaap--SharesOutstanding_iS_p"/>
            <w:bookmarkEnd w:id="163"/>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5,883,842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4" w:name="xdx_98F_eus-gaap--SharesOutstanding_iS_p"/>
            <w:bookmarkEnd w:id="164"/>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150,252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(150,588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5" w:type="dxa"/>
            <w:tcBorders/>
            <w:shd w:fill="CCEEFF" w:val="clear"/>
            <w:vAlign w:val="center"/>
          </w:tcPr>
          <w:p>
            <w:pPr>
              <w:pStyle w:val="TableContents"/>
              <w:bidi w:val="0"/>
              <w:spacing w:before="0" w:after="283"/>
              <w:jc w:val="right"/>
              <w:rPr/>
            </w:pPr>
            <w:r>
              <w:rPr/>
              <w:t>               </w:t>
            </w:r>
            <w:r>
              <w:rPr>
                <w:rFonts w:ascii="Times New Roman;Times;Serif" w:hAnsi="Times New Roman;Times;Serif"/>
                <w:b/>
              </w:rPr>
              <w:t>(336</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52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5" w:name="xdx_406_eus-gaap--StockIssuedDuringPerio"/>
            <w:bookmarkEnd w:id="165"/>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6" w:name="xdx_981_eus-gaap--StockIssuedDuringPerio"/>
            <w:bookmarkEnd w:id="166"/>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1,523</w:t>
            </w:r>
          </w:p>
        </w:tc>
        <w:tc>
          <w:tcPr>
            <w:tcW w:w="110" w:type="dxa"/>
            <w:tcBorders/>
            <w:shd w:fill="CCEEFF" w:val="clear"/>
            <w:vAlign w:val="center"/>
          </w:tcPr>
          <w:p>
            <w:pPr>
              <w:pStyle w:val="TableContents"/>
              <w:bidi w:val="0"/>
              <w:spacing w:before="0" w:after="283"/>
              <w:jc w:val="left"/>
              <w:rPr/>
            </w:pPr>
            <w:r>
              <w:rPr/>
              <w:t> </w:t>
            </w:r>
            <w:bookmarkStart w:id="167" w:name="xdx_40F_ecustom--StockIssuedDuringPeriod"/>
            <w:bookmarkEnd w:id="167"/>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in settlement of liabilities</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8" w:name="xdx_989_ecustom--StockIssuedDuringPeriod"/>
            <w:bookmarkEnd w:id="168"/>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985</w:t>
            </w:r>
          </w:p>
        </w:tc>
        <w:tc>
          <w:tcPr>
            <w:tcW w:w="110" w:type="dxa"/>
            <w:tcBorders/>
            <w:shd w:fill="FFFFFF" w:val="clear"/>
            <w:vAlign w:val="center"/>
          </w:tcPr>
          <w:p>
            <w:pPr>
              <w:pStyle w:val="TableContents"/>
              <w:bidi w:val="0"/>
              <w:spacing w:before="0" w:after="283"/>
              <w:jc w:val="left"/>
              <w:rPr/>
            </w:pPr>
            <w:r>
              <w:rPr/>
              <w:t> </w:t>
            </w:r>
            <w:bookmarkStart w:id="169" w:name="xdx_407_eus-gaap--StockIssuedDuringPerio"/>
            <w:bookmarkEnd w:id="169"/>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upon vesting of RSUs</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 w:name="xdx_98B_eus-gaap--StockIssuedDuringPerio"/>
            <w:bookmarkEnd w:id="170"/>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71" w:name="xdx_400_eus-gaap--StockIssuedDuringPerio"/>
            <w:bookmarkEnd w:id="171"/>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upon exercise of stock options</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2" w:name="xdx_988_eus-gaap--StockIssuedDuringPerio"/>
            <w:bookmarkEnd w:id="172"/>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110" w:type="dxa"/>
            <w:tcBorders/>
            <w:shd w:fill="FFFFFF" w:val="clear"/>
            <w:vAlign w:val="center"/>
          </w:tcPr>
          <w:p>
            <w:pPr>
              <w:pStyle w:val="TableContents"/>
              <w:bidi w:val="0"/>
              <w:spacing w:before="0" w:after="283"/>
              <w:jc w:val="left"/>
              <w:rPr/>
            </w:pPr>
            <w:r>
              <w:rPr/>
              <w:t> </w:t>
            </w:r>
            <w:bookmarkStart w:id="173" w:name="xdx_402_ecustom--AdjustmentsToAdditional"/>
            <w:bookmarkEnd w:id="173"/>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Reclassification of warrants</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w:t>
            </w:r>
          </w:p>
        </w:tc>
        <w:tc>
          <w:tcPr>
            <w:tcW w:w="110" w:type="dxa"/>
            <w:tcBorders/>
            <w:shd w:fill="CCEEFF" w:val="clear"/>
            <w:vAlign w:val="center"/>
          </w:tcPr>
          <w:p>
            <w:pPr>
              <w:pStyle w:val="TableContents"/>
              <w:bidi w:val="0"/>
              <w:spacing w:before="0" w:after="283"/>
              <w:jc w:val="left"/>
              <w:rPr/>
            </w:pPr>
            <w:r>
              <w:rPr/>
              <w:t> </w:t>
            </w:r>
            <w:bookmarkStart w:id="174" w:name="xdx_40E_eus-gaap--AdjustmentsToAdditiona"/>
            <w:bookmarkEnd w:id="174"/>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warrants</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w:t>
            </w:r>
          </w:p>
        </w:tc>
        <w:tc>
          <w:tcPr>
            <w:tcW w:w="110" w:type="dxa"/>
            <w:tcBorders/>
            <w:shd w:fill="FFFFFF" w:val="clear"/>
            <w:vAlign w:val="center"/>
          </w:tcPr>
          <w:p>
            <w:pPr>
              <w:pStyle w:val="TableContents"/>
              <w:bidi w:val="0"/>
              <w:spacing w:before="0" w:after="283"/>
              <w:jc w:val="left"/>
              <w:rPr/>
            </w:pPr>
            <w:r>
              <w:rPr/>
              <w:t> </w:t>
            </w:r>
            <w:bookmarkStart w:id="175" w:name="xdx_407_eus-gaap--AdjustmentsToAdditiona"/>
            <w:bookmarkEnd w:id="175"/>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5,139</w:t>
            </w:r>
          </w:p>
        </w:tc>
        <w:tc>
          <w:tcPr>
            <w:tcW w:w="110" w:type="dxa"/>
            <w:tcBorders/>
            <w:shd w:fill="CCEEFF" w:val="clear"/>
            <w:vAlign w:val="center"/>
          </w:tcPr>
          <w:p>
            <w:pPr>
              <w:pStyle w:val="TableContents"/>
              <w:bidi w:val="0"/>
              <w:spacing w:before="0" w:after="283"/>
              <w:jc w:val="left"/>
              <w:rPr/>
            </w:pPr>
            <w:r>
              <w:rPr/>
              <w:t> </w:t>
            </w:r>
            <w:bookmarkStart w:id="176" w:name="xdx_40F_eus-gaap--NetIncomeLoss_zloTAWXW"/>
            <w:bookmarkEnd w:id="176"/>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(10,125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7" w:name="xdx_434_c20260101__20260331_eus-gaap--St"/>
            <w:bookmarkEnd w:id="177"/>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2025</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 w:name="xdx_988_eus-gaap--SharesOutstanding_iS_p"/>
            <w:bookmarkEnd w:id="178"/>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6,665,325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 w:name="xdx_98B_eus-gaap--SharesOutstanding_iS_p"/>
            <w:bookmarkEnd w:id="179"/>
          </w:p>
        </w:tc>
        <w:tc>
          <w:tcPr>
            <w:tcW w:w="8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(160,713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4,667</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0" w:name="xdx_406_eus-gaap--StockIssuedDuringPerio"/>
            <w:bookmarkEnd w:id="180"/>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1" w:name="xdx_98C_eus-gaap--StockIssuedDuringPerio"/>
            <w:bookmarkEnd w:id="181"/>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82" w:name="xdx_40F_ecustom--StockIssuedDuringPeriod"/>
            <w:bookmarkEnd w:id="182"/>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in settlement of liabilities</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3" w:name="xdx_98A_ecustom--StockIssuedDuringPeriod"/>
            <w:bookmarkEnd w:id="183"/>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2,218</w:t>
            </w:r>
          </w:p>
        </w:tc>
        <w:tc>
          <w:tcPr>
            <w:tcW w:w="110" w:type="dxa"/>
            <w:tcBorders/>
            <w:shd w:fill="CCEEFF" w:val="clear"/>
            <w:vAlign w:val="center"/>
          </w:tcPr>
          <w:p>
            <w:pPr>
              <w:pStyle w:val="TableContents"/>
              <w:bidi w:val="0"/>
              <w:spacing w:before="0" w:after="283"/>
              <w:jc w:val="left"/>
              <w:rPr/>
            </w:pPr>
            <w:r>
              <w:rPr/>
              <w:t> </w:t>
            </w:r>
            <w:bookmarkStart w:id="184" w:name="xdx_401_eus-gaap--StockRedeemedOrCalledD"/>
            <w:bookmarkEnd w:id="184"/>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in connection with public offering</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5" w:name="xdx_983_eus-gaap--StockRedeemedOrCalledD"/>
            <w:bookmarkEnd w:id="185"/>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5,360</w:t>
            </w:r>
          </w:p>
        </w:tc>
        <w:tc>
          <w:tcPr>
            <w:tcW w:w="110" w:type="dxa"/>
            <w:tcBorders/>
            <w:shd w:fill="FFFFFF" w:val="clear"/>
            <w:vAlign w:val="center"/>
          </w:tcPr>
          <w:p>
            <w:pPr>
              <w:pStyle w:val="TableContents"/>
              <w:bidi w:val="0"/>
              <w:spacing w:before="0" w:after="283"/>
              <w:jc w:val="left"/>
              <w:rPr/>
            </w:pPr>
            <w:r>
              <w:rPr/>
              <w:t> </w:t>
            </w:r>
            <w:bookmarkStart w:id="186" w:name="xdx_400_eus-gaap--StockIssuedDuringPerio"/>
            <w:bookmarkEnd w:id="186"/>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upon vesting of RSUs</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7" w:name="xdx_98D_eus-gaap--StockIssuedDuringPerio"/>
            <w:bookmarkEnd w:id="187"/>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88" w:name="xdx_407_eus-gaap--AdjustmentsToAdditiona"/>
            <w:bookmarkEnd w:id="188"/>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2,453</w:t>
            </w:r>
          </w:p>
        </w:tc>
        <w:tc>
          <w:tcPr>
            <w:tcW w:w="110" w:type="dxa"/>
            <w:tcBorders/>
            <w:shd w:fill="FFFFFF" w:val="clear"/>
            <w:vAlign w:val="center"/>
          </w:tcPr>
          <w:p>
            <w:pPr>
              <w:pStyle w:val="TableContents"/>
              <w:bidi w:val="0"/>
              <w:spacing w:before="0" w:after="283"/>
              <w:jc w:val="left"/>
              <w:rPr/>
            </w:pPr>
            <w:r>
              <w:rPr/>
              <w:t> </w:t>
            </w:r>
            <w:bookmarkStart w:id="189" w:name="xdx_40F_eus-gaap--NetIncomeLoss_zgq1SBhX"/>
            <w:bookmarkEnd w:id="189"/>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2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0" w:name="xdx_434_c20260101__20260331_eus-gaap--St"/>
            <w:bookmarkEnd w:id="190"/>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March 31, 2026</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1" w:name="xdx_98A_eus-gaap--SharesOutstanding_iE_p"/>
            <w:bookmarkEnd w:id="191"/>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10,355,525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2" w:name="xdx_986_eus-gaap--SharesOutstanding_iE_p"/>
            <w:bookmarkEnd w:id="192"/>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175,411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(166,566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8,845</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3" w:name="xdx_435_c20241001__20241231_eus-gaap--St"/>
            <w:bookmarkEnd w:id="193"/>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September 30, 2024</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4" w:name="xdx_983_eus-gaap--SharesOutstanding_iS_p"/>
            <w:bookmarkEnd w:id="194"/>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3,282,423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5" w:name="xdx_987_eus-gaap--SharesOutstanding_iS_p"/>
            <w:bookmarkEnd w:id="195"/>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212,991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109,987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(104,457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5,530</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6" w:name="xdx_406_eus-gaap--StockIssuedDuringPerio"/>
            <w:bookmarkEnd w:id="196"/>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7" w:name="xdx_982_eus-gaap--StockIssuedDuringPerio"/>
            <w:bookmarkEnd w:id="197"/>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640</w:t>
            </w:r>
          </w:p>
        </w:tc>
        <w:tc>
          <w:tcPr>
            <w:tcW w:w="110" w:type="dxa"/>
            <w:tcBorders/>
            <w:shd w:fill="CCEEFF" w:val="clear"/>
            <w:vAlign w:val="center"/>
          </w:tcPr>
          <w:p>
            <w:pPr>
              <w:pStyle w:val="TableContents"/>
              <w:bidi w:val="0"/>
              <w:spacing w:before="0" w:after="283"/>
              <w:jc w:val="left"/>
              <w:rPr/>
            </w:pPr>
            <w:r>
              <w:rPr/>
              <w:t> </w:t>
            </w:r>
            <w:bookmarkStart w:id="198" w:name="xdx_406_eus-gaap--StockIssuedDuringPerio"/>
            <w:bookmarkEnd w:id="198"/>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Class B Common Stock to Class A Common Stock</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9" w:name="xdx_98A_eus-gaap--StockIssuedDuringPerio"/>
            <w:bookmarkEnd w:id="199"/>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0" w:name="xdx_98A_eus-gaap--StockIssuedDuringPerio"/>
            <w:bookmarkEnd w:id="200"/>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1" w:name="xdx_40E_ecustom--StockIssuedDuringPeriod"/>
            <w:bookmarkEnd w:id="201"/>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notes payable to Class A Common Stock</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2" w:name="xdx_98F_ecustom--StockIssuedDuringPeriod"/>
            <w:bookmarkEnd w:id="202"/>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w:t>
            </w:r>
          </w:p>
        </w:tc>
        <w:tc>
          <w:tcPr>
            <w:tcW w:w="110" w:type="dxa"/>
            <w:tcBorders/>
            <w:shd w:fill="CCEEFF" w:val="clear"/>
            <w:vAlign w:val="center"/>
          </w:tcPr>
          <w:p>
            <w:pPr>
              <w:pStyle w:val="TableContents"/>
              <w:bidi w:val="0"/>
              <w:spacing w:before="0" w:after="283"/>
              <w:jc w:val="left"/>
              <w:rPr/>
            </w:pPr>
            <w:r>
              <w:rPr/>
              <w:t> </w:t>
            </w:r>
            <w:bookmarkStart w:id="203" w:name="xdx_403_eus-gaap--StockIssuedDuringPerio"/>
            <w:bookmarkEnd w:id="203"/>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upon vesting of RSUs</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4" w:name="xdx_98C_eus-gaap--StockIssuedDuringPerio"/>
            <w:bookmarkEnd w:id="204"/>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5" w:name="xdx_407_eus-gaap--AdjustmentsToAdditiona"/>
            <w:bookmarkEnd w:id="205"/>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9,802</w:t>
            </w:r>
          </w:p>
        </w:tc>
        <w:tc>
          <w:tcPr>
            <w:tcW w:w="110" w:type="dxa"/>
            <w:tcBorders/>
            <w:shd w:fill="CCEEFF" w:val="clear"/>
            <w:vAlign w:val="center"/>
          </w:tcPr>
          <w:p>
            <w:pPr>
              <w:pStyle w:val="TableContents"/>
              <w:bidi w:val="0"/>
              <w:spacing w:before="0" w:after="283"/>
              <w:jc w:val="left"/>
              <w:rPr/>
            </w:pPr>
            <w:r>
              <w:rPr/>
              <w:t> </w:t>
            </w:r>
            <w:bookmarkStart w:id="206" w:name="xdx_404_eus-gaap--NetIncomeLoss_z9M0rcmG"/>
            <w:bookmarkEnd w:id="206"/>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(19,839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7" w:name="xdx_43C_c20250101__20250331_eus-gaap--St"/>
            <w:bookmarkEnd w:id="207"/>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2024</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8" w:name="xdx_987_eus-gaap--SharesOutstanding_iS_p"/>
            <w:bookmarkEnd w:id="208"/>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3,465,277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9" w:name="xdx_98E_eus-gaap--SharesOutstanding_iS_p"/>
            <w:bookmarkEnd w:id="209"/>
          </w:p>
        </w:tc>
        <w:tc>
          <w:tcPr>
            <w:tcW w:w="8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121,257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(124,296</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(3,039</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210" w:name="xdx_438_c20250101__20250331_eus-gaap--St"/>
            <w:bookmarkEnd w:id="210"/>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Balance </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1" w:name="xdx_984_eus-gaap--SharesOutstanding_iS_p"/>
            <w:bookmarkEnd w:id="211"/>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3,465,277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2" w:name="xdx_989_eus-gaap--SharesOutstanding_iS_p"/>
            <w:bookmarkEnd w:id="212"/>
          </w:p>
        </w:tc>
        <w:tc>
          <w:tcPr>
            <w:tcW w:w="8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121,257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(124,296</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(3,039</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5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3" w:name="xdx_40F_ecustom--StockIssuedDuringPeriod"/>
            <w:bookmarkEnd w:id="213"/>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in settlement of liabilities</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4" w:name="xdx_980_ecustom--StockIssuedDuringPeriod"/>
            <w:bookmarkEnd w:id="214"/>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553</w:t>
            </w:r>
          </w:p>
        </w:tc>
        <w:tc>
          <w:tcPr>
            <w:tcW w:w="110" w:type="dxa"/>
            <w:tcBorders/>
            <w:shd w:fill="FFFFFF" w:val="clear"/>
            <w:vAlign w:val="center"/>
          </w:tcPr>
          <w:p>
            <w:pPr>
              <w:pStyle w:val="TableContents"/>
              <w:bidi w:val="0"/>
              <w:spacing w:before="0" w:after="283"/>
              <w:jc w:val="left"/>
              <w:rPr/>
            </w:pPr>
            <w:r>
              <w:rPr/>
              <w:t> </w:t>
            </w:r>
            <w:bookmarkStart w:id="215" w:name="xdx_401_ecustom--StockIssuedDuringPeriod"/>
            <w:bookmarkEnd w:id="215"/>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for RaGE earnout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6" w:name="xdx_980_ecustom--StockIssuedDuringPeriod"/>
            <w:bookmarkEnd w:id="216"/>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1,752</w:t>
            </w:r>
          </w:p>
        </w:tc>
        <w:tc>
          <w:tcPr>
            <w:tcW w:w="110" w:type="dxa"/>
            <w:tcBorders/>
            <w:shd w:fill="CCEEFF" w:val="clear"/>
            <w:vAlign w:val="center"/>
          </w:tcPr>
          <w:p>
            <w:pPr>
              <w:pStyle w:val="TableContents"/>
              <w:bidi w:val="0"/>
              <w:spacing w:before="0" w:after="283"/>
              <w:jc w:val="left"/>
              <w:rPr/>
            </w:pPr>
            <w:r>
              <w:rPr/>
              <w:t> </w:t>
            </w:r>
            <w:bookmarkStart w:id="217" w:name="xdx_407_eus-gaap--StockIssuedDuringPerio"/>
            <w:bookmarkEnd w:id="217"/>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upon vesting of RSUs</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8" w:name="xdx_98E_eus-gaap--StockIssuedDuringPerio"/>
            <w:bookmarkEnd w:id="218"/>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9" w:name="xdx_40B_ecustom--IssuanceOfCommonStockUp"/>
            <w:bookmarkEnd w:id="219"/>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upon exercise of warrants</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0" w:name="xdx_98C_ecustom--IssuanceOfCommonStockUp"/>
            <w:bookmarkEnd w:id="220"/>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110" w:type="dxa"/>
            <w:tcBorders/>
            <w:shd w:fill="CCEEFF" w:val="clear"/>
            <w:vAlign w:val="center"/>
          </w:tcPr>
          <w:p>
            <w:pPr>
              <w:pStyle w:val="TableContents"/>
              <w:bidi w:val="0"/>
              <w:spacing w:before="0" w:after="283"/>
              <w:jc w:val="left"/>
              <w:rPr/>
            </w:pPr>
            <w:r>
              <w:rPr/>
              <w:t> </w:t>
            </w:r>
            <w:bookmarkStart w:id="221" w:name="xdx_407_eus-gaap--AdjustmentsToAdditiona"/>
            <w:bookmarkEnd w:id="221"/>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3,352</w:t>
            </w:r>
          </w:p>
        </w:tc>
        <w:tc>
          <w:tcPr>
            <w:tcW w:w="110" w:type="dxa"/>
            <w:tcBorders/>
            <w:shd w:fill="FFFFFF" w:val="clear"/>
            <w:vAlign w:val="center"/>
          </w:tcPr>
          <w:p>
            <w:pPr>
              <w:pStyle w:val="TableContents"/>
              <w:bidi w:val="0"/>
              <w:spacing w:before="0" w:after="283"/>
              <w:jc w:val="left"/>
              <w:rPr/>
            </w:pPr>
            <w:r>
              <w:rPr/>
              <w:t> </w:t>
            </w:r>
            <w:bookmarkStart w:id="222" w:name="xdx_40F_eus-gaap--NetIncomeLoss_z7bxYMyb"/>
            <w:bookmarkEnd w:id="222"/>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2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3" w:name="xdx_435_c20250101__20250331_eus-gaap--St"/>
            <w:bookmarkEnd w:id="223"/>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March 31, 2025</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4" w:name="xdx_980_eus-gaap--SharesOutstanding_iE_p"/>
            <w:bookmarkEnd w:id="22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3,758,465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5" w:name="xdx_98F_eus-gaap--SharesOutstanding_iE_p"/>
            <w:bookmarkEnd w:id="225"/>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126,929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(126,587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342</w:t>
            </w:r>
          </w:p>
        </w:tc>
        <w:tc>
          <w:tcPr>
            <w:tcW w:w="110" w:type="dxa"/>
            <w:tcBorders/>
            <w:shd w:fill="CCEEFF" w:val="clear"/>
            <w:vAlign w:val="center"/>
          </w:tcPr>
          <w:p>
            <w:pPr>
              <w:pStyle w:val="TableContents"/>
              <w:bidi w:val="0"/>
              <w:spacing w:before="0" w:after="283"/>
              <w:jc w:val="left"/>
              <w:rPr/>
            </w:pPr>
            <w:r>
              <w:rPr/>
              <w:t> </w:t>
            </w:r>
            <w:bookmarkStart w:id="226" w:name="xdx_43C_c20250101__20250331_eus-gaap--St"/>
            <w:bookmarkEnd w:id="226"/>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Balance </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7" w:name="xdx_988_eus-gaap--SharesOutstanding_iE_p"/>
            <w:bookmarkEnd w:id="227"/>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3,758,465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8" w:name="xdx_980_eus-gaap--SharesOutstanding_iE_p"/>
            <w:bookmarkEnd w:id="228"/>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126,929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(126,587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9" w:name="a_018"/>
      <w:bookmarkEnd w:id="229"/>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30" w:name="xdx_307_112_pn3n3_zuq70MEzTrSf"/>
      <w:bookmarkStart w:id="231" w:name="xdx_307_112_pn3n3_zuq70MEzTrSf"/>
      <w:bookmarkEnd w:id="231"/>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32" w:name="xdx_49B_20251001__20260331_zPnANfcMPgVh"/>
            <w:bookmarkEnd w:id="232"/>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3" w:name="xdx_497_20241001__20250331_z0ZPoHs23Fc2"/>
            <w:bookmarkEnd w:id="233"/>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234" w:name="xdx_40F_eus-gaap--NetCashProvidedByUsedI"/>
            <w:bookmarkEnd w:id="234"/>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5" w:name="xdx_40B_eus-gaap--NetIncomeLoss_i01_maNC"/>
            <w:bookmarkEnd w:id="235"/>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(15,978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(22,130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6" w:name="xdx_40E_eus-gaap--AdjustmentsNoncashItem"/>
            <w:bookmarkEnd w:id="236"/>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7" w:name="xdx_403_eus-gaap--Depreciation_i02_maNCP"/>
            <w:bookmarkEnd w:id="237"/>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w:t>
            </w:r>
          </w:p>
        </w:tc>
        <w:tc>
          <w:tcPr>
            <w:tcW w:w="110" w:type="dxa"/>
            <w:tcBorders/>
            <w:shd w:fill="FFFFFF" w:val="clear"/>
            <w:vAlign w:val="center"/>
          </w:tcPr>
          <w:p>
            <w:pPr>
              <w:pStyle w:val="TableContents"/>
              <w:bidi w:val="0"/>
              <w:spacing w:before="0" w:after="283"/>
              <w:jc w:val="left"/>
              <w:rPr/>
            </w:pPr>
            <w:r>
              <w:rPr/>
              <w:t> </w:t>
            </w:r>
            <w:bookmarkStart w:id="238" w:name="xdx_403_eus-gaap--AmortizationOfIntangib"/>
            <w:bookmarkEnd w:id="238"/>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878</w:t>
            </w:r>
          </w:p>
        </w:tc>
        <w:tc>
          <w:tcPr>
            <w:tcW w:w="110" w:type="dxa"/>
            <w:tcBorders/>
            <w:shd w:fill="CCEEFF" w:val="clear"/>
            <w:vAlign w:val="center"/>
          </w:tcPr>
          <w:p>
            <w:pPr>
              <w:pStyle w:val="TableContents"/>
              <w:bidi w:val="0"/>
              <w:spacing w:before="0" w:after="283"/>
              <w:jc w:val="left"/>
              <w:rPr/>
            </w:pPr>
            <w:r>
              <w:rPr/>
              <w:t> </w:t>
            </w:r>
            <w:bookmarkStart w:id="239" w:name="xdx_40C_eus-gaap--ImpairmentOfLongLivedA"/>
            <w:bookmarkEnd w:id="239"/>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long-lived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0" w:name="xdx_40B_eus-gaap--IssuanceOfStockAndWarr"/>
            <w:bookmarkEnd w:id="240"/>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warrants in connection with financing activities, charged to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1" w:name="xdx_40C_ecustom--ChangeInFairValueOfEarn"/>
            <w:bookmarkEnd w:id="241"/>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2" w:name="xdx_403_eus-gaap--FairValueAdjustmentOfW"/>
            <w:bookmarkEnd w:id="242"/>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3" w:name="xdx_404_ecustom--ChangeInFairValueOfPIPE"/>
            <w:bookmarkEnd w:id="243"/>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PIPE make-whole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4" w:name="xdx_402_eus-gaap--NoncashMergerRelatedCo"/>
            <w:bookmarkEnd w:id="244"/>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Merger-related transaction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5" w:name="xdx_409_ecustom--PrivatePlacementCosts_i"/>
            <w:bookmarkEnd w:id="245"/>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Private placement costs expensed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6" w:name="xdx_404_ecustom--NoncashExpenseForWarran"/>
            <w:bookmarkEnd w:id="246"/>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expense for warrants issued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47" w:name="xdx_40C_eus-gaap--ShareBasedCompensation"/>
            <w:bookmarkEnd w:id="247"/>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13,154</w:t>
            </w:r>
          </w:p>
        </w:tc>
        <w:tc>
          <w:tcPr>
            <w:tcW w:w="110" w:type="dxa"/>
            <w:tcBorders/>
            <w:shd w:fill="CCEEFF" w:val="clear"/>
            <w:vAlign w:val="center"/>
          </w:tcPr>
          <w:p>
            <w:pPr>
              <w:pStyle w:val="TableContents"/>
              <w:bidi w:val="0"/>
              <w:spacing w:before="0" w:after="283"/>
              <w:jc w:val="left"/>
              <w:rPr/>
            </w:pPr>
            <w:r>
              <w:rPr/>
              <w:t> </w:t>
            </w:r>
            <w:bookmarkStart w:id="248" w:name="xdx_405_eus-gaap--DeferredIncomeTaxExpen"/>
            <w:bookmarkEnd w:id="248"/>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9" w:name="xdx_400_eus-gaap--GainLossOnDispositionO"/>
            <w:bookmarkEnd w:id="249"/>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disposal of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w:t>
            </w:r>
          </w:p>
        </w:tc>
        <w:tc>
          <w:tcPr>
            <w:tcW w:w="110" w:type="dxa"/>
            <w:tcBorders/>
            <w:shd w:fill="CCEEFF" w:val="clear"/>
            <w:vAlign w:val="center"/>
          </w:tcPr>
          <w:p>
            <w:pPr>
              <w:pStyle w:val="TableContents"/>
              <w:bidi w:val="0"/>
              <w:spacing w:before="0" w:after="283"/>
              <w:jc w:val="left"/>
              <w:rPr/>
            </w:pPr>
            <w:r>
              <w:rPr/>
              <w:t> </w:t>
            </w:r>
            <w:bookmarkStart w:id="250" w:name="xdx_402_eus-gaap--OtherNoncashIncomeExpe"/>
            <w:bookmarkEnd w:id="250"/>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non-cash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w:t>
            </w:r>
          </w:p>
        </w:tc>
        <w:tc>
          <w:tcPr>
            <w:tcW w:w="110" w:type="dxa"/>
            <w:tcBorders/>
            <w:shd w:fill="FFFFFF" w:val="clear"/>
            <w:vAlign w:val="center"/>
          </w:tcPr>
          <w:p>
            <w:pPr>
              <w:pStyle w:val="TableContents"/>
              <w:bidi w:val="0"/>
              <w:spacing w:before="0" w:after="283"/>
              <w:jc w:val="left"/>
              <w:rPr/>
            </w:pPr>
            <w:r>
              <w:rPr/>
              <w:t> </w:t>
            </w:r>
            <w:bookmarkStart w:id="251" w:name="xdx_40D_eus-gaap--IncreaseDecreaseInOper"/>
            <w:bookmarkEnd w:id="251"/>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2" w:name="xdx_40D_eus-gaap--IncreaseDecreaseInAcco"/>
            <w:bookmarkEnd w:id="252"/>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110" w:type="dxa"/>
            <w:tcBorders/>
            <w:shd w:fill="FFFFFF" w:val="clear"/>
            <w:vAlign w:val="center"/>
          </w:tcPr>
          <w:p>
            <w:pPr>
              <w:pStyle w:val="TableContents"/>
              <w:bidi w:val="0"/>
              <w:spacing w:before="0" w:after="283"/>
              <w:jc w:val="left"/>
              <w:rPr/>
            </w:pPr>
            <w:r>
              <w:rPr/>
              <w:t> </w:t>
            </w:r>
            <w:bookmarkStart w:id="253" w:name="xdx_40E_eus-gaap--IncreaseDecreaseInInve"/>
            <w:bookmarkEnd w:id="253"/>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619</w:t>
            </w:r>
          </w:p>
        </w:tc>
        <w:tc>
          <w:tcPr>
            <w:tcW w:w="110" w:type="dxa"/>
            <w:tcBorders/>
            <w:shd w:fill="CCEEFF" w:val="clear"/>
            <w:vAlign w:val="center"/>
          </w:tcPr>
          <w:p>
            <w:pPr>
              <w:pStyle w:val="TableContents"/>
              <w:bidi w:val="0"/>
              <w:spacing w:before="0" w:after="283"/>
              <w:jc w:val="left"/>
              <w:rPr/>
            </w:pPr>
            <w:r>
              <w:rPr/>
              <w:t> </w:t>
            </w:r>
            <w:bookmarkStart w:id="254" w:name="xdx_40B_eus-gaap--IncreaseDecreaseInPrep"/>
            <w:bookmarkEnd w:id="254"/>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5" w:name="xdx_401_eus-gaap--IncreaseDecreaseInAcco"/>
            <w:bookmarkEnd w:id="255"/>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2,161</w:t>
            </w:r>
          </w:p>
        </w:tc>
        <w:tc>
          <w:tcPr>
            <w:tcW w:w="110" w:type="dxa"/>
            <w:tcBorders/>
            <w:shd w:fill="CCEEFF" w:val="clear"/>
            <w:vAlign w:val="center"/>
          </w:tcPr>
          <w:p>
            <w:pPr>
              <w:pStyle w:val="TableContents"/>
              <w:bidi w:val="0"/>
              <w:spacing w:before="0" w:after="283"/>
              <w:jc w:val="left"/>
              <w:rPr/>
            </w:pPr>
            <w:r>
              <w:rPr/>
              <w:t> </w:t>
            </w:r>
            <w:bookmarkStart w:id="256" w:name="xdx_402_eus-gaap--IncreaseDecreaseInAccr"/>
            <w:bookmarkEnd w:id="256"/>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2,777</w:t>
            </w:r>
          </w:p>
        </w:tc>
        <w:tc>
          <w:tcPr>
            <w:tcW w:w="110" w:type="dxa"/>
            <w:tcBorders/>
            <w:shd w:fill="FFFFFF" w:val="clear"/>
            <w:vAlign w:val="center"/>
          </w:tcPr>
          <w:p>
            <w:pPr>
              <w:pStyle w:val="TableContents"/>
              <w:bidi w:val="0"/>
              <w:spacing w:before="0" w:after="283"/>
              <w:jc w:val="left"/>
              <w:rPr/>
            </w:pPr>
            <w:r>
              <w:rPr/>
              <w:t> </w:t>
            </w:r>
            <w:bookmarkStart w:id="257" w:name="xdx_401_eus-gaap--NetCashProvidedByUsedI"/>
            <w:bookmarkEnd w:id="257"/>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(9,017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8" w:name="xdx_40C_eus-gaap--NetCashProvidedByUsedI"/>
            <w:bookmarkEnd w:id="258"/>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9" w:name="xdx_40A_eus-gaap--ProceedsFromSaleOfProp"/>
            <w:bookmarkEnd w:id="259"/>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0" w:name="xdx_403_eus-gaap--PaymentsToAcquirePrope"/>
            <w:bookmarkEnd w:id="260"/>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1" w:name="xdx_408_eus-gaap--PaymentsToAcquireBusin"/>
            <w:bookmarkEnd w:id="261"/>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Acquisitions of businesses, net of cash acquired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2" w:name="xdx_40D_eus-gaap--NetCashProvidedByUsedI"/>
            <w:bookmarkEnd w:id="262"/>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3" w:name="xdx_408_eus-gaap--NetCashProvidedByUsedI"/>
            <w:bookmarkEnd w:id="263"/>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4" w:name="xdx_402_eus-gaap--ProceedsFromIssuanceOf"/>
            <w:bookmarkEnd w:id="264"/>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common stock and warrants in private placements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5" w:name="xdx_405_eus-gaap--ProceedsFromIssuanceOf"/>
            <w:bookmarkEnd w:id="265"/>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w:t>
            </w:r>
          </w:p>
        </w:tc>
        <w:tc>
          <w:tcPr>
            <w:tcW w:w="110" w:type="dxa"/>
            <w:tcBorders/>
            <w:shd w:fill="FFFFFF" w:val="clear"/>
            <w:vAlign w:val="center"/>
          </w:tcPr>
          <w:p>
            <w:pPr>
              <w:pStyle w:val="TableContents"/>
              <w:bidi w:val="0"/>
              <w:spacing w:before="0" w:after="283"/>
              <w:jc w:val="left"/>
              <w:rPr/>
            </w:pPr>
            <w:r>
              <w:rPr/>
              <w:t> </w:t>
            </w:r>
            <w:bookmarkStart w:id="266" w:name="xdx_408_eus-gaap--ProceedsFromStockOptio"/>
            <w:bookmarkEnd w:id="266"/>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67" w:name="xdx_40C_ecustom--ProceedsFromIssuanceOfC"/>
            <w:bookmarkEnd w:id="267"/>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in public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68" w:name="xdx_40C_eus-gaap--ProceedsFromWarrantExe"/>
            <w:bookmarkEnd w:id="268"/>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110" w:type="dxa"/>
            <w:tcBorders/>
            <w:shd w:fill="CCEEFF" w:val="clear"/>
            <w:vAlign w:val="center"/>
          </w:tcPr>
          <w:p>
            <w:pPr>
              <w:pStyle w:val="TableContents"/>
              <w:bidi w:val="0"/>
              <w:spacing w:before="0" w:after="283"/>
              <w:jc w:val="left"/>
              <w:rPr/>
            </w:pPr>
            <w:r>
              <w:rPr/>
              <w:t> </w:t>
            </w:r>
            <w:bookmarkStart w:id="269" w:name="xdx_401_eus-gaap--ProceedsFromNotesPayab"/>
            <w:bookmarkEnd w:id="269"/>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w:t>
            </w:r>
          </w:p>
        </w:tc>
        <w:tc>
          <w:tcPr>
            <w:tcW w:w="110" w:type="dxa"/>
            <w:tcBorders/>
            <w:shd w:fill="FFFFFF" w:val="clear"/>
            <w:vAlign w:val="center"/>
          </w:tcPr>
          <w:p>
            <w:pPr>
              <w:pStyle w:val="TableContents"/>
              <w:bidi w:val="0"/>
              <w:spacing w:before="0" w:after="283"/>
              <w:jc w:val="left"/>
              <w:rPr/>
            </w:pPr>
            <w:r>
              <w:rPr/>
              <w:t> </w:t>
            </w:r>
            <w:bookmarkStart w:id="270" w:name="xdx_40F_eus-gaap--RepaymentsOfNotesPayab"/>
            <w:bookmarkEnd w:id="270"/>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Principal payments on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71" w:name="xdx_40E_eus-gaap--RepaymentsOfRelatedPar"/>
            <w:bookmarkEnd w:id="271"/>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Principal payments on 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72" w:name="xdx_406_ecustom--DeferredConsiderationPa"/>
            <w:bookmarkEnd w:id="272"/>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consideration paid for acquisition of business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73" w:name="xdx_403_ecustom--ProceedsFromTheMergerAn"/>
            <w:bookmarkEnd w:id="273"/>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the Merger and PIPE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4" w:name="xdx_404_eus-gaap--PaymentsOfStockIssuanc"/>
            <w:bookmarkEnd w:id="274"/>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Merger-related transaction costs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5" w:name="xdx_400_eus-gaap--NetCashProvidedByUsedI"/>
            <w:bookmarkEnd w:id="275"/>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2,047</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6" w:name="xdx_40A_eus-gaap--CashCashEquivalentsRes"/>
            <w:bookmarkEnd w:id="276"/>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w:t>
            </w:r>
          </w:p>
        </w:tc>
        <w:tc>
          <w:tcPr>
            <w:tcW w:w="110" w:type="dxa"/>
            <w:tcBorders/>
            <w:shd w:fill="FFFFFF" w:val="clear"/>
            <w:vAlign w:val="center"/>
          </w:tcPr>
          <w:p>
            <w:pPr>
              <w:pStyle w:val="TableContents"/>
              <w:bidi w:val="0"/>
              <w:spacing w:before="0" w:after="283"/>
              <w:jc w:val="left"/>
              <w:rPr/>
            </w:pPr>
            <w:r>
              <w:rPr/>
              <w:t> </w:t>
            </w:r>
            <w:bookmarkStart w:id="277" w:name="xdx_40F_eus-gaap--CashCashEquivalentsRes"/>
            <w:bookmarkEnd w:id="277"/>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w:t>
            </w:r>
          </w:p>
        </w:tc>
        <w:tc>
          <w:tcPr>
            <w:tcW w:w="110" w:type="dxa"/>
            <w:tcBorders/>
            <w:shd w:fill="CCEEFF" w:val="clear"/>
            <w:vAlign w:val="center"/>
          </w:tcPr>
          <w:p>
            <w:pPr>
              <w:pStyle w:val="TableContents"/>
              <w:bidi w:val="0"/>
              <w:spacing w:before="0" w:after="283"/>
              <w:jc w:val="left"/>
              <w:rPr/>
            </w:pPr>
            <w:r>
              <w:rPr/>
              <w:t> </w:t>
            </w:r>
            <w:bookmarkStart w:id="278" w:name="xdx_40D_eus-gaap--CashCashEquivalentsRes"/>
            <w:bookmarkEnd w:id="278"/>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781</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9" w:name="xdx_403_eus-gaap--SupplementalCashFlowIn"/>
            <w:bookmarkEnd w:id="279"/>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0" w:name="xdx_402_eus-gaap--InterestPaidNet_i01_zL"/>
            <w:bookmarkEnd w:id="280"/>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w:t>
            </w:r>
          </w:p>
        </w:tc>
        <w:tc>
          <w:tcPr>
            <w:tcW w:w="110" w:type="dxa"/>
            <w:tcBorders/>
            <w:shd w:fill="CCEEFF" w:val="clear"/>
            <w:vAlign w:val="center"/>
          </w:tcPr>
          <w:p>
            <w:pPr>
              <w:pStyle w:val="TableContents"/>
              <w:bidi w:val="0"/>
              <w:spacing w:before="0" w:after="283"/>
              <w:jc w:val="left"/>
              <w:rPr/>
            </w:pPr>
            <w:r>
              <w:rPr/>
              <w:t> </w:t>
            </w:r>
            <w:bookmarkStart w:id="281" w:name="xdx_404_eus-gaap--IncomeTaxesPaid_i01_zi"/>
            <w:bookmarkEnd w:id="281"/>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2" w:name="xdx_405_eus-gaap--CashFlowNoncashInvesti"/>
            <w:bookmarkEnd w:id="282"/>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3" w:name="xdx_402_ecustom--SettlementOfNotesPayabl"/>
            <w:bookmarkEnd w:id="283"/>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notes payable and other liabilities in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1,245</w:t>
            </w:r>
          </w:p>
        </w:tc>
        <w:tc>
          <w:tcPr>
            <w:tcW w:w="110" w:type="dxa"/>
            <w:tcBorders/>
            <w:shd w:fill="CCEEFF" w:val="clear"/>
            <w:vAlign w:val="center"/>
          </w:tcPr>
          <w:p>
            <w:pPr>
              <w:pStyle w:val="TableContents"/>
              <w:bidi w:val="0"/>
              <w:spacing w:before="0" w:after="283"/>
              <w:jc w:val="left"/>
              <w:rPr/>
            </w:pPr>
            <w:r>
              <w:rPr/>
              <w:t> </w:t>
            </w:r>
            <w:bookmarkStart w:id="284" w:name="xdx_40E_ecustom--IssuanceOfClassCommonSt"/>
            <w:bookmarkEnd w:id="284"/>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Class A Common Stock for RaGE earnout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1,752</w:t>
            </w:r>
          </w:p>
        </w:tc>
        <w:tc>
          <w:tcPr>
            <w:tcW w:w="110" w:type="dxa"/>
            <w:tcBorders/>
            <w:shd w:fill="FFFFFF" w:val="clear"/>
            <w:vAlign w:val="center"/>
          </w:tcPr>
          <w:p>
            <w:pPr>
              <w:pStyle w:val="TableContents"/>
              <w:bidi w:val="0"/>
              <w:spacing w:before="0" w:after="283"/>
              <w:jc w:val="left"/>
              <w:rPr/>
            </w:pPr>
            <w:r>
              <w:rPr/>
              <w:t> </w:t>
            </w:r>
            <w:bookmarkStart w:id="285" w:name="xdx_40B_ecustom--ClassCommonStockIssuedF"/>
            <w:bookmarkEnd w:id="285"/>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 issued for RaGE earnout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6" w:name="xdx_403_ecustom--UnpaidMergerrelatedTran"/>
            <w:bookmarkEnd w:id="286"/>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Unpaid Merger-related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7" w:name="xdx_40C_ecustom--ContingentlyRedeemableC"/>
            <w:bookmarkEnd w:id="287"/>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Contingently redeemable convertible stock issued for acquisition of EMI Solutions, Inc.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8" w:name="xdx_40A_eus-gaap--StockIssued1_i01_z1F5h"/>
            <w:bookmarkEnd w:id="288"/>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 issued for acquisition of RaGE Systems, Inc.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9" w:name="xdx_409_eus-gaap--NoncashOrPartNoncashAc"/>
            <w:bookmarkEnd w:id="289"/>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purchase consideration for acquisitions of businesses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90" w:name="xdx_402_ecustom--ConversionOfSafesToComm"/>
            <w:bookmarkEnd w:id="290"/>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SAFEs to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91" w:name="xdx_407_ecustom--DeemedDividendFromWarra"/>
            <w:bookmarkEnd w:id="291"/>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from warrant price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92" w:name="xdx_402_ecustom--IssuanceOfWarrantsInCon"/>
            <w:bookmarkEnd w:id="292"/>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warrants in connection with notes payable, recorded as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3" w:name="a_019"/>
      <w:bookmarkStart w:id="294" w:name="xdx_80B_eus-gaap--OrganizationConsolidat"/>
      <w:bookmarkEnd w:id="293"/>
      <w:bookmarkEnd w:id="294"/>
      <w:r>
        <w:rPr>
          <w:rFonts w:ascii="Times New Roman;Times;Serif" w:hAnsi="Times New Roman;Times;Serif"/>
          <w:b/>
          <w:i w:val="false"/>
          <w:caps w:val="false"/>
          <w:smallCaps w:val="false"/>
          <w:sz w:val="20"/>
        </w:rPr>
        <w:t xml:space="preserve">Note 1 — </w:t>
      </w:r>
      <w:bookmarkStart w:id="295" w:name="xdx_820_zzBTLVKjnpmi"/>
      <w:bookmarkEnd w:id="295"/>
      <w:r>
        <w:rPr>
          <w:rFonts w:ascii="Times New Roman;Times;Serif" w:hAnsi="Times New Roman;Times;Serif"/>
          <w:b/>
          <w:i w:val="false"/>
          <w:caps w:val="false"/>
          <w:smallCaps w:val="false"/>
          <w:sz w:val="20"/>
        </w:rPr>
        <w:t>Company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 (“Mobix Labs” or the “Company”), a Delaware corporation based in Irvine, California, designs, develops and sells components and systems for advanced wireless and wired connectivity, radio frequency (“RF”), switching and electromagnetic interference (“EMI”) filtering technologies used in the defense, aerospace, commercial, industrial and other markets. The Company’s wireless systems solutions include products for advanced RF and millimeter wave (“mmWave”) communications, mmWave imaging, software defined radio and custom RF integrated circuits (“ICs”) targeting the defense, aerospace, commercial and industrial sectors. The Company’s interconnect products, including EMI filter inserts and filtered and non-filtered connectors, are designed for and are currently used in aerospace, military, defense and medical applications. These technologies are designed for large and rapidly growing markets where there is increasing demand for higher performance communication and filtering systems which utilize an expanding mix of both wireless and connectivity technologies. The Company’s Class A Common Stock and its Public Warrants are traded on the Nasdaq Capital Market under the symbols “MOBX” and “MOBXW,”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assuming the Company will continue as a going concern. Since inception, the Company has incurred operating losses and negative cash flows from operations, as a result of its ongoing investment in product development and other operating expenses. The Company incurred a loss from operations of $</w:t>
      </w:r>
      <w:bookmarkStart w:id="296" w:name="xdx_901_eus-gaap--OperatingIncomeLoss_iN"/>
      <w:bookmarkEnd w:id="296"/>
      <w:r>
        <w:rPr>
          <w:rFonts w:ascii="Times New Roman;Times;Serif" w:hAnsi="Times New Roman;Times;Serif"/>
          <w:b w:val="false"/>
          <w:i w:val="false"/>
          <w:caps w:val="false"/>
          <w:smallCaps w:val="false"/>
          <w:sz w:val="20"/>
        </w:rPr>
        <w:t>14,924 for the six months ended March 31, 2026 and incurred losses from operations of $</w:t>
      </w:r>
      <w:bookmarkStart w:id="297" w:name="xdx_909_eus-gaap--OperatingIncomeLoss_iN"/>
      <w:bookmarkEnd w:id="297"/>
      <w:r>
        <w:rPr>
          <w:rFonts w:ascii="Times New Roman;Times;Serif" w:hAnsi="Times New Roman;Times;Serif"/>
          <w:b w:val="false"/>
          <w:i w:val="false"/>
          <w:caps w:val="false"/>
          <w:smallCaps w:val="false"/>
          <w:sz w:val="20"/>
        </w:rPr>
        <w:t>37,693 and $</w:t>
      </w:r>
      <w:bookmarkStart w:id="298" w:name="xdx_90C_eus-gaap--OperatingIncomeLoss_iN"/>
      <w:bookmarkEnd w:id="298"/>
      <w:r>
        <w:rPr>
          <w:rFonts w:ascii="Times New Roman;Times;Serif" w:hAnsi="Times New Roman;Times;Serif"/>
          <w:b w:val="false"/>
          <w:i w:val="false"/>
          <w:caps w:val="false"/>
          <w:smallCaps w:val="false"/>
          <w:sz w:val="20"/>
        </w:rPr>
        <w:t>46,395 for the years ended September 30, 2025 and 2024, respectively. Additionally, the Company had negative cash flows from operations of $</w:t>
      </w:r>
      <w:bookmarkStart w:id="299" w:name="xdx_904_eus-gaap--NetCashProvidedByUsedI"/>
      <w:bookmarkEnd w:id="299"/>
      <w:r>
        <w:rPr>
          <w:rFonts w:ascii="Times New Roman;Times;Serif" w:hAnsi="Times New Roman;Times;Serif"/>
          <w:b w:val="false"/>
          <w:i w:val="false"/>
          <w:caps w:val="false"/>
          <w:smallCaps w:val="false"/>
          <w:sz w:val="20"/>
        </w:rPr>
        <w:t>9,017 for the six months ended March 31, 2026 and negative cash flows from operations of $</w:t>
      </w:r>
      <w:bookmarkStart w:id="300" w:name="xdx_904_eus-gaap--NetCashProvidedByUsedI"/>
      <w:bookmarkEnd w:id="300"/>
      <w:r>
        <w:rPr>
          <w:rFonts w:ascii="Times New Roman;Times;Serif" w:hAnsi="Times New Roman;Times;Serif"/>
          <w:b w:val="false"/>
          <w:i w:val="false"/>
          <w:caps w:val="false"/>
          <w:smallCaps w:val="false"/>
          <w:sz w:val="20"/>
        </w:rPr>
        <w:t>10,113 and $</w:t>
      </w:r>
      <w:bookmarkStart w:id="301" w:name="xdx_90F_eus-gaap--NetCashProvidedByUsedI"/>
      <w:bookmarkEnd w:id="301"/>
      <w:r>
        <w:rPr>
          <w:rFonts w:ascii="Times New Roman;Times;Serif" w:hAnsi="Times New Roman;Times;Serif"/>
          <w:b w:val="false"/>
          <w:i w:val="false"/>
          <w:caps w:val="false"/>
          <w:smallCaps w:val="false"/>
          <w:sz w:val="20"/>
        </w:rPr>
        <w:t>18,388 for the years ended September 30, 2025 and 2024, respectively. As of March 31, 2026, the Company had cash on hand of $</w:t>
      </w:r>
      <w:bookmarkStart w:id="302" w:name="xdx_908_eus-gaap--Cash_iI_pn3n3_c2026033"/>
      <w:bookmarkEnd w:id="302"/>
      <w:r>
        <w:rPr>
          <w:rFonts w:ascii="Times New Roman;Times;Serif" w:hAnsi="Times New Roman;Times;Serif"/>
          <w:b w:val="false"/>
          <w:i w:val="false"/>
          <w:caps w:val="false"/>
          <w:smallCaps w:val="false"/>
          <w:sz w:val="20"/>
        </w:rPr>
        <w:t>2,563 and an accumulated deficit of $</w:t>
      </w:r>
      <w:bookmarkStart w:id="303" w:name="xdx_90C_eus-gaap--RetainedEarningsAccumu"/>
      <w:bookmarkEnd w:id="303"/>
      <w:r>
        <w:rPr>
          <w:rFonts w:ascii="Times New Roman;Times;Serif" w:hAnsi="Times New Roman;Times;Serif"/>
          <w:b w:val="false"/>
          <w:i w:val="false"/>
          <w:caps w:val="false"/>
          <w:smallCaps w:val="false"/>
          <w:sz w:val="20"/>
        </w:rPr>
        <w:t>166,566. The Company has historically financed its operations through the issuance and sale of equity securities and the issuance of debt. The Company expects to continue to incur operating losses and negative cash flows from operations for the foreseeable future and will need to raise additional debt or equity financing to fund its operations and satisfy its obligations. Management believes that there is substantial doubt concerning the Company’s ability to continue as a going concern as the Company currently does not have adequate liquidity to meet its operating needs and satisfy its obligations for at least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will seek to raise additional capital, there can be no assurance the necessary financing will be available on terms acceptable to the Company, or at all. If the Company raises funds by issuing equity securities, dilution to existing stockholders may result. Any equity securities issued may also provide for rights, preferences or privileges senior to those of holders of common stock. If the Company raises funds by issuing debt securities, such debt securities would have rights, preferences and privileges senior to those of preferred and common stockholders. The terms of debt securities or borrowings may impose significant restrictions on the Company’s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additional financing, or if such transactions are successfully completed but do not provide adequate financing, the Company may be required to reduce its operating expenditures, which could adversely affect its business prospects, or the Company may be unable to continue operations. The condensed consolidated financial statements do not include any adjustments that might result from the outcome of these uncertainties. Accordingly, the condensed consolidated financial statements have been prepared on a basis that assumes the Company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4" w:name="xdx_803_eus-gaap--BasisOfPresentationAnd"/>
      <w:bookmarkEnd w:id="304"/>
      <w:r>
        <w:rPr>
          <w:rFonts w:ascii="Times New Roman;Times;Serif" w:hAnsi="Times New Roman;Times;Serif"/>
          <w:b/>
          <w:i w:val="false"/>
          <w:caps w:val="false"/>
          <w:smallCaps w:val="false"/>
          <w:sz w:val="20"/>
        </w:rPr>
        <w:t xml:space="preserve">Note 2 — </w:t>
      </w:r>
      <w:bookmarkStart w:id="305" w:name="xdx_82D_zekma4jfcHGd"/>
      <w:bookmarkEnd w:id="305"/>
      <w:r>
        <w:rPr>
          <w:rFonts w:ascii="Times New Roman;Times;Serif" w:hAnsi="Times New Roman;Times;Serif"/>
          <w:b/>
          <w:i w:val="false"/>
          <w:caps w:val="false"/>
          <w:smallCaps w:val="false"/>
          <w:sz w:val="20"/>
        </w:rPr>
        <w:t>Basis of Presentation and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06" w:name="xdx_86D_zhnzpxDuHOn2"/>
      <w:bookmarkStart w:id="307" w:name="xdx_846_eus-gaap--BasisOfAccountingPolic"/>
      <w:bookmarkEnd w:id="306"/>
      <w:bookmarkEnd w:id="307"/>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in accordance with accounting principles generally accepted in the United States (“GAAP”) for interim financial information and include the accounts of Mobix Labs, Inc. and its subsidiaries. The Company’s fiscal year ends on September 30. Certain information and disclosures normally included in financial statements prepared in accordance with GAAP have been condensed or omitted. Accordingly, these condensed consolidated financial statements should be read in conjunction with the Company’s audited financial statements as of and for the year ended September 30, 2025 and the related notes which provide a more complete discussion of the Company’s accounting policies and certain other information. The September 30, 2025 consolidated balance sheet was derived from the Company’s audited financial statements. These unaudited condensed consolidated financial statements have been prepared on the same basis as the annual financial statements and, in the opinion of management, reflect all adjustments, which include only normal recurring adjustments, necessary for a fair statement of the Company’s condensed consolidated financial position as of March 31, 2026 and its condensed consolidated results of operations and cash flows for the periods ended March 31, 2026 and 2025. The condensed consolidated results of operations for the three months and six months ended March 31, 2026 are not necessarily indicative of the results to be expected for the fiscal year ending September 30, 2026 or for any other future annual or interim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08" w:name="xdx_848_eus-gaap--ConsolidationPolicyTex"/>
      <w:bookmarkEnd w:id="308"/>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the Company and its wholly owned subsidiaries. All intercompany balances and transactions have been eliminated in consolidation. Certain prior year amounts have been reclassified for consistency with the current year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09" w:name="xdx_848_eus-gaap--UseOfEstimates_zxmxNZw"/>
      <w:bookmarkEnd w:id="309"/>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condensed consolidated financial statements requires the Company to make estimates and assumptions that affect the reported amounts of certain assets and liabilities; the reported amounts of net revenue and expenses for the periods covered and certain amounts disclosed in the notes to the condensed consolidated financial statements.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differ materially from those estimates and assumptions. Areas requiring significant estimates and assumptions by the Company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70"/>
        <w:gridCol w:w="93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stock-based compensation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assessments of goodwill and long-lived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measurement of liabilities carried at fair value, including the earnout liability and liability-classified warrants;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income taxes and related valuation allowances and tax uncertainties.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10" w:name="xdx_842_ecustom--SignificantAccountingPo"/>
      <w:bookmarkEnd w:id="310"/>
      <w:r>
        <w:rPr>
          <w:rFonts w:ascii="Times New Roman;Times;Serif" w:hAnsi="Times New Roman;Times;Serif"/>
          <w:b w:val="false"/>
          <w:i/>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significant accounting policies is included in its Annual Report on Form 10-K for the year ended September 30, 2025, filed with the Securities and Exchange Commission on January 13, 2026. There have been no significant changes to these policies during the six months ended March 31, 2026, aside from those outlined below.</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11" w:name="xdx_841_eus-gaap--ImpairmentOrDisposalOf"/>
      <w:bookmarkEnd w:id="311"/>
      <w:r>
        <w:rPr>
          <w:rFonts w:ascii="Times New Roman;Times;Serif" w:hAnsi="Times New Roman;Times;Serif"/>
          <w:b w:val="false"/>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reviews its long-lived assets, consisting of property and equipment and intangible assets, for impairment whenever events or changes in circumstances indicate that the carrying amount of such assets may not be recoverable. The Company regularly reviews its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the assets.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fair value. The Company did </w:t>
      </w:r>
      <w:bookmarkStart w:id="312" w:name="xdx_909_eus-gaap--ImpairmentOfLongLivedA"/>
      <w:bookmarkStart w:id="313" w:name="xdx_905_eus-gaap--ImpairmentOfLongLivedA"/>
      <w:bookmarkEnd w:id="312"/>
      <w:bookmarkEnd w:id="313"/>
      <w:r>
        <w:rPr>
          <w:rFonts w:ascii="Times New Roman;Times;Serif" w:hAnsi="Times New Roman;Times;Serif"/>
          <w:b w:val="false"/>
          <w:i w:val="false"/>
          <w:caps w:val="false"/>
          <w:smallCaps w:val="false"/>
          <w:sz w:val="20"/>
        </w:rPr>
        <w:t>not recognize any impairment losses for the six months ended March 31,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14" w:name="xdx_845_eus-gaap--GoodwillAndIntangibleA"/>
      <w:bookmarkEnd w:id="314"/>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fair value of purchase consideration of an acquired business over the fair value of the identifiable net assets acquired. Goodwill is not amortized but is tested for impairment at a reporting unit level on an annual basis on July 31, or more frequently if circumstances change or an event occurs that would more likely than not reduce the fair value of a reporting unit below its carrying amount. The Company did not recognize any goodwill impairment losses for the six months ended March 31, 2026 and 2025. There were no changes in the carrying amount of goodwill during the six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15" w:name="xdx_848_ecustom--ClassificationOfWarrant"/>
      <w:bookmarkEnd w:id="315"/>
      <w:r>
        <w:rPr>
          <w:rFonts w:ascii="Times New Roman;Times;Serif" w:hAnsi="Times New Roman;Times;Serif"/>
          <w:b w:val="false"/>
          <w:i/>
          <w:caps w:val="false"/>
          <w:smallCaps w:val="false"/>
          <w:sz w:val="20"/>
        </w:rPr>
        <w:t>Classification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warrants to purchase its common stock as either equity-classified or liability-classified instruments based on an assessment of the warrant’s specific terms and applicable authoritative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(“ASC 480”)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The assessment considers whether the warrants are freestanding financial instruments pursuant to ASC 480, meet the liability classification requirements pursuant to ASC 480, and whether the warrants meet all of the requirements for equity classification under ASC 815, including whether the warrants are indexed to the Company’s own stock, among other conditions for equity classification. This assessment, which requires the use of professional judgment, is conducted when warrants are issued or modified and as of the end of each subsequent reporting period while the warrants are outstanding.</w:t>
      </w:r>
    </w:p>
    <w:p>
      <w:pPr>
        <w:pStyle w:val="TextBody"/>
        <w:bidi w:val="0"/>
        <w:spacing w:before="0" w:after="0"/>
        <w:ind w:left="0" w:right="0" w:hanging="0"/>
        <w:jc w:val="both"/>
        <w:rPr>
          <w:caps w:val="false"/>
          <w:smallCaps w:val="false"/>
        </w:rPr>
      </w:pPr>
      <w:bookmarkStart w:id="316" w:name="xdx_857_z36xOy6sYtD7"/>
      <w:bookmarkEnd w:id="31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7" w:name="xdx_805_eus-gaap--InventoryDisclosureTex"/>
      <w:bookmarkEnd w:id="317"/>
      <w:r>
        <w:rPr>
          <w:rFonts w:ascii="Times New Roman;Times;Serif" w:hAnsi="Times New Roman;Times;Serif"/>
          <w:b/>
          <w:i w:val="false"/>
          <w:caps w:val="false"/>
          <w:smallCaps w:val="false"/>
          <w:sz w:val="20"/>
        </w:rPr>
        <w:t xml:space="preserve">Note 3 — </w:t>
      </w:r>
      <w:bookmarkStart w:id="318" w:name="xdx_824_zG7shsJHYpPk"/>
      <w:bookmarkEnd w:id="318"/>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19" w:name="xdx_898_eus-gaap--ScheduleOfInventoryCur"/>
      <w:bookmarkEnd w:id="319"/>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left"/>
        <w:rPr>
          <w:caps w:val="false"/>
          <w:smallCaps w:val="false"/>
        </w:rPr>
      </w:pPr>
      <w:r>
        <w:rPr>
          <w:caps w:val="false"/>
          <w:smallCaps w:val="false"/>
        </w:rPr>
        <w:t> </w:t>
      </w:r>
      <w:bookmarkStart w:id="320" w:name="xdx_8B5_zbOHGFf6Qr7b"/>
      <w:bookmarkEnd w:id="320"/>
      <w:r>
        <w:rPr>
          <w:rFonts w:ascii="Times New Roman;Times;Serif" w:hAnsi="Times New Roman;Times;Serif"/>
          <w:b w:val="false"/>
          <w:i w:val="false"/>
          <w:caps w:val="false"/>
          <w:smallCaps w:val="false"/>
          <w:sz w:val="20"/>
        </w:rPr>
        <w:t>Schedule of Inventory</w:t>
      </w:r>
    </w:p>
    <w:tbl>
      <w:tblPr>
        <w:tblW w:w="4290" w:type="dxa"/>
        <w:jc w:val="left"/>
        <w:tblInd w:w="0" w:type="dxa"/>
        <w:tblLayout w:type="fixed"/>
        <w:tblCellMar>
          <w:top w:w="0" w:type="dxa"/>
          <w:left w:w="0" w:type="dxa"/>
          <w:bottom w:w="0" w:type="dxa"/>
          <w:right w:w="0" w:type="dxa"/>
        </w:tblCellMar>
      </w:tblPr>
      <w:tblGrid>
        <w:gridCol w:w="1490"/>
        <w:gridCol w:w="60"/>
        <w:gridCol w:w="214"/>
        <w:gridCol w:w="856"/>
        <w:gridCol w:w="60"/>
        <w:gridCol w:w="60"/>
        <w:gridCol w:w="295"/>
        <w:gridCol w:w="1180"/>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1" w:name="xdx_496_20260331_zRf9m79XyMef"/>
            <w:bookmarkEnd w:id="321"/>
          </w:p>
        </w:tc>
        <w:tc>
          <w:tcPr>
            <w:tcW w:w="10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2" w:name="xdx_490_20250930_zp4603zSD0a6"/>
            <w:bookmarkEnd w:id="322"/>
          </w:p>
        </w:tc>
        <w:tc>
          <w:tcPr>
            <w:tcW w:w="14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September 30,</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23" w:name="xdx_407_eus-gaap--InventoryRawMaterials_"/>
            <w:bookmarkEnd w:id="323"/>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Raw materials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999</w:t>
            </w:r>
          </w:p>
        </w:tc>
        <w:tc>
          <w:tcPr>
            <w:tcW w:w="75" w:type="dxa"/>
            <w:tcBorders/>
            <w:shd w:fill="CCEEFF" w:val="clear"/>
            <w:vAlign w:val="center"/>
          </w:tcPr>
          <w:p>
            <w:pPr>
              <w:pStyle w:val="TableContents"/>
              <w:bidi w:val="0"/>
              <w:spacing w:before="0" w:after="283"/>
              <w:jc w:val="left"/>
              <w:rPr/>
            </w:pPr>
            <w:r>
              <w:rPr/>
              <w:t> </w:t>
            </w:r>
            <w:bookmarkStart w:id="324" w:name="xdx_406_eus-gaap--InventoryFinishedGoods"/>
            <w:bookmarkEnd w:id="324"/>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Finished goods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w:t>
            </w:r>
          </w:p>
        </w:tc>
        <w:tc>
          <w:tcPr>
            <w:tcW w:w="75" w:type="dxa"/>
            <w:tcBorders/>
            <w:shd w:fill="FFFFFF" w:val="clear"/>
            <w:vAlign w:val="center"/>
          </w:tcPr>
          <w:p>
            <w:pPr>
              <w:pStyle w:val="TableContents"/>
              <w:bidi w:val="0"/>
              <w:spacing w:before="0" w:after="283"/>
              <w:jc w:val="left"/>
              <w:rPr/>
            </w:pPr>
            <w:r>
              <w:rPr/>
              <w:t> </w:t>
            </w:r>
            <w:bookmarkStart w:id="325" w:name="xdx_402_eus-gaap--InventoryNet_iTI_pn3n3"/>
            <w:bookmarkEnd w:id="325"/>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inventory</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26" w:name="xdx_8A5_zkIzsbZQWYD2"/>
      <w:bookmarkEnd w:id="326"/>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7" w:name="xdx_80E_eus-gaap--PropertyPlantAndEquipm"/>
      <w:bookmarkEnd w:id="327"/>
      <w:r>
        <w:rPr>
          <w:rFonts w:ascii="Times New Roman;Times;Serif" w:hAnsi="Times New Roman;Times;Serif"/>
          <w:b/>
          <w:i w:val="false"/>
          <w:caps w:val="false"/>
          <w:smallCaps w:val="false"/>
          <w:sz w:val="20"/>
        </w:rPr>
        <w:t xml:space="preserve">Note 4 — </w:t>
      </w:r>
      <w:bookmarkStart w:id="328" w:name="xdx_82D_zCOYVXrbv1z7"/>
      <w:bookmarkEnd w:id="328"/>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29" w:name="xdx_893_eus-gaap--PropertyPlantAndEquipm"/>
      <w:bookmarkEnd w:id="329"/>
      <w:r>
        <w:rPr>
          <w:rFonts w:ascii="Times New Roman;Times;Serif" w:hAnsi="Times New Roman;Times;Serif"/>
          <w:b w:val="false"/>
          <w:i w:val="false"/>
          <w:caps w:val="false"/>
          <w:smallCaps w:val="false"/>
          <w:sz w:val="20"/>
        </w:rPr>
        <w:t>Property and equipment, net consists of the following:</w:t>
      </w:r>
    </w:p>
    <w:p>
      <w:pPr>
        <w:pStyle w:val="TextBody"/>
        <w:bidi w:val="0"/>
        <w:spacing w:before="0" w:after="0"/>
        <w:ind w:left="0" w:right="0" w:hanging="0"/>
        <w:jc w:val="left"/>
        <w:rPr>
          <w:caps w:val="false"/>
          <w:smallCaps w:val="false"/>
        </w:rPr>
      </w:pPr>
      <w:r>
        <w:rPr>
          <w:caps w:val="false"/>
          <w:smallCaps w:val="false"/>
        </w:rPr>
        <w:t> </w:t>
      </w:r>
      <w:bookmarkStart w:id="330" w:name="xdx_8BF_zqcIWpZ5Bovb"/>
      <w:bookmarkEnd w:id="330"/>
      <w:r>
        <w:rPr>
          <w:rFonts w:ascii="Times New Roman;Times;Serif" w:hAnsi="Times New Roman;Times;Serif"/>
          <w:b w:val="false"/>
          <w:i w:val="false"/>
          <w:caps w:val="false"/>
          <w:smallCaps w:val="false"/>
          <w:sz w:val="20"/>
        </w:rPr>
        <w:t>Schedule of Property and Equipment, Net</w:t>
      </w:r>
    </w:p>
    <w:tbl>
      <w:tblPr>
        <w:tblW w:w="9538" w:type="dxa"/>
        <w:jc w:val="left"/>
        <w:tblInd w:w="0" w:type="dxa"/>
        <w:tblLayout w:type="fixed"/>
        <w:tblCellMar>
          <w:top w:w="0" w:type="dxa"/>
          <w:left w:w="0" w:type="dxa"/>
          <w:bottom w:w="0" w:type="dxa"/>
          <w:right w:w="0" w:type="dxa"/>
        </w:tblCellMar>
      </w:tblPr>
      <w:tblGrid>
        <w:gridCol w:w="2645"/>
        <w:gridCol w:w="60"/>
        <w:gridCol w:w="4430"/>
        <w:gridCol w:w="60"/>
        <w:gridCol w:w="182"/>
        <w:gridCol w:w="707"/>
        <w:gridCol w:w="80"/>
        <w:gridCol w:w="60"/>
        <w:gridCol w:w="249"/>
        <w:gridCol w:w="970"/>
        <w:gridCol w:w="95"/>
      </w:tblGrid>
      <w:tr>
        <w:trPr/>
        <w:tc>
          <w:tcPr>
            <w:tcW w:w="26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Useful</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31" w:name="xdx_490_20260331_zv9qh6MxMUE8"/>
            <w:bookmarkEnd w:id="331"/>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32" w:name="xdx_49B_20250930_zrR1pwJ8IBM7"/>
            <w:bookmarkEnd w:id="332"/>
          </w:p>
        </w:tc>
        <w:tc>
          <w:tcPr>
            <w:tcW w:w="12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333" w:name="xdx_40F_eus-gaap--PropertyPlantAndEquipm"/>
            <w:bookmarkEnd w:id="333"/>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and furniture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34" w:name="xdx_90C_eus-gaap--PropertyPlantAndEquipm"/>
            <w:bookmarkEnd w:id="334"/>
            <w:r>
              <w:rPr>
                <w:rFonts w:ascii="Times New Roman;Times;Serif" w:hAnsi="Times New Roman;Times;Serif"/>
                <w:b w:val="false"/>
                <w:i w:val="false"/>
                <w:caps w:val="false"/>
                <w:smallCaps w:val="false"/>
                <w:sz w:val="20"/>
              </w:rPr>
              <w:t xml:space="preserve">5 - </w:t>
            </w:r>
            <w:bookmarkStart w:id="335" w:name="xdx_908_eus-gaap--PropertyPlantAndEquipm"/>
            <w:bookmarkEnd w:id="335"/>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36" w:name="xdx_40C_eus-gaap--PropertyPlantAndEquipm"/>
            <w:bookmarkEnd w:id="336"/>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37" w:name="xdx_90B_eus-gaap--PropertyPlantAndEquipm"/>
            <w:bookmarkEnd w:id="337"/>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38" w:name="xdx_405_eus-gaap--PropertyPlantAndEquipm"/>
            <w:bookmarkEnd w:id="338"/>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39" w:name="xdx_909_eus-gaap--PropertyPlantAndEquipm"/>
            <w:bookmarkEnd w:id="339"/>
            <w:r>
              <w:rPr>
                <w:rFonts w:ascii="Times New Roman;Times;Serif" w:hAnsi="Times New Roman;Times;Serif"/>
                <w:b w:val="false"/>
                <w:i w:val="false"/>
                <w:caps w:val="false"/>
                <w:smallCaps w:val="false"/>
                <w:sz w:val="20"/>
              </w:rPr>
              <w:t>Shorter of estimated useful life or remaining lease term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40" w:name="xdx_409_eus-gaap--PropertyPlantAndEquipm"/>
            <w:bookmarkEnd w:id="340"/>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gross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41" w:name="xdx_40F_eus-gaap--AccumulatedDepreciatio"/>
            <w:bookmarkEnd w:id="341"/>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42" w:name="xdx_40A_eus-gaap--PropertyPlantAndEquipm"/>
            <w:bookmarkEnd w:id="342"/>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343" w:name="xdx_8A8_zAXLojoSfgJ1"/>
      <w:bookmarkEnd w:id="343"/>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months ended March 31, 2026 and 2025 was $</w:t>
      </w:r>
      <w:bookmarkStart w:id="344" w:name="xdx_902_eus-gaap--Depreciation_pn3n3_c20"/>
      <w:bookmarkEnd w:id="344"/>
      <w:r>
        <w:rPr>
          <w:rFonts w:ascii="Times New Roman;Times;Serif" w:hAnsi="Times New Roman;Times;Serif"/>
          <w:b w:val="false"/>
          <w:i w:val="false"/>
          <w:caps w:val="false"/>
          <w:smallCaps w:val="false"/>
          <w:sz w:val="20"/>
        </w:rPr>
        <w:t>29 and $</w:t>
      </w:r>
      <w:bookmarkStart w:id="345" w:name="xdx_904_eus-gaap--Depreciation_pn3n3_c20"/>
      <w:bookmarkEnd w:id="345"/>
      <w:r>
        <w:rPr>
          <w:rFonts w:ascii="Times New Roman;Times;Serif" w:hAnsi="Times New Roman;Times;Serif"/>
          <w:b w:val="false"/>
          <w:i w:val="false"/>
          <w:caps w:val="false"/>
          <w:smallCaps w:val="false"/>
          <w:sz w:val="20"/>
        </w:rPr>
        <w:t>123, respectively. Depreciation expense for the six months ended March 31, 2026 and 2025 was $</w:t>
      </w:r>
      <w:bookmarkStart w:id="346" w:name="xdx_900_eus-gaap--Depreciation_pn3n3_c20"/>
      <w:bookmarkEnd w:id="346"/>
      <w:r>
        <w:rPr>
          <w:rFonts w:ascii="Times New Roman;Times;Serif" w:hAnsi="Times New Roman;Times;Serif"/>
          <w:b w:val="false"/>
          <w:i w:val="false"/>
          <w:caps w:val="false"/>
          <w:smallCaps w:val="false"/>
          <w:sz w:val="20"/>
        </w:rPr>
        <w:t>78 and $</w:t>
      </w:r>
      <w:bookmarkStart w:id="347" w:name="xdx_903_eus-gaap--Depreciation_pn3n3_c20"/>
      <w:bookmarkEnd w:id="347"/>
      <w:r>
        <w:rPr>
          <w:rFonts w:ascii="Times New Roman;Times;Serif" w:hAnsi="Times New Roman;Times;Serif"/>
          <w:b w:val="false"/>
          <w:i w:val="false"/>
          <w:caps w:val="false"/>
          <w:smallCaps w:val="false"/>
          <w:sz w:val="20"/>
        </w:rPr>
        <w:t>246,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8" w:name="xdx_80E_eus-gaap--IntangibleAssetsDisclo"/>
      <w:bookmarkEnd w:id="348"/>
      <w:r>
        <w:rPr>
          <w:rFonts w:ascii="Times New Roman;Times;Serif" w:hAnsi="Times New Roman;Times;Serif"/>
          <w:b/>
          <w:i w:val="false"/>
          <w:caps w:val="false"/>
          <w:smallCaps w:val="false"/>
          <w:sz w:val="20"/>
        </w:rPr>
        <w:t xml:space="preserve">Note 5 — </w:t>
      </w:r>
      <w:bookmarkStart w:id="349" w:name="xdx_825_zNNzCNfkhtc9"/>
      <w:bookmarkEnd w:id="349"/>
      <w:r>
        <w:rPr>
          <w:rFonts w:ascii="Times New Roman;Times;Serif" w:hAnsi="Times New Roman;Times;Serif"/>
          <w:b/>
          <w:i w:val="false"/>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0" w:name="xdx_896_eus-gaap--ScheduleOfFiniteLivedI"/>
      <w:bookmarkEnd w:id="350"/>
      <w:r>
        <w:rPr>
          <w:rFonts w:ascii="Times New Roman;Times;Serif" w:hAnsi="Times New Roman;Times;Serif"/>
          <w:b w:val="false"/>
          <w:i w:val="false"/>
          <w:caps w:val="false"/>
          <w:smallCaps w:val="false"/>
          <w:sz w:val="20"/>
        </w:rPr>
        <w:t>Intangible assets, net consist of the following:</w:t>
      </w:r>
    </w:p>
    <w:p>
      <w:pPr>
        <w:pStyle w:val="TextBody"/>
        <w:bidi w:val="0"/>
        <w:spacing w:before="0" w:after="0"/>
        <w:ind w:left="0" w:right="0" w:hanging="0"/>
        <w:jc w:val="both"/>
        <w:rPr>
          <w:caps w:val="false"/>
          <w:smallCaps w:val="false"/>
        </w:rPr>
      </w:pPr>
      <w:r>
        <w:rPr>
          <w:caps w:val="false"/>
          <w:smallCaps w:val="false"/>
        </w:rPr>
        <w:t> </w:t>
      </w:r>
      <w:bookmarkStart w:id="351" w:name="xdx_8B4_zXaF5HIWgFxk"/>
      <w:bookmarkEnd w:id="351"/>
      <w:r>
        <w:rPr>
          <w:rFonts w:ascii="Times New Roman;Times;Serif" w:hAnsi="Times New Roman;Times;Serif"/>
          <w:b w:val="false"/>
          <w:i w:val="false"/>
          <w:caps w:val="false"/>
          <w:smallCaps w:val="false"/>
          <w:sz w:val="20"/>
        </w:rPr>
        <w:t>Schedule of Intangible Assets, Net</w:t>
      </w:r>
    </w:p>
    <w:tbl>
      <w:tblPr>
        <w:tblW w:w="9654" w:type="dxa"/>
        <w:jc w:val="left"/>
        <w:tblInd w:w="0" w:type="dxa"/>
        <w:tblLayout w:type="fixed"/>
        <w:tblCellMar>
          <w:top w:w="0" w:type="dxa"/>
          <w:left w:w="0" w:type="dxa"/>
          <w:bottom w:w="0" w:type="dxa"/>
          <w:right w:w="0" w:type="dxa"/>
        </w:tblCellMar>
      </w:tblPr>
      <w:tblGrid>
        <w:gridCol w:w="2195"/>
        <w:gridCol w:w="60"/>
        <w:gridCol w:w="115"/>
        <w:gridCol w:w="819"/>
        <w:gridCol w:w="60"/>
        <w:gridCol w:w="60"/>
        <w:gridCol w:w="140"/>
        <w:gridCol w:w="680"/>
        <w:gridCol w:w="60"/>
        <w:gridCol w:w="60"/>
        <w:gridCol w:w="209"/>
        <w:gridCol w:w="951"/>
        <w:gridCol w:w="95"/>
        <w:gridCol w:w="60"/>
        <w:gridCol w:w="140"/>
        <w:gridCol w:w="680"/>
        <w:gridCol w:w="60"/>
        <w:gridCol w:w="60"/>
        <w:gridCol w:w="140"/>
        <w:gridCol w:w="680"/>
        <w:gridCol w:w="60"/>
        <w:gridCol w:w="60"/>
        <w:gridCol w:w="209"/>
        <w:gridCol w:w="951"/>
        <w:gridCol w:w="95"/>
        <w:gridCol w:w="60"/>
        <w:gridCol w:w="140"/>
        <w:gridCol w:w="680"/>
        <w:gridCol w:w="75"/>
      </w:tblGrid>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4" w:type="dxa"/>
            <w:gridSpan w:val="2"/>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5" w:type="dxa"/>
            <w:gridSpan w:val="10"/>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5" w:type="dxa"/>
            <w:gridSpan w:val="10"/>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 2025</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34" w:type="dxa"/>
            <w:gridSpan w:val="2"/>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Life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20"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60" w:type="dxa"/>
            <w:gridSpan w:val="2"/>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20"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20"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60" w:type="dxa"/>
            <w:gridSpan w:val="2"/>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20" w:type="dxa"/>
            <w:gridSpan w:val="2"/>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21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3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2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6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Amortization</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2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2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6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Amortization</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2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r>
          </w:p>
        </w:tc>
        <w:tc>
          <w:tcPr>
            <w:tcW w:w="75" w:type="dxa"/>
            <w:tcBorders/>
            <w:shd w:fill="FFFFFF" w:val="clear"/>
            <w:vAlign w:val="center"/>
          </w:tcPr>
          <w:p>
            <w:pPr>
              <w:pStyle w:val="TableContents"/>
              <w:bidi w:val="0"/>
              <w:spacing w:before="0" w:after="283"/>
              <w:jc w:val="center"/>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Developed technology</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sz w:val="20"/>
              </w:rPr>
            </w:pPr>
            <w:bookmarkStart w:id="352" w:name="xdx_909_eus-gaap--FiniteLivedIntangibleA"/>
            <w:bookmarkEnd w:id="352"/>
            <w:r>
              <w:rPr>
                <w:rFonts w:ascii="Times New Roman;Times;Serif" w:hAnsi="Times New Roman;Times;Serif"/>
                <w:sz w:val="20"/>
              </w:rPr>
              <w:t xml:space="preserve">7 – </w:t>
            </w:r>
            <w:bookmarkStart w:id="353" w:name="xdx_90F_eus-gaap--FiniteLivedIntangibleA"/>
            <w:bookmarkEnd w:id="353"/>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4" w:name="xdx_984_eus-gaap--FiniteLivedIntangibleA"/>
            <w:bookmarkEnd w:id="354"/>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5" w:name="xdx_98A_eus-gaap--FiniteLivedIntangibleA"/>
            <w:bookmarkEnd w:id="355"/>
          </w:p>
        </w:tc>
        <w:tc>
          <w:tcPr>
            <w:tcW w:w="9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6" w:name="xdx_989_eus-gaap--FiniteLivedIntangibleA"/>
            <w:bookmarkEnd w:id="356"/>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7" w:name="xdx_982_eus-gaap--FiniteLivedIntangibleA"/>
            <w:bookmarkEnd w:id="357"/>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8" w:name="xdx_98E_eus-gaap--FiniteLivedIntangibleA"/>
            <w:bookmarkEnd w:id="358"/>
          </w:p>
        </w:tc>
        <w:tc>
          <w:tcPr>
            <w:tcW w:w="9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9" w:name="xdx_989_eus-gaap--FiniteLivedIntangibleA"/>
            <w:bookmarkEnd w:id="359"/>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2,891</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sz w:val="20"/>
              </w:rPr>
            </w:pPr>
            <w:bookmarkStart w:id="360" w:name="xdx_90B_eus-gaap--FiniteLivedIntangibleA"/>
            <w:bookmarkEnd w:id="360"/>
            <w:r>
              <w:rPr>
                <w:rFonts w:ascii="Times New Roman;Times;Serif" w:hAnsi="Times New Roman;Times;Serif"/>
                <w:sz w:val="20"/>
              </w:rPr>
              <w:t>12 –</w:t>
            </w:r>
            <w:bookmarkStart w:id="361" w:name="xdx_90B_eus-gaap--FiniteLivedIntangibleA"/>
            <w:bookmarkEnd w:id="361"/>
            <w:r>
              <w:rPr>
                <w:rFonts w:ascii="Times New Roman;Times;Serif" w:hAnsi="Times New Roman;Times;Serif"/>
                <w:sz w:val="20"/>
              </w:rPr>
              <w:t xml:space="preserve"> 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62" w:name="xdx_981_eus-gaap--FiniteLivedIntangibleA"/>
            <w:bookmarkEnd w:id="362"/>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bookmarkStart w:id="363" w:name="xdx_98B_eus-gaap--FiniteLivedIntangibleA"/>
            <w:bookmarkEnd w:id="363"/>
          </w:p>
        </w:tc>
        <w:tc>
          <w:tcPr>
            <w:tcW w:w="9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64" w:name="xdx_987_eus-gaap--FiniteLivedIntangibleA"/>
            <w:bookmarkEnd w:id="364"/>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65" w:name="xdx_989_eus-gaap--FiniteLivedIntangibleA"/>
            <w:bookmarkEnd w:id="365"/>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bookmarkStart w:id="366" w:name="xdx_98A_eus-gaap--FiniteLivedIntangibleA"/>
            <w:bookmarkEnd w:id="366"/>
          </w:p>
        </w:tc>
        <w:tc>
          <w:tcPr>
            <w:tcW w:w="9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67" w:name="xdx_988_eus-gaap--FiniteLivedIntangibleA"/>
            <w:bookmarkEnd w:id="367"/>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10,526</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names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sz w:val="20"/>
              </w:rPr>
            </w:pPr>
            <w:bookmarkStart w:id="368" w:name="xdx_90C_eus-gaap--FiniteLivedIntangibleA"/>
            <w:bookmarkEnd w:id="368"/>
            <w:r>
              <w:rPr>
                <w:rFonts w:ascii="Times New Roman;Times;Serif" w:hAnsi="Times New Roman;Times;Serif"/>
                <w:sz w:val="20"/>
              </w:rPr>
              <w:t xml:space="preserve">2 – </w:t>
            </w:r>
            <w:bookmarkStart w:id="369" w:name="xdx_901_eus-gaap--FiniteLivedIntangibleA"/>
            <w:bookmarkEnd w:id="369"/>
            <w:r>
              <w:rPr>
                <w:rFonts w:ascii="Times New Roman;Times;Serif" w:hAnsi="Times New Roman;Times;Serif"/>
                <w:sz w:val="20"/>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70" w:name="xdx_98A_eus-gaap--FiniteLivedIntangibleA"/>
            <w:bookmarkEnd w:id="370"/>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71" w:name="xdx_98B_eus-gaap--FiniteLivedIntangibleA"/>
            <w:bookmarkEnd w:id="371"/>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72" w:name="xdx_984_eus-gaap--FiniteLivedIntangibleA"/>
            <w:bookmarkEnd w:id="372"/>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73" w:name="xdx_98D_eus-gaap--FiniteLivedIntangibleA"/>
            <w:bookmarkEnd w:id="373"/>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74" w:name="xdx_983_eus-gaap--FiniteLivedIntangibleA"/>
            <w:bookmarkEnd w:id="374"/>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75" w:name="xdx_98B_eus-gaap--FiniteLivedIntangibleA"/>
            <w:bookmarkEnd w:id="375"/>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6" w:name="xdx_983_eus-gaap--FiniteLivedIntangibleA"/>
            <w:bookmarkEnd w:id="376"/>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7" w:name="xdx_982_eus-gaap--FiniteLivedIntangibleA"/>
            <w:bookmarkEnd w:id="377"/>
          </w:p>
        </w:tc>
        <w:tc>
          <w:tcPr>
            <w:tcW w:w="9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8" w:name="xdx_984_eus-gaap--FiniteLivedIntangibleA"/>
            <w:bookmarkEnd w:id="378"/>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9" w:name="xdx_982_eus-gaap--FiniteLivedIntangibleA"/>
            <w:bookmarkEnd w:id="379"/>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80" w:name="xdx_989_eus-gaap--FiniteLivedIntangibleA"/>
            <w:bookmarkEnd w:id="380"/>
          </w:p>
        </w:tc>
        <w:tc>
          <w:tcPr>
            <w:tcW w:w="9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81" w:name="xdx_98D_eus-gaap--FiniteLivedIntangibleA"/>
            <w:bookmarkEnd w:id="381"/>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2" w:name="xdx_8A1_zaRCdrxJveo3"/>
      <w:bookmarkEnd w:id="382"/>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related to intangible assets for the three months ended March 31, 2026 and 2025 was $</w:t>
      </w:r>
      <w:bookmarkStart w:id="383" w:name="xdx_907_eus-gaap--AmortizationOfIntangib"/>
      <w:bookmarkEnd w:id="383"/>
      <w:r>
        <w:rPr>
          <w:rFonts w:ascii="Times New Roman;Times;Serif" w:hAnsi="Times New Roman;Times;Serif"/>
          <w:b w:val="false"/>
          <w:i w:val="false"/>
          <w:caps w:val="false"/>
          <w:smallCaps w:val="false"/>
          <w:sz w:val="20"/>
        </w:rPr>
        <w:t>395 and $</w:t>
      </w:r>
      <w:bookmarkStart w:id="384" w:name="xdx_903_eus-gaap--AmortizationOfIntangib"/>
      <w:bookmarkEnd w:id="384"/>
      <w:r>
        <w:rPr>
          <w:rFonts w:ascii="Times New Roman;Times;Serif" w:hAnsi="Times New Roman;Times;Serif"/>
          <w:b w:val="false"/>
          <w:i w:val="false"/>
          <w:caps w:val="false"/>
          <w:smallCaps w:val="false"/>
          <w:sz w:val="20"/>
        </w:rPr>
        <w:t>407, respectively. Amortization expense related to intangible assets for the six months ended March 31, 2026 and 2025 was $</w:t>
      </w:r>
      <w:bookmarkStart w:id="385" w:name="xdx_905_eus-gaap--AmortizationOfIntangib"/>
      <w:bookmarkEnd w:id="385"/>
      <w:r>
        <w:rPr>
          <w:rFonts w:ascii="Times New Roman;Times;Serif" w:hAnsi="Times New Roman;Times;Serif"/>
          <w:b w:val="false"/>
          <w:i w:val="false"/>
          <w:caps w:val="false"/>
          <w:smallCaps w:val="false"/>
          <w:sz w:val="20"/>
        </w:rPr>
        <w:t>801 and $</w:t>
      </w:r>
      <w:bookmarkStart w:id="386" w:name="xdx_90A_eus-gaap--AmortizationOfIntangib"/>
      <w:bookmarkEnd w:id="386"/>
      <w:r>
        <w:rPr>
          <w:rFonts w:ascii="Times New Roman;Times;Serif" w:hAnsi="Times New Roman;Times;Serif"/>
          <w:b w:val="false"/>
          <w:i w:val="false"/>
          <w:caps w:val="false"/>
          <w:smallCaps w:val="false"/>
          <w:sz w:val="20"/>
        </w:rPr>
        <w:t xml:space="preserve">878, respectively. The weighted-average remaining lives of intangible assets as of March 31, 2026 were developed technology </w:t>
      </w:r>
      <w:bookmarkStart w:id="387" w:name="xdx_905_eus-gaap--AcquiredFiniteLivedInt"/>
      <w:bookmarkEnd w:id="387"/>
      <w:r>
        <w:rPr>
          <w:rFonts w:ascii="Times New Roman;Times;Serif" w:hAnsi="Times New Roman;Times;Serif"/>
          <w:b w:val="false"/>
          <w:i w:val="false"/>
          <w:caps w:val="false"/>
          <w:smallCaps w:val="false"/>
          <w:sz w:val="20"/>
        </w:rPr>
        <w:t xml:space="preserve">4.5 years; customer relationships </w:t>
      </w:r>
      <w:bookmarkStart w:id="388" w:name="xdx_90B_eus-gaap--AcquiredFiniteLivedInt"/>
      <w:bookmarkEnd w:id="388"/>
      <w:r>
        <w:rPr>
          <w:rFonts w:ascii="Times New Roman;Times;Serif" w:hAnsi="Times New Roman;Times;Serif"/>
          <w:b w:val="false"/>
          <w:i w:val="false"/>
          <w:caps w:val="false"/>
          <w:smallCaps w:val="false"/>
          <w:sz w:val="20"/>
        </w:rPr>
        <w:t xml:space="preserve">11.1 years; and trade names </w:t>
      </w:r>
      <w:bookmarkStart w:id="389" w:name="xdx_90C_eus-gaap--AcquiredFiniteLivedInt"/>
      <w:bookmarkEnd w:id="389"/>
      <w:r>
        <w:rPr>
          <w:rFonts w:ascii="Times New Roman;Times;Serif" w:hAnsi="Times New Roman;Times;Serif"/>
          <w:b w:val="false"/>
          <w:i w:val="false"/>
          <w:caps w:val="false"/>
          <w:smallCaps w:val="false"/>
          <w:sz w:val="20"/>
        </w:rPr>
        <w:t>0.6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90" w:name="xdx_89E_eus-gaap--ScheduleofFiniteLivedI"/>
      <w:bookmarkEnd w:id="390"/>
      <w:r>
        <w:rPr>
          <w:rFonts w:ascii="Times New Roman;Times;Serif" w:hAnsi="Times New Roman;Times;Serif"/>
          <w:b w:val="false"/>
          <w:i w:val="false"/>
          <w:caps w:val="false"/>
          <w:smallCaps w:val="false"/>
          <w:sz w:val="20"/>
        </w:rPr>
        <w:t>Estimated future amortization expense for intangible assets by fiscal year as of March 31, 2026 is as follows:</w:t>
      </w:r>
    </w:p>
    <w:p>
      <w:pPr>
        <w:pStyle w:val="TextBody"/>
        <w:bidi w:val="0"/>
        <w:spacing w:before="0" w:after="0"/>
        <w:ind w:left="0" w:right="0" w:hanging="0"/>
        <w:jc w:val="left"/>
        <w:rPr>
          <w:caps w:val="false"/>
          <w:smallCaps w:val="false"/>
        </w:rPr>
      </w:pPr>
      <w:r>
        <w:rPr>
          <w:caps w:val="false"/>
          <w:smallCaps w:val="false"/>
        </w:rPr>
        <w:t> </w:t>
      </w:r>
      <w:bookmarkStart w:id="391" w:name="xdx_8BD_zYDtCGn8Jcc5"/>
      <w:bookmarkEnd w:id="391"/>
      <w:r>
        <w:rPr>
          <w:rFonts w:ascii="Times New Roman;Times;Serif" w:hAnsi="Times New Roman;Times;Serif"/>
          <w:b w:val="false"/>
          <w:i w:val="false"/>
          <w:caps w:val="false"/>
          <w:smallCaps w:val="false"/>
          <w:sz w:val="20"/>
        </w:rPr>
        <w:t>Schedule of Estimated Future Amortization Expense for Intangible Assets</w:t>
      </w:r>
    </w:p>
    <w:tbl>
      <w:tblPr>
        <w:tblW w:w="3705" w:type="dxa"/>
        <w:jc w:val="left"/>
        <w:tblInd w:w="0" w:type="dxa"/>
        <w:tblLayout w:type="fixed"/>
        <w:tblCellMar>
          <w:top w:w="0" w:type="dxa"/>
          <w:left w:w="0" w:type="dxa"/>
          <w:bottom w:w="28" w:type="dxa"/>
          <w:right w:w="0" w:type="dxa"/>
        </w:tblCellMar>
      </w:tblPr>
      <w:tblGrid>
        <w:gridCol w:w="2750"/>
        <w:gridCol w:w="60"/>
        <w:gridCol w:w="140"/>
        <w:gridCol w:w="680"/>
        <w:gridCol w:w="75"/>
      </w:tblGrid>
      <w:tr>
        <w:trPr/>
        <w:tc>
          <w:tcPr>
            <w:tcW w:w="2750"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Years ending September 30,</w:t>
            </w:r>
          </w:p>
        </w:tc>
        <w:tc>
          <w:tcPr>
            <w:tcW w:w="60" w:type="dxa"/>
            <w:tcBorders/>
            <w:tcMar>
              <w:bottom w:w="0" w:type="dxa"/>
            </w:tcMar>
            <w:vAlign w:val="center"/>
          </w:tcPr>
          <w:p>
            <w:pPr>
              <w:pStyle w:val="TableContents"/>
              <w:bidi w:val="0"/>
              <w:spacing w:before="0" w:after="283"/>
              <w:jc w:val="left"/>
              <w:rPr/>
            </w:pPr>
            <w:r>
              <w:rPr/>
              <w:t> </w:t>
            </w:r>
            <w:bookmarkStart w:id="392" w:name="xdx_49A_20260331_z7YaQGnmRGDj"/>
            <w:bookmarkEnd w:id="392"/>
          </w:p>
        </w:tc>
        <w:tc>
          <w:tcPr>
            <w:tcW w:w="82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bookmarkStart w:id="393" w:name="xdx_404_eus-gaap--FiniteLivedIntangibleA"/>
            <w:bookmarkEnd w:id="393"/>
          </w:p>
        </w:tc>
      </w:tr>
      <w:tr>
        <w:trPr/>
        <w:tc>
          <w:tcPr>
            <w:tcW w:w="27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 (remaining six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w:t>
            </w:r>
          </w:p>
        </w:tc>
        <w:tc>
          <w:tcPr>
            <w:tcW w:w="75" w:type="dxa"/>
            <w:tcBorders/>
            <w:shd w:fill="CCEEFF" w:val="clear"/>
            <w:tcMar>
              <w:bottom w:w="0" w:type="dxa"/>
            </w:tcMar>
            <w:vAlign w:val="center"/>
          </w:tcPr>
          <w:p>
            <w:pPr>
              <w:pStyle w:val="TableContents"/>
              <w:bidi w:val="0"/>
              <w:spacing w:before="0" w:after="283"/>
              <w:jc w:val="left"/>
              <w:rPr/>
            </w:pPr>
            <w:r>
              <w:rPr/>
              <w:t> </w:t>
            </w:r>
            <w:bookmarkStart w:id="394" w:name="xdx_403_eus-gaap--FiniteLivedIntangibleA"/>
            <w:bookmarkEnd w:id="394"/>
          </w:p>
        </w:tc>
      </w:tr>
      <w:tr>
        <w:trPr/>
        <w:tc>
          <w:tcPr>
            <w:tcW w:w="27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Remaining six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w:t>
            </w:r>
          </w:p>
        </w:tc>
        <w:tc>
          <w:tcPr>
            <w:tcW w:w="75" w:type="dxa"/>
            <w:tcBorders/>
            <w:shd w:fill="CCEEFF" w:val="clear"/>
            <w:tcMar>
              <w:bottom w:w="0" w:type="dxa"/>
            </w:tcMar>
            <w:vAlign w:val="center"/>
          </w:tcPr>
          <w:p>
            <w:pPr>
              <w:pStyle w:val="TableContents"/>
              <w:bidi w:val="0"/>
              <w:spacing w:before="0" w:after="283"/>
              <w:jc w:val="left"/>
              <w:rPr/>
            </w:pPr>
            <w:r>
              <w:rPr/>
              <w:t> </w:t>
            </w:r>
            <w:bookmarkStart w:id="395" w:name="xdx_40F_eus-gaap--FiniteLivedIntangibleA"/>
            <w:bookmarkEnd w:id="395"/>
          </w:p>
        </w:tc>
      </w:tr>
      <w:tr>
        <w:trPr/>
        <w:tc>
          <w:tcPr>
            <w:tcW w:w="27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1,510</w:t>
            </w:r>
          </w:p>
        </w:tc>
        <w:tc>
          <w:tcPr>
            <w:tcW w:w="75" w:type="dxa"/>
            <w:tcBorders/>
            <w:shd w:fill="FFFFFF" w:val="clear"/>
            <w:tcMar>
              <w:bottom w:w="0" w:type="dxa"/>
            </w:tcMar>
            <w:vAlign w:val="center"/>
          </w:tcPr>
          <w:p>
            <w:pPr>
              <w:pStyle w:val="TableContents"/>
              <w:bidi w:val="0"/>
              <w:spacing w:before="0" w:after="283"/>
              <w:jc w:val="left"/>
              <w:rPr/>
            </w:pPr>
            <w:r>
              <w:rPr/>
              <w:t> </w:t>
            </w:r>
            <w:bookmarkStart w:id="396" w:name="xdx_404_eus-gaap--FiniteLivedIntangibleA"/>
            <w:bookmarkEnd w:id="396"/>
          </w:p>
        </w:tc>
      </w:tr>
      <w:tr>
        <w:trPr/>
        <w:tc>
          <w:tcPr>
            <w:tcW w:w="27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w:t>
            </w:r>
          </w:p>
        </w:tc>
        <w:tc>
          <w:tcPr>
            <w:tcW w:w="75" w:type="dxa"/>
            <w:tcBorders/>
            <w:shd w:fill="CCEEFF" w:val="clear"/>
            <w:tcMar>
              <w:bottom w:w="0" w:type="dxa"/>
            </w:tcMar>
            <w:vAlign w:val="center"/>
          </w:tcPr>
          <w:p>
            <w:pPr>
              <w:pStyle w:val="TableContents"/>
              <w:bidi w:val="0"/>
              <w:spacing w:before="0" w:after="283"/>
              <w:jc w:val="left"/>
              <w:rPr/>
            </w:pPr>
            <w:r>
              <w:rPr/>
              <w:t> </w:t>
            </w:r>
            <w:bookmarkStart w:id="397" w:name="xdx_402_eus-gaap--FiniteLivedIntangibleA"/>
            <w:bookmarkEnd w:id="397"/>
          </w:p>
        </w:tc>
      </w:tr>
      <w:tr>
        <w:trPr/>
        <w:tc>
          <w:tcPr>
            <w:tcW w:w="27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w:t>
            </w:r>
          </w:p>
        </w:tc>
        <w:tc>
          <w:tcPr>
            <w:tcW w:w="75" w:type="dxa"/>
            <w:tcBorders/>
            <w:shd w:fill="FFFFFF" w:val="clear"/>
            <w:tcMar>
              <w:bottom w:w="0" w:type="dxa"/>
            </w:tcMar>
            <w:vAlign w:val="center"/>
          </w:tcPr>
          <w:p>
            <w:pPr>
              <w:pStyle w:val="TableContents"/>
              <w:bidi w:val="0"/>
              <w:spacing w:before="0" w:after="283"/>
              <w:jc w:val="left"/>
              <w:rPr/>
            </w:pPr>
            <w:r>
              <w:rPr/>
              <w:t> </w:t>
            </w:r>
            <w:bookmarkStart w:id="398" w:name="xdx_40C_eus-gaap--FiniteLivedIntangibleA"/>
            <w:bookmarkEnd w:id="398"/>
          </w:p>
        </w:tc>
      </w:tr>
      <w:tr>
        <w:trPr/>
        <w:tc>
          <w:tcPr>
            <w:tcW w:w="27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1,454</w:t>
            </w:r>
          </w:p>
        </w:tc>
        <w:tc>
          <w:tcPr>
            <w:tcW w:w="75" w:type="dxa"/>
            <w:tcBorders/>
            <w:shd w:fill="CCEEFF" w:val="clear"/>
            <w:tcMar>
              <w:bottom w:w="0" w:type="dxa"/>
            </w:tcMar>
            <w:vAlign w:val="center"/>
          </w:tcPr>
          <w:p>
            <w:pPr>
              <w:pStyle w:val="TableContents"/>
              <w:bidi w:val="0"/>
              <w:spacing w:before="0" w:after="283"/>
              <w:jc w:val="left"/>
              <w:rPr/>
            </w:pPr>
            <w:r>
              <w:rPr/>
              <w:t> </w:t>
            </w:r>
            <w:bookmarkStart w:id="399" w:name="xdx_402_eus-gaap--FiniteLivedIntangibleA"/>
            <w:bookmarkEnd w:id="399"/>
          </w:p>
        </w:tc>
      </w:tr>
      <w:tr>
        <w:trPr/>
        <w:tc>
          <w:tcPr>
            <w:tcW w:w="27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Year V</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400" w:name="xdx_403_ecustom--FiniteLivedIntangibleAs"/>
            <w:bookmarkEnd w:id="400"/>
          </w:p>
        </w:tc>
      </w:tr>
      <w:tr>
        <w:trPr/>
        <w:tc>
          <w:tcPr>
            <w:tcW w:w="27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5,969</w:t>
            </w:r>
          </w:p>
        </w:tc>
        <w:tc>
          <w:tcPr>
            <w:tcW w:w="75" w:type="dxa"/>
            <w:tcBorders/>
            <w:shd w:fill="FFFFFF" w:val="clear"/>
            <w:tcMar>
              <w:bottom w:w="0" w:type="dxa"/>
            </w:tcMar>
            <w:vAlign w:val="center"/>
          </w:tcPr>
          <w:p>
            <w:pPr>
              <w:pStyle w:val="TableContents"/>
              <w:bidi w:val="0"/>
              <w:spacing w:before="0" w:after="283"/>
              <w:jc w:val="left"/>
              <w:rPr/>
            </w:pPr>
            <w:r>
              <w:rPr/>
              <w:t> </w:t>
            </w:r>
            <w:bookmarkStart w:id="401" w:name="xdx_408_eus-gaap--FiniteLivedIntangibleA"/>
            <w:bookmarkEnd w:id="401"/>
          </w:p>
        </w:tc>
      </w:tr>
      <w:tr>
        <w:trPr/>
        <w:tc>
          <w:tcPr>
            <w:tcW w:w="27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Thereafter, Year V</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bookmarkStart w:id="402" w:name="xdx_40D_eus-gaap--FiniteLivedIntangibleA"/>
            <w:bookmarkEnd w:id="402"/>
          </w:p>
        </w:tc>
      </w:tr>
      <w:tr>
        <w:trPr/>
        <w:tc>
          <w:tcPr>
            <w:tcW w:w="27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12,718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03" w:name="xdx_8A8_zrJx5Gnjmoi7"/>
      <w:bookmarkEnd w:id="403"/>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4" w:name="xdx_809_eus-gaap--AccountsPayableAccrued"/>
      <w:bookmarkEnd w:id="404"/>
      <w:r>
        <w:rPr>
          <w:rFonts w:ascii="Times New Roman;Times;Serif" w:hAnsi="Times New Roman;Times;Serif"/>
          <w:b/>
          <w:i w:val="false"/>
          <w:caps w:val="false"/>
          <w:smallCaps w:val="false"/>
          <w:sz w:val="20"/>
        </w:rPr>
        <w:t xml:space="preserve">Note 6 — </w:t>
      </w:r>
      <w:bookmarkStart w:id="405" w:name="xdx_82A_zlCJPWiOyIm4"/>
      <w:bookmarkEnd w:id="405"/>
      <w:r>
        <w:rPr>
          <w:rFonts w:ascii="Times New Roman;Times;Serif" w:hAnsi="Times New Roman;Times;Serif"/>
          <w:b/>
          <w:i w:val="false"/>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06" w:name="xdx_89D_eus-gaap--ScheduleOfAccruedLiabi"/>
      <w:bookmarkEnd w:id="406"/>
      <w:r>
        <w:rPr>
          <w:rFonts w:ascii="Times New Roman;Times;Serif" w:hAnsi="Times New Roman;Times;Serif"/>
          <w:b w:val="false"/>
          <w:i w:val="false"/>
          <w:caps w:val="false"/>
          <w:smallCaps w:val="false"/>
          <w:sz w:val="20"/>
        </w:rPr>
        <w:t>Accrued expenses and other current liabilities consist of the following:</w:t>
      </w:r>
    </w:p>
    <w:p>
      <w:pPr>
        <w:pStyle w:val="TextBody"/>
        <w:bidi w:val="0"/>
        <w:spacing w:before="0" w:after="0"/>
        <w:ind w:left="0" w:right="0" w:hanging="0"/>
        <w:jc w:val="left"/>
        <w:rPr>
          <w:caps w:val="false"/>
          <w:smallCaps w:val="false"/>
        </w:rPr>
      </w:pPr>
      <w:r>
        <w:rPr>
          <w:caps w:val="false"/>
          <w:smallCaps w:val="false"/>
        </w:rPr>
        <w:t> </w:t>
      </w:r>
      <w:bookmarkStart w:id="407" w:name="xdx_8BE_zS54fz9fTFqa"/>
      <w:bookmarkEnd w:id="407"/>
      <w:r>
        <w:rPr>
          <w:rFonts w:ascii="Times New Roman;Times;Serif" w:hAnsi="Times New Roman;Times;Serif"/>
          <w:b w:val="false"/>
          <w:i w:val="false"/>
          <w:caps w:val="false"/>
          <w:smallCaps w:val="false"/>
          <w:sz w:val="20"/>
        </w:rPr>
        <w:t>Schedule of Accrued Expenses and Other Current Liabilities</w:t>
      </w:r>
    </w:p>
    <w:tbl>
      <w:tblPr>
        <w:tblW w:w="6538" w:type="dxa"/>
        <w:jc w:val="left"/>
        <w:tblInd w:w="0" w:type="dxa"/>
        <w:tblLayout w:type="fixed"/>
        <w:tblCellMar>
          <w:top w:w="0" w:type="dxa"/>
          <w:left w:w="0" w:type="dxa"/>
          <w:bottom w:w="0" w:type="dxa"/>
          <w:right w:w="0" w:type="dxa"/>
        </w:tblCellMar>
      </w:tblPr>
      <w:tblGrid>
        <w:gridCol w:w="4175"/>
        <w:gridCol w:w="60"/>
        <w:gridCol w:w="155"/>
        <w:gridCol w:w="734"/>
        <w:gridCol w:w="60"/>
        <w:gridCol w:w="60"/>
        <w:gridCol w:w="212"/>
        <w:gridCol w:w="1007"/>
        <w:gridCol w:w="75"/>
      </w:tblGrid>
      <w:tr>
        <w:trPr/>
        <w:tc>
          <w:tcPr>
            <w:tcW w:w="41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08" w:name="xdx_494_20260331_zKBCa62GyVsj"/>
            <w:bookmarkEnd w:id="408"/>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09" w:name="xdx_49E_20250930_zpK9A8zHwW06"/>
            <w:bookmarkEnd w:id="409"/>
          </w:p>
        </w:tc>
        <w:tc>
          <w:tcPr>
            <w:tcW w:w="12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410" w:name="xdx_406_eus-gaap--WorkersCompensationLia"/>
            <w:bookmarkEnd w:id="410"/>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compensation and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4"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956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11" w:name="xdx_404_eus-gaap--AccruedProfessionalFee"/>
            <w:bookmarkEnd w:id="411"/>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professional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302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12" w:name="xdx_406_eus-gaap--InterestPayableCurrent"/>
            <w:bookmarkEnd w:id="412"/>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694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13" w:name="xdx_40E_eus-gaap--DeferredRevenueCurrent"/>
            <w:bookmarkEnd w:id="413"/>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1,473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14" w:name="xdx_408_ecustom--CommittedEquityFacility"/>
            <w:bookmarkEnd w:id="414"/>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Committed equity facility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15" w:name="xdx_400_ecustom--UnpaidMergerRelatedTran"/>
            <w:bookmarkEnd w:id="415"/>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Unpaid Merger-related transaction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1,090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16" w:name="xdx_40A_ecustom--EarnoutCurrent_iI_pn3n3"/>
            <w:bookmarkEnd w:id="416"/>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RaGE Earnout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2,000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17" w:name="xdx_40C_eus-gaap--OtherAccruedLiabilitie"/>
            <w:bookmarkEnd w:id="417"/>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1,840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18" w:name="xdx_406_eus-gaap--AccruedLiabilitiesCurr"/>
            <w:bookmarkEnd w:id="418"/>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419" w:name="xdx_8AC_zPa20KxTfKnl"/>
      <w:bookmarkEnd w:id="41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0" w:name="xdx_804_eus-gaap--DebtDisclosureTextBloc"/>
      <w:bookmarkEnd w:id="420"/>
      <w:r>
        <w:rPr>
          <w:rFonts w:ascii="Times New Roman;Times;Serif" w:hAnsi="Times New Roman;Times;Serif"/>
          <w:b/>
          <w:i w:val="false"/>
          <w:caps w:val="false"/>
          <w:smallCaps w:val="false"/>
          <w:sz w:val="20"/>
        </w:rPr>
        <w:t xml:space="preserve">Note 7 — </w:t>
      </w:r>
      <w:bookmarkStart w:id="421" w:name="xdx_821_z11RntxjOfgi"/>
      <w:bookmarkEnd w:id="421"/>
      <w:r>
        <w:rPr>
          <w:rFonts w:ascii="Times New Roman;Times;Serif" w:hAnsi="Times New Roman;Times;Serif"/>
          <w:b/>
          <w:i w:val="false"/>
          <w:caps w:val="false"/>
          <w:smallCaps w:val="false"/>
          <w:sz w:val="20"/>
        </w:rPr>
        <w:t>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22" w:name="xdx_895_eus-gaap--ScheduleOfDebtTableTex"/>
      <w:bookmarkEnd w:id="422"/>
      <w:r>
        <w:rPr>
          <w:rFonts w:ascii="Times New Roman;Times;Serif" w:hAnsi="Times New Roman;Times;Serif"/>
          <w:b w:val="false"/>
          <w:i w:val="false"/>
          <w:caps w:val="false"/>
          <w:smallCaps w:val="false"/>
          <w:sz w:val="20"/>
        </w:rPr>
        <w:t>Debt consists of the following:</w:t>
      </w:r>
    </w:p>
    <w:p>
      <w:pPr>
        <w:pStyle w:val="TextBody"/>
        <w:bidi w:val="0"/>
        <w:spacing w:before="0" w:after="0"/>
        <w:ind w:left="0" w:right="0" w:hanging="0"/>
        <w:jc w:val="left"/>
        <w:rPr>
          <w:caps w:val="false"/>
          <w:smallCaps w:val="false"/>
        </w:rPr>
      </w:pPr>
      <w:r>
        <w:rPr>
          <w:caps w:val="false"/>
          <w:smallCaps w:val="false"/>
        </w:rPr>
        <w:t> </w:t>
      </w:r>
      <w:bookmarkStart w:id="423" w:name="xdx_8B1_zX8xS5w3Cm57"/>
      <w:bookmarkEnd w:id="423"/>
      <w:r>
        <w:rPr>
          <w:rFonts w:ascii="Times New Roman;Times;Serif" w:hAnsi="Times New Roman;Times;Serif"/>
          <w:b w:val="false"/>
          <w:i w:val="false"/>
          <w:caps w:val="false"/>
          <w:smallCaps w:val="false"/>
          <w:sz w:val="20"/>
        </w:rPr>
        <w:t>Schedule of Debt</w:t>
      </w:r>
    </w:p>
    <w:tbl>
      <w:tblPr>
        <w:tblW w:w="6428" w:type="dxa"/>
        <w:jc w:val="left"/>
        <w:tblInd w:w="0" w:type="dxa"/>
        <w:tblLayout w:type="fixed"/>
        <w:tblCellMar>
          <w:top w:w="0" w:type="dxa"/>
          <w:left w:w="0" w:type="dxa"/>
          <w:bottom w:w="0" w:type="dxa"/>
          <w:right w:w="0" w:type="dxa"/>
        </w:tblCellMar>
      </w:tblPr>
      <w:tblGrid>
        <w:gridCol w:w="3560"/>
        <w:gridCol w:w="60"/>
        <w:gridCol w:w="193"/>
        <w:gridCol w:w="876"/>
        <w:gridCol w:w="95"/>
        <w:gridCol w:w="60"/>
        <w:gridCol w:w="265"/>
        <w:gridCol w:w="1209"/>
        <w:gridCol w:w="11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4" w:name="xdx_490_20260331_zXnV8FNeUOn1"/>
            <w:bookmarkEnd w:id="424"/>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5" w:name="xdx_49B_20250930_zi8DqUGSf2S"/>
            <w:bookmarkEnd w:id="425"/>
          </w:p>
        </w:tc>
        <w:tc>
          <w:tcPr>
            <w:tcW w:w="147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September 30,</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426" w:name="xdx_405_eus-gaap--NotesPayable_iI_pn3n3_"/>
            <w:bookmarkEnd w:id="426"/>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3,934</w:t>
            </w:r>
          </w:p>
        </w:tc>
        <w:tc>
          <w:tcPr>
            <w:tcW w:w="110" w:type="dxa"/>
            <w:tcBorders/>
            <w:shd w:fill="CCEEFF" w:val="clear"/>
            <w:vAlign w:val="center"/>
          </w:tcPr>
          <w:p>
            <w:pPr>
              <w:pStyle w:val="TableContents"/>
              <w:bidi w:val="0"/>
              <w:spacing w:before="0" w:after="283"/>
              <w:jc w:val="left"/>
              <w:rPr/>
            </w:pPr>
            <w:r>
              <w:rPr/>
              <w:t> </w:t>
            </w:r>
            <w:bookmarkStart w:id="427" w:name="xdx_400_eus-gaap--NotesPayable_iI_pn3n3_"/>
            <w:bookmarkEnd w:id="427"/>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 promissory notes – related parties</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2,251</w:t>
            </w:r>
          </w:p>
        </w:tc>
        <w:tc>
          <w:tcPr>
            <w:tcW w:w="110" w:type="dxa"/>
            <w:tcBorders/>
            <w:shd w:fill="FFFFFF" w:val="clear"/>
            <w:vAlign w:val="center"/>
          </w:tcPr>
          <w:p>
            <w:pPr>
              <w:pStyle w:val="TableContents"/>
              <w:bidi w:val="0"/>
              <w:spacing w:before="0" w:after="283"/>
              <w:jc w:val="left"/>
              <w:rPr/>
            </w:pPr>
            <w:r>
              <w:rPr/>
              <w:t> </w:t>
            </w:r>
            <w:bookmarkStart w:id="428" w:name="xdx_407_eus-gaap--NotesPayable_iI_pn3n3_"/>
            <w:bookmarkEnd w:id="428"/>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Notes payable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2,251</w:t>
            </w:r>
          </w:p>
        </w:tc>
        <w:tc>
          <w:tcPr>
            <w:tcW w:w="110" w:type="dxa"/>
            <w:tcBorders/>
            <w:shd w:fill="FFFFFF" w:val="clear"/>
            <w:vAlign w:val="center"/>
          </w:tcPr>
          <w:p>
            <w:pPr>
              <w:pStyle w:val="TableContents"/>
              <w:bidi w:val="0"/>
              <w:spacing w:before="0" w:after="283"/>
              <w:jc w:val="left"/>
              <w:rPr/>
            </w:pPr>
            <w:r>
              <w:rPr/>
              <w:t> </w:t>
            </w:r>
            <w:bookmarkStart w:id="429" w:name="xdx_400_eus-gaap--LongTermDebt_iI_pn3n3_"/>
            <w:bookmarkEnd w:id="429"/>
          </w:p>
        </w:tc>
      </w:tr>
      <w:tr>
        <w:trPr/>
        <w:tc>
          <w:tcPr>
            <w:tcW w:w="3560" w:type="dxa"/>
            <w:tcBorders/>
            <w:shd w:fill="CCEEFF" w:val="clear"/>
            <w:vAlign w:val="center"/>
          </w:tcPr>
          <w:p>
            <w:pPr>
              <w:pStyle w:val="TableContents"/>
              <w:bidi w:val="0"/>
              <w:spacing w:before="0" w:after="283"/>
              <w:jc w:val="left"/>
              <w:rPr/>
            </w:pPr>
            <w:r>
              <w:rPr/>
              <w:t> </w:t>
            </w:r>
            <w:r>
              <w:rPr>
                <w:rFonts w:ascii="Times New Roman;Times;Serif" w:hAnsi="Times New Roman;Times;Serif"/>
              </w:rPr>
              <w:t>Total debt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6,185</w:t>
            </w:r>
          </w:p>
        </w:tc>
        <w:tc>
          <w:tcPr>
            <w:tcW w:w="110" w:type="dxa"/>
            <w:tcBorders/>
            <w:shd w:fill="CCEEFF" w:val="clear"/>
            <w:vAlign w:val="center"/>
          </w:tcPr>
          <w:p>
            <w:pPr>
              <w:pStyle w:val="TableContents"/>
              <w:bidi w:val="0"/>
              <w:spacing w:before="0" w:after="283"/>
              <w:jc w:val="left"/>
              <w:rPr/>
            </w:pPr>
            <w:r>
              <w:rPr/>
              <w:t> </w:t>
            </w:r>
            <w:bookmarkStart w:id="430" w:name="xdx_402_eus-gaap--DebtCurrent_iNI_pn3n3_"/>
            <w:bookmarkEnd w:id="430"/>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Amounts classified as current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(5,428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1" w:name="xdx_408_eus-gaap--LongTermDebtNoncurrent"/>
            <w:bookmarkEnd w:id="431"/>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portion</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32" w:name="xdx_8A9_zoTrMtVezSj9"/>
      <w:bookmarkEnd w:id="432"/>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13, 2026, the Company entered into three exchange agreements pursuant to which certain outstanding indebtedness and other amounts owed were exchanged for shares of the Company’s Class A Common Stock. Under these agreements, </w:t>
      </w:r>
      <w:bookmarkStart w:id="433" w:name="xdx_905_eus-gaap--DebtInstrumentDescript"/>
      <w:bookmarkEnd w:id="433"/>
      <w:r>
        <w:rPr>
          <w:rFonts w:ascii="Times New Roman;Times;Serif" w:hAnsi="Times New Roman;Times;Serif"/>
          <w:b w:val="false"/>
          <w:i w:val="false"/>
          <w:caps w:val="false"/>
          <w:smallCaps w:val="false"/>
          <w:sz w:val="20"/>
        </w:rPr>
        <w:t>(i) indebtedness of $785 was exchanged for 107,571 shares of Class A Common Stock at an exchange price of $7.30 per share, (ii) outstanding obligations of $1,425 were partially settled through the issuance of shares having an aggregate value of $615, with the remaining balance to be resolved under a separate agreement, and (iii) outstanding amounts owed under a service agreement, including existing and expected invoices or obligations, were exchanged for 15,000 shares of Class A Common Stock. Upon closing, the applicable exchanged obligations were to be cancelled and extinguished in accordance with the terms of the respective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23, 2026 and March 31, 2026, the Company entered into three securities purchase agreements providing for the issuance of convertible notes. The first two agreements, entered into on February 23, 2026 and March 16, 2026, provided for bridge promissory notes with an aggregate principal amount of $</w:t>
      </w:r>
      <w:bookmarkStart w:id="434" w:name="xdx_90E_eus-gaap--DebtInstrumentFaceAmou"/>
      <w:bookmarkStart w:id="435" w:name="xdx_905_eus-gaap--DebtInstrumentFaceAmou"/>
      <w:bookmarkEnd w:id="434"/>
      <w:bookmarkEnd w:id="435"/>
      <w:r>
        <w:rPr>
          <w:rFonts w:ascii="Times New Roman;Times;Serif" w:hAnsi="Times New Roman;Times;Serif"/>
          <w:b w:val="false"/>
          <w:i w:val="false"/>
          <w:caps w:val="false"/>
          <w:smallCaps w:val="false"/>
          <w:sz w:val="20"/>
        </w:rPr>
        <w:t>554 aggregate original issue discount of $</w:t>
      </w:r>
      <w:bookmarkStart w:id="436" w:name="xdx_905_eus-gaap--DebtInstrumentUnamorti"/>
      <w:bookmarkStart w:id="437" w:name="xdx_90B_eus-gaap--DebtInstrumentUnamorti"/>
      <w:bookmarkEnd w:id="436"/>
      <w:bookmarkEnd w:id="437"/>
      <w:r>
        <w:rPr>
          <w:rFonts w:ascii="Times New Roman;Times;Serif" w:hAnsi="Times New Roman;Times;Serif"/>
          <w:b w:val="false"/>
          <w:i w:val="false"/>
          <w:caps w:val="false"/>
          <w:smallCaps w:val="false"/>
          <w:sz w:val="20"/>
        </w:rPr>
        <w:t>72, aggregate purchase price of $</w:t>
      </w:r>
      <w:bookmarkStart w:id="438" w:name="xdx_904_eus-gaap--PurchaseObligation_iI_"/>
      <w:bookmarkStart w:id="439" w:name="xdx_90D_eus-gaap--PurchaseObligation_iI_"/>
      <w:bookmarkEnd w:id="438"/>
      <w:bookmarkEnd w:id="439"/>
      <w:r>
        <w:rPr>
          <w:rFonts w:ascii="Times New Roman;Times;Serif" w:hAnsi="Times New Roman;Times;Serif"/>
          <w:b w:val="false"/>
          <w:i w:val="false"/>
          <w:caps w:val="false"/>
          <w:smallCaps w:val="false"/>
          <w:sz w:val="20"/>
        </w:rPr>
        <w:t xml:space="preserve">482, and one-time interest charges of </w:t>
      </w:r>
      <w:bookmarkStart w:id="440" w:name="xdx_90C_eus-gaap--ShortTermDebtInterestR"/>
      <w:bookmarkStart w:id="441" w:name="xdx_904_eus-gaap--ShortTermDebtInterestR"/>
      <w:bookmarkEnd w:id="440"/>
      <w:bookmarkEnd w:id="441"/>
      <w:r>
        <w:rPr>
          <w:rFonts w:ascii="Times New Roman;Times;Serif" w:hAnsi="Times New Roman;Times;Serif"/>
          <w:b w:val="false"/>
          <w:i w:val="false"/>
          <w:caps w:val="false"/>
          <w:smallCaps w:val="false"/>
          <w:sz w:val="20"/>
        </w:rPr>
        <w:t>12%, resulting in net proceeds to the Company of $</w:t>
      </w:r>
      <w:bookmarkStart w:id="442" w:name="xdx_909_eus-gaap--ProceedsFromOtherDebt_"/>
      <w:bookmarkStart w:id="443" w:name="xdx_90D_eus-gaap--ProceedsFromOtherDebt_"/>
      <w:bookmarkEnd w:id="442"/>
      <w:bookmarkEnd w:id="443"/>
      <w:r>
        <w:rPr>
          <w:rFonts w:ascii="Times New Roman;Times;Serif" w:hAnsi="Times New Roman;Times;Serif"/>
          <w:b w:val="false"/>
          <w:i w:val="false"/>
          <w:caps w:val="false"/>
          <w:smallCaps w:val="false"/>
          <w:sz w:val="20"/>
        </w:rPr>
        <w:t xml:space="preserve">445. These bridge notes mature on </w:t>
      </w:r>
      <w:bookmarkStart w:id="444" w:name="xdx_901_eus-gaap--DebtInstrumentMaturity"/>
      <w:bookmarkEnd w:id="444"/>
      <w:r>
        <w:rPr>
          <w:rFonts w:ascii="Times New Roman;Times;Serif" w:hAnsi="Times New Roman;Times;Serif"/>
          <w:b w:val="false"/>
          <w:i w:val="false"/>
          <w:caps w:val="false"/>
          <w:smallCaps w:val="false"/>
          <w:sz w:val="20"/>
        </w:rPr>
        <w:t>December 30, 2026 and January 15, 2027, respectively, and require aggregate scheduled payments of $</w:t>
      </w:r>
      <w:bookmarkStart w:id="445" w:name="xdx_90E_eus-gaap--ProceedsFromIssuanceOf"/>
      <w:bookmarkEnd w:id="445"/>
      <w:r>
        <w:rPr>
          <w:rFonts w:ascii="Times New Roman;Times;Serif" w:hAnsi="Times New Roman;Times;Serif"/>
          <w:b w:val="false"/>
          <w:i w:val="false"/>
          <w:caps w:val="false"/>
          <w:smallCaps w:val="false"/>
          <w:sz w:val="20"/>
        </w:rPr>
        <w:t>621. The third agreement, entered into on March 31, 2026, with Leviston Resources, LLC (“Leviston”), provided for a senior secured convertible note with a principal amount of $</w:t>
      </w:r>
      <w:bookmarkStart w:id="446" w:name="xdx_909_eus-gaap--DebtInstrumentFaceAmou"/>
      <w:bookmarkEnd w:id="446"/>
      <w:r>
        <w:rPr>
          <w:rFonts w:ascii="Times New Roman;Times;Serif" w:hAnsi="Times New Roman;Times;Serif"/>
          <w:b w:val="false"/>
          <w:i w:val="false"/>
          <w:caps w:val="false"/>
          <w:smallCaps w:val="false"/>
          <w:sz w:val="20"/>
        </w:rPr>
        <w:t>3,000. The holder funded $</w:t>
      </w:r>
      <w:bookmarkStart w:id="447" w:name="xdx_902_eus-gaap--InvestmentOwnedUnderly"/>
      <w:bookmarkEnd w:id="447"/>
      <w:r>
        <w:rPr>
          <w:rFonts w:ascii="Times New Roman;Times;Serif" w:hAnsi="Times New Roman;Times;Serif"/>
          <w:b w:val="false"/>
          <w:i w:val="false"/>
          <w:caps w:val="false"/>
          <w:smallCaps w:val="false"/>
          <w:sz w:val="20"/>
        </w:rPr>
        <w:t>2,500, reflecting an original issue discount of $</w:t>
      </w:r>
      <w:bookmarkStart w:id="448" w:name="xdx_904_ecustom--DiscountAmount_iI_c2026"/>
      <w:bookmarkEnd w:id="448"/>
      <w:r>
        <w:rPr>
          <w:rFonts w:ascii="Times New Roman;Times;Serif" w:hAnsi="Times New Roman;Times;Serif"/>
          <w:b w:val="false"/>
          <w:i w:val="false"/>
          <w:caps w:val="false"/>
          <w:smallCaps w:val="false"/>
          <w:sz w:val="20"/>
        </w:rPr>
        <w:t>500, and $</w:t>
      </w:r>
      <w:bookmarkStart w:id="449" w:name="xdx_90E_eus-gaap--LegalFees_c20251001__2"/>
      <w:bookmarkEnd w:id="449"/>
      <w:r>
        <w:rPr>
          <w:rFonts w:ascii="Times New Roman;Times;Serif" w:hAnsi="Times New Roman;Times;Serif"/>
          <w:b w:val="false"/>
          <w:i w:val="false"/>
          <w:caps w:val="false"/>
          <w:smallCaps w:val="false"/>
          <w:sz w:val="20"/>
        </w:rPr>
        <w:t>25 was withheld for legal fees, resulting in net proceeds to the Company of $</w:t>
      </w:r>
      <w:bookmarkStart w:id="450" w:name="xdx_900_eus-gaap--ProceedsFromIssuanceIn"/>
      <w:bookmarkEnd w:id="450"/>
      <w:r>
        <w:rPr>
          <w:rFonts w:ascii="Times New Roman;Times;Serif" w:hAnsi="Times New Roman;Times;Serif"/>
          <w:b w:val="false"/>
          <w:i w:val="false"/>
          <w:caps w:val="false"/>
          <w:smallCaps w:val="false"/>
          <w:sz w:val="20"/>
        </w:rPr>
        <w:t xml:space="preserve">2,475. This note bears interest at </w:t>
      </w:r>
      <w:bookmarkStart w:id="451" w:name="xdx_90F_eus-gaap--DebtInstrumentInterest"/>
      <w:bookmarkEnd w:id="451"/>
      <w:r>
        <w:rPr>
          <w:rFonts w:ascii="Times New Roman;Times;Serif" w:hAnsi="Times New Roman;Times;Serif"/>
          <w:b w:val="false"/>
          <w:i w:val="false"/>
          <w:caps w:val="false"/>
          <w:smallCaps w:val="false"/>
          <w:sz w:val="20"/>
        </w:rPr>
        <w:t>10% per annum, matures on July 31, 2026, at which time the outstanding principal and accrued interest are due and payable in cash, unless earlier converted in accordance with its terms. Following an Event of Default (as defined in the Convertible Note), all amounts owing by the Company to the holder shall be increased to an amount equal to 125% of the then outstanding obligations. At any time prior to maturity, the holder may convert all or a portion of the outstanding principal and accrued interest into shares of Class A Common Stock in the manner set forth in the Convertible Note. Subject to adjustment as set forth in the Convertible Note, the conversion price is the lesser of (A) the closing price on March 31, 2026 and (B) 85% of the lowest 8-day VWAP of the Class A Common Stock immediately prior to and including the date of the conversion notice. With respect to the March 31, 2026 financing, the Company entered into a registration rights agreement and a security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entered into a First Amendment to the Securities Purchase Agreement and Senior Secured Convertible Note (the “First Amendment”) with Leviston Resources, LLC (“Leviston”), amending the Senior Secured Convertible Note originally issued on March 31, 2026 (the “Original Note”). Pursuant to the First Amendment, Leviston advanced an additional $</w:t>
      </w:r>
      <w:bookmarkStart w:id="452" w:name="xdx_907_eus-gaap--DebtInstrumentFaceAmou"/>
      <w:bookmarkEnd w:id="452"/>
      <w:r>
        <w:rPr>
          <w:rFonts w:ascii="Times New Roman;Times;Serif" w:hAnsi="Times New Roman;Times;Serif"/>
          <w:b w:val="false"/>
          <w:i w:val="false"/>
          <w:caps w:val="false"/>
          <w:smallCaps w:val="false"/>
          <w:sz w:val="20"/>
        </w:rPr>
        <w:t>833 to the Company, increasing the total funded amount under the Original Note to $</w:t>
      </w:r>
      <w:bookmarkStart w:id="453" w:name="xdx_901_eus-gaap--DebtInstrumentRepurcha"/>
      <w:bookmarkEnd w:id="453"/>
      <w:r>
        <w:rPr>
          <w:rFonts w:ascii="Times New Roman;Times;Serif" w:hAnsi="Times New Roman;Times;Serif"/>
          <w:b w:val="false"/>
          <w:i w:val="false"/>
          <w:caps w:val="false"/>
          <w:smallCaps w:val="false"/>
          <w:sz w:val="20"/>
        </w:rPr>
        <w:t xml:space="preserve">3,333. The First Amendment increased the aggregate principal amount of the Original Note, inclusive of a </w:t>
      </w:r>
      <w:bookmarkStart w:id="454" w:name="xdx_90E_eus-gaap--DebtInstrumentInterest"/>
      <w:bookmarkEnd w:id="454"/>
      <w:r>
        <w:rPr>
          <w:rFonts w:ascii="Times New Roman;Times;Serif" w:hAnsi="Times New Roman;Times;Serif"/>
          <w:b w:val="false"/>
          <w:i w:val="false"/>
          <w:caps w:val="false"/>
          <w:smallCaps w:val="false"/>
          <w:sz w:val="20"/>
        </w:rPr>
        <w:t>16.667% original issue discount, from $</w:t>
      </w:r>
      <w:bookmarkStart w:id="455" w:name="xdx_90F_eus-gaap--DebtInstrumentUnamorti"/>
      <w:bookmarkEnd w:id="455"/>
      <w:r>
        <w:rPr>
          <w:rFonts w:ascii="Times New Roman;Times;Serif" w:hAnsi="Times New Roman;Times;Serif"/>
          <w:b w:val="false"/>
          <w:i w:val="false"/>
          <w:caps w:val="false"/>
          <w:smallCaps w:val="false"/>
          <w:sz w:val="20"/>
        </w:rPr>
        <w:t>3,000 to $</w:t>
      </w:r>
      <w:bookmarkStart w:id="456" w:name="xdx_902_eus-gaap--DebtInstrumentUnamorti"/>
      <w:bookmarkEnd w:id="456"/>
      <w:r>
        <w:rPr>
          <w:rFonts w:ascii="Times New Roman;Times;Serif" w:hAnsi="Times New Roman;Times;Serif"/>
          <w:b w:val="false"/>
          <w:i w:val="false"/>
          <w:caps w:val="false"/>
          <w:smallCaps w:val="false"/>
          <w:sz w:val="20"/>
        </w:rPr>
        <w:t>4,000. Interest on the incremental $</w:t>
      </w:r>
      <w:bookmarkStart w:id="457" w:name="xdx_903_eus-gaap--DebtInstrumentIssuedPr"/>
      <w:bookmarkEnd w:id="457"/>
      <w:r>
        <w:rPr>
          <w:rFonts w:ascii="Times New Roman;Times;Serif" w:hAnsi="Times New Roman;Times;Serif"/>
          <w:b w:val="false"/>
          <w:i w:val="false"/>
          <w:caps w:val="false"/>
          <w:smallCaps w:val="false"/>
          <w:sz w:val="20"/>
        </w:rPr>
        <w:t>1,000 of principal created by the First Amendment commenced accruing on May 13, 2026; interest on the original $</w:t>
      </w:r>
      <w:bookmarkStart w:id="458" w:name="xdx_902_eus-gaap--DebtInstrumentPeriodic"/>
      <w:bookmarkEnd w:id="458"/>
      <w:r>
        <w:rPr>
          <w:rFonts w:ascii="Times New Roman;Times;Serif" w:hAnsi="Times New Roman;Times;Serif"/>
          <w:b w:val="false"/>
          <w:i w:val="false"/>
          <w:caps w:val="false"/>
          <w:smallCaps w:val="false"/>
          <w:sz w:val="20"/>
        </w:rPr>
        <w:t>3,000 principal continues to accrue in accordance with the terms of the Original Note as in effect immediately prior to May 13, 2026. The Company intends to use the proceeds for working capital and general corporate purposes.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the Company satisfied in full the entire $</w:t>
      </w:r>
      <w:bookmarkStart w:id="459" w:name="xdx_903_eus-gaap--DebtInstrumentFaceAmou"/>
      <w:bookmarkEnd w:id="459"/>
      <w:r>
        <w:rPr>
          <w:rFonts w:ascii="Times New Roman;Times;Serif" w:hAnsi="Times New Roman;Times;Serif"/>
          <w:b w:val="false"/>
          <w:i w:val="false"/>
          <w:caps w:val="false"/>
          <w:smallCaps w:val="false"/>
          <w:sz w:val="20"/>
        </w:rPr>
        <w:t xml:space="preserve">4,000 of outstanding principal under the Original Note, together with all accrued interest thereon, through the conversion of such amounts into an aggregate of </w:t>
      </w:r>
      <w:bookmarkStart w:id="460" w:name="xdx_909_eus-gaap--DebtConversionConverte"/>
      <w:bookmarkEnd w:id="460"/>
      <w:r>
        <w:rPr>
          <w:rFonts w:ascii="Times New Roman;Times;Serif" w:hAnsi="Times New Roman;Times;Serif"/>
          <w:b w:val="false"/>
          <w:i w:val="false"/>
          <w:caps w:val="false"/>
          <w:smallCaps w:val="false"/>
          <w:sz w:val="20"/>
        </w:rPr>
        <w:t>2,500,000 shares of Common Stock. Upon such full satisfaction, the Original Note, the Securities Purchase Agreement, dated March 31, 2026, between the Company and Leviston (as amended by the First Amendment), and the Registration Rights Agreement, dated March 31, 2026, between the Company and Leviston, terminated in accordance with their terms.</w:t>
      </w:r>
    </w:p>
    <w:p>
      <w:pPr>
        <w:pStyle w:val="TextBody"/>
        <w:bidi w:val="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2026, the Company amended an existing loan and security agreement, dated August 13, 2025, pursuant to which the Company was provided with a closed-end commercial loan in the original principal amount of $</w:t>
      </w:r>
      <w:bookmarkStart w:id="461" w:name="xdx_90B_eus-gaap--DebtInstrumentFaceAmou"/>
      <w:bookmarkEnd w:id="461"/>
      <w:r>
        <w:rPr>
          <w:rFonts w:ascii="Times New Roman;Times;Serif" w:hAnsi="Times New Roman;Times;Serif"/>
          <w:b w:val="false"/>
          <w:i w:val="false"/>
          <w:caps w:val="false"/>
          <w:smallCaps w:val="false"/>
          <w:sz w:val="20"/>
        </w:rPr>
        <w:t>600. Under the amendment, the Company agreed to cure a prior payment default, make an additional interim payment of $</w:t>
      </w:r>
      <w:bookmarkStart w:id="462" w:name="xdx_908_ecustom--InterimPayments_c202510"/>
      <w:bookmarkEnd w:id="462"/>
      <w:r>
        <w:rPr>
          <w:rFonts w:ascii="Times New Roman;Times;Serif" w:hAnsi="Times New Roman;Times;Serif"/>
          <w:b w:val="false"/>
          <w:i w:val="false"/>
          <w:caps w:val="false"/>
          <w:smallCaps w:val="false"/>
          <w:sz w:val="20"/>
        </w:rPr>
        <w:t>33, and make a principal reduction payment of $</w:t>
      </w:r>
      <w:bookmarkStart w:id="463" w:name="xdx_90A_ecustom--PrincipalPayment_c20251"/>
      <w:bookmarkEnd w:id="463"/>
      <w:r>
        <w:rPr>
          <w:rFonts w:ascii="Times New Roman;Times;Serif" w:hAnsi="Times New Roman;Times;Serif"/>
          <w:b w:val="false"/>
          <w:i w:val="false"/>
          <w:caps w:val="false"/>
          <w:smallCaps w:val="false"/>
          <w:sz w:val="20"/>
        </w:rPr>
        <w:t>233. The amendment also provided for an equity-based settlement of the remaining obligations under the loan, subject to the effectiveness of a registration statement covering shares of the Company’s common stock held by or for the benefit of Maximcash Solutions LLC and the Company’s timely payment of the required cash amounts. During the six months ended March 31, 2026, the Company settled the remaining outstanding indebtedness under the arrangement. In connection with the settlement, indebtedness of $</w:t>
      </w:r>
      <w:bookmarkStart w:id="464" w:name="xdx_904_ecustom--IndebtednessAmount_c202"/>
      <w:bookmarkEnd w:id="464"/>
      <w:r>
        <w:rPr>
          <w:rFonts w:ascii="Times New Roman;Times;Serif" w:hAnsi="Times New Roman;Times;Serif"/>
          <w:b w:val="false"/>
          <w:i w:val="false"/>
          <w:caps w:val="false"/>
          <w:smallCaps w:val="false"/>
          <w:sz w:val="20"/>
        </w:rPr>
        <w:t>232, consisting of principal of $</w:t>
      </w:r>
      <w:bookmarkStart w:id="465" w:name="xdx_90A_eus-gaap--StockIssuedDuringPerio"/>
      <w:bookmarkEnd w:id="465"/>
      <w:r>
        <w:rPr>
          <w:rFonts w:ascii="Times New Roman;Times;Serif" w:hAnsi="Times New Roman;Times;Serif"/>
          <w:b w:val="false"/>
          <w:i w:val="false"/>
          <w:caps w:val="false"/>
          <w:smallCaps w:val="false"/>
          <w:sz w:val="20"/>
        </w:rPr>
        <w:t>140 and accrued interest of $</w:t>
      </w:r>
      <w:bookmarkStart w:id="466" w:name="xdx_904_eus-gaap--InterestPayableCurrent"/>
      <w:bookmarkEnd w:id="466"/>
      <w:r>
        <w:rPr>
          <w:rFonts w:ascii="Times New Roman;Times;Serif" w:hAnsi="Times New Roman;Times;Serif"/>
          <w:b w:val="false"/>
          <w:i w:val="false"/>
          <w:caps w:val="false"/>
          <w:smallCaps w:val="false"/>
          <w:sz w:val="20"/>
        </w:rPr>
        <w:t xml:space="preserve">92, was settled through the issuance or delivery of </w:t>
      </w:r>
      <w:bookmarkStart w:id="467" w:name="xdx_901_eus-gaap--StockIssuedDuringPerio"/>
      <w:bookmarkEnd w:id="467"/>
      <w:r>
        <w:rPr>
          <w:rFonts w:ascii="Times New Roman;Times;Serif" w:hAnsi="Times New Roman;Times;Serif"/>
          <w:b w:val="false"/>
          <w:i w:val="false"/>
          <w:caps w:val="false"/>
          <w:smallCaps w:val="false"/>
          <w:sz w:val="20"/>
        </w:rPr>
        <w:t>169,375 shares of the Company’s Class A Common Stock. Based on the fair value of the shares issued or delivered at the time of settlement of $</w:t>
      </w:r>
      <w:bookmarkStart w:id="468" w:name="xdx_90E_eus-gaap--SharesSubjectToMandato"/>
      <w:bookmarkEnd w:id="468"/>
      <w:r>
        <w:rPr>
          <w:rFonts w:ascii="Times New Roman;Times;Serif" w:hAnsi="Times New Roman;Times;Serif"/>
          <w:b w:val="false"/>
          <w:i w:val="false"/>
          <w:caps w:val="false"/>
          <w:smallCaps w:val="false"/>
          <w:sz w:val="20"/>
        </w:rPr>
        <w:t>376, or $</w:t>
      </w:r>
      <w:bookmarkStart w:id="469" w:name="xdx_904_eus-gaap--CommonStockNoParValue_"/>
      <w:bookmarkEnd w:id="469"/>
      <w:r>
        <w:rPr>
          <w:rFonts w:ascii="Times New Roman;Times;Serif" w:hAnsi="Times New Roman;Times;Serif"/>
          <w:b w:val="false"/>
          <w:i w:val="false"/>
          <w:caps w:val="false"/>
          <w:smallCaps w:val="false"/>
          <w:sz w:val="20"/>
        </w:rPr>
        <w:t>2.22 per share, the Company recognized a loss on extinguishment of debt of $</w:t>
      </w:r>
      <w:bookmarkStart w:id="470" w:name="xdx_90E_eus-gaap--GainsLossesOnExtinguis"/>
      <w:bookmarkEnd w:id="470"/>
      <w:r>
        <w:rPr>
          <w:rFonts w:ascii="Times New Roman;Times;Serif" w:hAnsi="Times New Roman;Times;Serif"/>
          <w:b w:val="false"/>
          <w:i w:val="false"/>
          <w:caps w:val="false"/>
          <w:smallCaps w:val="false"/>
          <w:sz w:val="20"/>
        </w:rPr>
        <w:t>144, which was recorded in other non-operating (gains) losses, net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2026, the Company also amended two existing agreements for the purchase and sale of future receipts, pursuant to which the Company agreed to sell to the buyers additional future trade receipts totaling $</w:t>
      </w:r>
      <w:bookmarkStart w:id="471" w:name="xdx_906_eus-gaap--ProceedsFromOtherShort"/>
      <w:bookmarkEnd w:id="471"/>
      <w:r>
        <w:rPr>
          <w:rFonts w:ascii="Times New Roman;Times;Serif" w:hAnsi="Times New Roman;Times;Serif"/>
          <w:b w:val="false"/>
          <w:i w:val="false"/>
          <w:caps w:val="false"/>
          <w:smallCaps w:val="false"/>
          <w:sz w:val="20"/>
        </w:rPr>
        <w:t>1,966 (together with amounts already outstanding under these agreements, the “Future Receipts Purchased Amount”) for net proceeds to the Company of $</w:t>
      </w:r>
      <w:bookmarkStart w:id="472" w:name="xdx_90E_eus-gaap--ProceedsFromBankDebt_p"/>
      <w:bookmarkEnd w:id="472"/>
      <w:r>
        <w:rPr>
          <w:rFonts w:ascii="Times New Roman;Times;Serif" w:hAnsi="Times New Roman;Times;Serif"/>
          <w:b w:val="false"/>
          <w:i w:val="false"/>
          <w:caps w:val="false"/>
          <w:smallCaps w:val="false"/>
          <w:sz w:val="20"/>
        </w:rPr>
        <w:t>806.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July 2026. In December 2024, the Company entered into an agreement for the purchase and sale of future receipts with an unrelated buyer pursuant to which the Company agreed to sell to the buyer certain future trade receipts in the aggregate amount of $</w:t>
      </w:r>
      <w:bookmarkStart w:id="473" w:name="xdx_904_eus-gaap--ProceedsFromOtherShort"/>
      <w:bookmarkEnd w:id="473"/>
      <w:r>
        <w:rPr>
          <w:rFonts w:ascii="Times New Roman;Times;Serif" w:hAnsi="Times New Roman;Times;Serif"/>
          <w:b w:val="false"/>
          <w:i w:val="false"/>
          <w:caps w:val="false"/>
          <w:smallCaps w:val="false"/>
          <w:sz w:val="20"/>
        </w:rPr>
        <w:t>710 (the “Future Receipts Purchased Amount”) for net proceeds to the Company of $</w:t>
      </w:r>
      <w:bookmarkStart w:id="474" w:name="xdx_909_eus-gaap--ProceedsFromBankDebt_p"/>
      <w:bookmarkEnd w:id="474"/>
      <w:r>
        <w:rPr>
          <w:rFonts w:ascii="Times New Roman;Times;Serif" w:hAnsi="Times New Roman;Times;Serif"/>
          <w:b w:val="false"/>
          <w:i w:val="false"/>
          <w:caps w:val="false"/>
          <w:smallCaps w:val="false"/>
          <w:sz w:val="20"/>
        </w:rPr>
        <w:t>480. Under the agreement, the Company granted the buyer a security interest in all of the Company’s present and future accounts receivable in an amount not to exceed the Future Receipts Purchased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2025, the Company entered into a $</w:t>
      </w:r>
      <w:bookmarkStart w:id="475" w:name="xdx_901_eus-gaap--ProceedsFromNotesPayab"/>
      <w:bookmarkEnd w:id="475"/>
      <w:r>
        <w:rPr>
          <w:rFonts w:ascii="Times New Roman;Times;Serif" w:hAnsi="Times New Roman;Times;Serif"/>
          <w:b w:val="false"/>
          <w:i w:val="false"/>
          <w:caps w:val="false"/>
          <w:smallCaps w:val="false"/>
          <w:sz w:val="20"/>
        </w:rPr>
        <w:t>200 note payable with a bank for net proceeds of $</w:t>
      </w:r>
      <w:bookmarkStart w:id="476" w:name="xdx_90B_eus-gaap--ProceedsFromBankDebt_p"/>
      <w:bookmarkEnd w:id="476"/>
      <w:r>
        <w:rPr>
          <w:rFonts w:ascii="Times New Roman;Times;Serif" w:hAnsi="Times New Roman;Times;Serif"/>
          <w:b w:val="false"/>
          <w:i w:val="false"/>
          <w:caps w:val="false"/>
          <w:smallCaps w:val="false"/>
          <w:sz w:val="20"/>
        </w:rPr>
        <w:t>195. The note has an eighteen month term and requires weekly payments totaling $</w:t>
      </w:r>
      <w:bookmarkStart w:id="477" w:name="xdx_902_eus-gaap--DebtInstrumentPeriodic"/>
      <w:bookmarkEnd w:id="477"/>
      <w:r>
        <w:rPr>
          <w:rFonts w:ascii="Times New Roman;Times;Serif" w:hAnsi="Times New Roman;Times;Serif"/>
          <w:b w:val="false"/>
          <w:i w:val="false"/>
          <w:caps w:val="false"/>
          <w:smallCaps w:val="false"/>
          <w:sz w:val="20"/>
        </w:rPr>
        <w:t>282, including finance charges. The note is secured by substantially all of the Company’s assets and is guaranteed by an officer and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2025, the Company entered into two agreements for the purchase and sale of future receipts with unrelated buyers, pursuant to which the Company agreed to sell to the buyer certain future trade receipts in the aggregate amount of $</w:t>
      </w:r>
      <w:bookmarkStart w:id="478" w:name="xdx_90C_eus-gaap--ProceedsFromOtherShort"/>
      <w:bookmarkEnd w:id="478"/>
      <w:r>
        <w:rPr>
          <w:rFonts w:ascii="Times New Roman;Times;Serif" w:hAnsi="Times New Roman;Times;Serif"/>
          <w:b w:val="false"/>
          <w:i w:val="false"/>
          <w:caps w:val="false"/>
          <w:smallCaps w:val="false"/>
          <w:sz w:val="20"/>
        </w:rPr>
        <w:t>2,139 (the “Future Receipts Purchased Amount”) for net proceeds to the Company of $</w:t>
      </w:r>
      <w:bookmarkStart w:id="479" w:name="xdx_907_eus-gaap--ProceedsFromBankDebt_p"/>
      <w:bookmarkEnd w:id="479"/>
      <w:r>
        <w:rPr>
          <w:rFonts w:ascii="Times New Roman;Times;Serif" w:hAnsi="Times New Roman;Times;Serif"/>
          <w:b w:val="false"/>
          <w:i w:val="false"/>
          <w:caps w:val="false"/>
          <w:smallCaps w:val="false"/>
          <w:sz w:val="20"/>
        </w:rPr>
        <w:t>1,430.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November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2025, the Company and the holders of two notes agreed to settle the outstanding principal and accrued interest, totaling $</w:t>
      </w:r>
      <w:bookmarkStart w:id="480" w:name="xdx_90D_eus-gaap--StockIssuedDuringPerio"/>
      <w:bookmarkEnd w:id="480"/>
      <w:r>
        <w:rPr>
          <w:rFonts w:ascii="Times New Roman;Times;Serif" w:hAnsi="Times New Roman;Times;Serif"/>
          <w:b w:val="false"/>
          <w:i w:val="false"/>
          <w:caps w:val="false"/>
          <w:smallCaps w:val="false"/>
          <w:sz w:val="20"/>
        </w:rPr>
        <w:t xml:space="preserve">545, for </w:t>
      </w:r>
      <w:bookmarkStart w:id="481" w:name="xdx_90B_eus-gaap--StockIssuedDuringPerio"/>
      <w:bookmarkEnd w:id="481"/>
      <w:r>
        <w:rPr>
          <w:rFonts w:ascii="Times New Roman;Times;Serif" w:hAnsi="Times New Roman;Times;Serif"/>
          <w:b w:val="false"/>
          <w:i w:val="false"/>
          <w:caps w:val="false"/>
          <w:smallCaps w:val="false"/>
          <w:sz w:val="20"/>
        </w:rPr>
        <w:t>63,180 shares of the Company’s Class A Common Stock. The Company recognized a loss on the extinguishment of debt of $</w:t>
      </w:r>
      <w:bookmarkStart w:id="482" w:name="xdx_908_eus-gaap--GainsLossesOnExtinguis"/>
      <w:bookmarkEnd w:id="482"/>
      <w:r>
        <w:rPr>
          <w:rFonts w:ascii="Times New Roman;Times;Serif" w:hAnsi="Times New Roman;Times;Serif"/>
          <w:b w:val="false"/>
          <w:i w:val="false"/>
          <w:caps w:val="false"/>
          <w:smallCaps w:val="false"/>
          <w:sz w:val="20"/>
        </w:rPr>
        <w:t>283, which is included in “Other non-operating (gains) losses, net”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2026 and 2025, the Company made principal payments on notes payable of $</w:t>
      </w:r>
      <w:bookmarkStart w:id="483" w:name="xdx_901_eus-gaap--RepaymentsOfNotesPayab"/>
      <w:bookmarkEnd w:id="483"/>
      <w:r>
        <w:rPr>
          <w:rFonts w:ascii="Times New Roman;Times;Serif" w:hAnsi="Times New Roman;Times;Serif"/>
          <w:b w:val="false"/>
          <w:i w:val="false"/>
          <w:caps w:val="false"/>
          <w:smallCaps w:val="false"/>
          <w:sz w:val="20"/>
        </w:rPr>
        <w:t>2,533 and $</w:t>
      </w:r>
      <w:bookmarkStart w:id="484" w:name="xdx_90F_eus-gaap--RepaymentsOfNotesPayab"/>
      <w:bookmarkEnd w:id="484"/>
      <w:r>
        <w:rPr>
          <w:rFonts w:ascii="Times New Roman;Times;Serif" w:hAnsi="Times New Roman;Times;Serif"/>
          <w:b w:val="false"/>
          <w:i w:val="false"/>
          <w:caps w:val="false"/>
          <w:smallCaps w:val="false"/>
          <w:sz w:val="20"/>
        </w:rPr>
        <w:t>119, respectively. As of March 31, 2026, notes payable having an aggregate remaining principal balance of $</w:t>
      </w:r>
      <w:bookmarkStart w:id="485" w:name="xdx_90E_eus-gaap--NotesPayable_iI_pn3n3_"/>
      <w:bookmarkEnd w:id="485"/>
      <w:r>
        <w:rPr>
          <w:rFonts w:ascii="Times New Roman;Times;Serif" w:hAnsi="Times New Roman;Times;Serif"/>
          <w:b w:val="false"/>
          <w:i w:val="false"/>
          <w:caps w:val="false"/>
          <w:smallCaps w:val="false"/>
          <w:sz w:val="20"/>
        </w:rPr>
        <w:t>4,752 were outstanding and are included in “Notes payable” and “Notes payable, noncurrent” in the condensed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 Promissory Notes —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two outstanding promissory notes with related parties which bear interest at </w:t>
      </w:r>
      <w:bookmarkStart w:id="486" w:name="xdx_90D_eus-gaap--DebtInstrumentInterest"/>
      <w:bookmarkEnd w:id="486"/>
      <w:r>
        <w:rPr>
          <w:rFonts w:ascii="Times New Roman;Times;Serif" w:hAnsi="Times New Roman;Times;Serif"/>
          <w:b w:val="false"/>
          <w:i w:val="false"/>
          <w:caps w:val="false"/>
          <w:smallCaps w:val="false"/>
          <w:sz w:val="20"/>
        </w:rPr>
        <w:t xml:space="preserve">7% per annum and are unsecured. One </w:t>
      </w:r>
      <w:bookmarkStart w:id="487" w:name="xdx_908_eus-gaap--DebtInstrumentInterest"/>
      <w:bookmarkEnd w:id="487"/>
      <w:r>
        <w:rPr>
          <w:rFonts w:ascii="Times New Roman;Times;Serif" w:hAnsi="Times New Roman;Times;Serif"/>
          <w:b w:val="false"/>
          <w:i w:val="false"/>
          <w:caps w:val="false"/>
          <w:smallCaps w:val="false"/>
          <w:sz w:val="20"/>
        </w:rPr>
        <w:t>7% promissory note, having a principal balance of $</w:t>
      </w:r>
      <w:bookmarkStart w:id="488" w:name="xdx_90B_eus-gaap--NotesPayable_iI_pn3n3_"/>
      <w:bookmarkEnd w:id="488"/>
      <w:r>
        <w:rPr>
          <w:rFonts w:ascii="Times New Roman;Times;Serif" w:hAnsi="Times New Roman;Times;Serif"/>
          <w:b w:val="false"/>
          <w:i w:val="false"/>
          <w:caps w:val="false"/>
          <w:smallCaps w:val="false"/>
          <w:sz w:val="20"/>
        </w:rPr>
        <w:t xml:space="preserve">518 as of March 31, 2026, is payable in monthly payments of varying amounts through September 2026. The other </w:t>
      </w:r>
      <w:bookmarkStart w:id="489" w:name="xdx_906_eus-gaap--DebtInstrumentInterest"/>
      <w:bookmarkEnd w:id="489"/>
      <w:r>
        <w:rPr>
          <w:rFonts w:ascii="Times New Roman;Times;Serif" w:hAnsi="Times New Roman;Times;Serif"/>
          <w:b w:val="false"/>
          <w:i w:val="false"/>
          <w:caps w:val="false"/>
          <w:smallCaps w:val="false"/>
          <w:sz w:val="20"/>
        </w:rPr>
        <w:t>7% promissory note, having a principal balance of $</w:t>
      </w:r>
      <w:bookmarkStart w:id="490" w:name="xdx_900_eus-gaap--NotesPayable_iI_pn3n3_"/>
      <w:bookmarkEnd w:id="490"/>
      <w:r>
        <w:rPr>
          <w:rFonts w:ascii="Times New Roman;Times;Serif" w:hAnsi="Times New Roman;Times;Serif"/>
          <w:b w:val="false"/>
          <w:i w:val="false"/>
          <w:caps w:val="false"/>
          <w:smallCaps w:val="false"/>
          <w:sz w:val="20"/>
        </w:rPr>
        <w:t>1,168 as of March 31, 2026, no longer bears interest; the outstanding principal and previously accrued interest balance is payable in monthly payments of varying amounts through March 2027, with the remaining principal of $</w:t>
      </w:r>
      <w:bookmarkStart w:id="491" w:name="xdx_90D_eus-gaap--DebtInstrumentPeriodic"/>
      <w:bookmarkEnd w:id="491"/>
      <w:r>
        <w:rPr>
          <w:rFonts w:ascii="Times New Roman;Times;Serif" w:hAnsi="Times New Roman;Times;Serif"/>
          <w:b w:val="false"/>
          <w:i w:val="false"/>
          <w:caps w:val="false"/>
          <w:smallCaps w:val="false"/>
          <w:sz w:val="20"/>
        </w:rPr>
        <w:t xml:space="preserve">979 payable on May 15, 2027. The outstanding principal balance of the </w:t>
      </w:r>
      <w:bookmarkStart w:id="492" w:name="xdx_90A_eus-gaap--DebtInstrumentInterest"/>
      <w:bookmarkEnd w:id="492"/>
      <w:r>
        <w:rPr>
          <w:rFonts w:ascii="Times New Roman;Times;Serif" w:hAnsi="Times New Roman;Times;Serif"/>
          <w:b w:val="false"/>
          <w:i w:val="false"/>
          <w:caps w:val="false"/>
          <w:smallCaps w:val="false"/>
          <w:sz w:val="20"/>
        </w:rPr>
        <w:t>7% promissory notes is included in “Notes payable — related parties, current” and “Notes payable — related parties, noncurrent” in the condensed consolidated balance sheet as of March 31, 2026. During the six months ended March 31, 2026 and 2025, the Company made principal payments of $</w:t>
      </w:r>
      <w:bookmarkStart w:id="493" w:name="xdx_90F_eus-gaap--DebtInstrumentPeriodic"/>
      <w:bookmarkEnd w:id="493"/>
      <w:r>
        <w:rPr>
          <w:rFonts w:ascii="Times New Roman;Times;Serif" w:hAnsi="Times New Roman;Times;Serif"/>
          <w:b w:val="false"/>
          <w:i w:val="false"/>
          <w:caps w:val="false"/>
          <w:smallCaps w:val="false"/>
          <w:sz w:val="20"/>
        </w:rPr>
        <w:t>565 and $</w:t>
      </w:r>
      <w:bookmarkStart w:id="494" w:name="xdx_90F_eus-gaap--DebtInstrumentPeriodic"/>
      <w:bookmarkEnd w:id="494"/>
      <w:r>
        <w:rPr>
          <w:rFonts w:ascii="Times New Roman;Times;Serif" w:hAnsi="Times New Roman;Times;Serif"/>
          <w:b w:val="false"/>
          <w:i w:val="false"/>
          <w:caps w:val="false"/>
          <w:smallCaps w:val="false"/>
          <w:sz w:val="20"/>
        </w:rPr>
        <w:t xml:space="preserve">0, respectively, on the </w:t>
      </w:r>
      <w:bookmarkStart w:id="495" w:name="xdx_901_eus-gaap--DebtInstrumentInterest"/>
      <w:bookmarkEnd w:id="495"/>
      <w:r>
        <w:rPr>
          <w:rFonts w:ascii="Times New Roman;Times;Serif" w:hAnsi="Times New Roman;Times;Serif"/>
          <w:b w:val="false"/>
          <w:i w:val="false"/>
          <w:caps w:val="false"/>
          <w:smallCaps w:val="false"/>
          <w:sz w:val="20"/>
        </w:rPr>
        <w:t>7% promissory notes.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6" w:name="xdx_80A_eus-gaap--LesseeOperatingLeasesT"/>
      <w:bookmarkEnd w:id="496"/>
      <w:r>
        <w:rPr>
          <w:rFonts w:ascii="Times New Roman;Times;Serif" w:hAnsi="Times New Roman;Times;Serif"/>
          <w:b/>
          <w:i w:val="false"/>
          <w:caps w:val="false"/>
          <w:smallCaps w:val="false"/>
          <w:sz w:val="20"/>
        </w:rPr>
        <w:t>Note 8 —</w:t>
      </w:r>
      <w:bookmarkStart w:id="497" w:name="xdx_82C_zOmpQxeWrUZ6"/>
      <w:bookmarkEnd w:id="497"/>
      <w:r>
        <w:rPr>
          <w:rFonts w:ascii="Times New Roman;Times;Serif" w:hAnsi="Times New Roman;Times;Serif"/>
          <w:b/>
          <w:i w:val="false"/>
          <w:caps w:val="false"/>
          <w:smallCaps w:val="false"/>
          <w:sz w:val="20"/>
        </w:rPr>
        <w:t xml:space="preserve">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entered into operating leases for office space. The leases have remaining terms ranging from </w:t>
      </w:r>
      <w:bookmarkStart w:id="498" w:name="xdx_904_eus-gaap--LesseeOperatingLeaseRe"/>
      <w:bookmarkEnd w:id="498"/>
      <w:r>
        <w:rPr>
          <w:rFonts w:ascii="Times New Roman;Times;Serif" w:hAnsi="Times New Roman;Times;Serif"/>
          <w:b w:val="false"/>
          <w:i w:val="false"/>
          <w:caps w:val="false"/>
          <w:smallCaps w:val="false"/>
          <w:sz w:val="20"/>
        </w:rPr>
        <w:t xml:space="preserve">eight months to </w:t>
      </w:r>
      <w:bookmarkStart w:id="499" w:name="xdx_90A_eus-gaap--LesseeOperatingLeaseRe"/>
      <w:bookmarkEnd w:id="499"/>
      <w:r>
        <w:rPr>
          <w:rFonts w:ascii="Times New Roman;Times;Serif" w:hAnsi="Times New Roman;Times;Serif"/>
          <w:b w:val="false"/>
          <w:i w:val="false"/>
          <w:caps w:val="false"/>
          <w:smallCaps w:val="false"/>
          <w:sz w:val="20"/>
        </w:rPr>
        <w:t>1.3 years and expire at various dates through July 2027. The leases do not contain residual value guarantees or restrictive covenants. The following lease costs are included in the condensed consolidated statements of operations and comprehensive loss:</w:t>
      </w:r>
    </w:p>
    <w:p>
      <w:pPr>
        <w:pStyle w:val="TextBody"/>
        <w:bidi w:val="0"/>
        <w:spacing w:before="0" w:after="0"/>
        <w:ind w:left="0" w:right="0" w:hanging="0"/>
        <w:jc w:val="both"/>
        <w:rPr>
          <w:caps w:val="false"/>
          <w:smallCaps w:val="false"/>
        </w:rPr>
      </w:pPr>
      <w:bookmarkStart w:id="500" w:name="xdx_89F_eus-gaap--LeaseCostTableTextBloc"/>
      <w:bookmarkEnd w:id="500"/>
      <w:r>
        <w:rPr>
          <w:caps w:val="false"/>
          <w:smallCaps w:val="false"/>
        </w:rPr>
        <w:t> </w:t>
      </w:r>
      <w:bookmarkStart w:id="501" w:name="xdx_8BE_zWz1hdGL4Eb7"/>
      <w:bookmarkEnd w:id="501"/>
      <w:r>
        <w:rPr>
          <w:rFonts w:ascii="Times New Roman;Times;Serif" w:hAnsi="Times New Roman;Times;Serif"/>
          <w:b w:val="false"/>
          <w:i w:val="false"/>
          <w:caps w:val="false"/>
          <w:smallCaps w:val="false"/>
          <w:sz w:val="20"/>
        </w:rPr>
        <w:t>Schedule of Lease Costs </w:t>
      </w:r>
    </w:p>
    <w:tbl>
      <w:tblPr>
        <w:tblW w:w="3623" w:type="dxa"/>
        <w:jc w:val="left"/>
        <w:tblInd w:w="0" w:type="dxa"/>
        <w:tblLayout w:type="fixed"/>
        <w:tblCellMar>
          <w:top w:w="0" w:type="dxa"/>
          <w:left w:w="0" w:type="dxa"/>
          <w:bottom w:w="0" w:type="dxa"/>
          <w:right w:w="0" w:type="dxa"/>
        </w:tblCellMar>
      </w:tblPr>
      <w:tblGrid>
        <w:gridCol w:w="2000"/>
        <w:gridCol w:w="60"/>
        <w:gridCol w:w="179"/>
        <w:gridCol w:w="488"/>
        <w:gridCol w:w="77"/>
        <w:gridCol w:w="77"/>
        <w:gridCol w:w="179"/>
        <w:gridCol w:w="488"/>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2" w:name="xdx_49A_20251001__20260331_z64MzSdYaGPk"/>
            <w:bookmarkEnd w:id="502"/>
          </w:p>
        </w:tc>
        <w:tc>
          <w:tcPr>
            <w:tcW w:w="6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bookmarkStart w:id="503" w:name="xdx_49C_20241001__20250331_zSGDQpAbMzd7"/>
            <w:bookmarkEnd w:id="503"/>
          </w:p>
        </w:tc>
        <w:tc>
          <w:tcPr>
            <w:tcW w:w="6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bookmarkStart w:id="504" w:name="xdx_40E_eus-gaap--OperatingLeaseCost_pn3"/>
            <w:bookmarkEnd w:id="504"/>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cost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w:t>
            </w:r>
          </w:p>
        </w:tc>
        <w:tc>
          <w:tcPr>
            <w:tcW w:w="75" w:type="dxa"/>
            <w:tcBorders/>
            <w:shd w:fill="CCEEFF" w:val="clear"/>
            <w:vAlign w:val="center"/>
          </w:tcPr>
          <w:p>
            <w:pPr>
              <w:pStyle w:val="TableContents"/>
              <w:bidi w:val="0"/>
              <w:spacing w:before="0" w:after="283"/>
              <w:jc w:val="left"/>
              <w:rPr/>
            </w:pPr>
            <w:r>
              <w:rPr/>
              <w:t> </w:t>
            </w:r>
            <w:bookmarkStart w:id="505" w:name="xdx_405_eus-gaap--ShortTermLeaseCost_pn3"/>
            <w:bookmarkEnd w:id="505"/>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lease cost</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75" w:type="dxa"/>
            <w:tcBorders/>
            <w:shd w:fill="FFFFFF" w:val="clear"/>
            <w:vAlign w:val="center"/>
          </w:tcPr>
          <w:p>
            <w:pPr>
              <w:pStyle w:val="TableContents"/>
              <w:bidi w:val="0"/>
              <w:spacing w:before="0" w:after="283"/>
              <w:jc w:val="left"/>
              <w:rPr/>
            </w:pPr>
            <w:r>
              <w:rPr/>
              <w:t> </w:t>
            </w:r>
            <w:bookmarkStart w:id="506" w:name="xdx_40E_eus-gaap--LeaseCost_iT_pn3n3_mtL"/>
            <w:bookmarkEnd w:id="506"/>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cost</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7" w:name="xdx_8AC_zjzFgvFwDQl4"/>
      <w:bookmarkEnd w:id="507"/>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for the six months ended March 31, 2026 and 2025 was $</w:t>
      </w:r>
      <w:bookmarkStart w:id="508" w:name="xdx_90E_eus-gaap--OperatingLeasePayments"/>
      <w:bookmarkEnd w:id="508"/>
      <w:r>
        <w:rPr>
          <w:rFonts w:ascii="Times New Roman;Times;Serif" w:hAnsi="Times New Roman;Times;Serif"/>
          <w:b w:val="false"/>
          <w:i w:val="false"/>
          <w:caps w:val="false"/>
          <w:smallCaps w:val="false"/>
          <w:sz w:val="20"/>
        </w:rPr>
        <w:t>171 and $</w:t>
      </w:r>
      <w:bookmarkStart w:id="509" w:name="xdx_909_eus-gaap--OperatingLeasePayments"/>
      <w:bookmarkEnd w:id="509"/>
      <w:r>
        <w:rPr>
          <w:rFonts w:ascii="Times New Roman;Times;Serif" w:hAnsi="Times New Roman;Times;Serif"/>
          <w:b w:val="false"/>
          <w:i w:val="false"/>
          <w:caps w:val="false"/>
          <w:smallCaps w:val="false"/>
          <w:sz w:val="20"/>
        </w:rPr>
        <w:t xml:space="preserve">378, respectively. As of March 31, 2026, the weighted-average remaining lease term was </w:t>
      </w:r>
      <w:bookmarkStart w:id="510" w:name="xdx_907_eus-gaap--OperatingLeaseWeighted"/>
      <w:bookmarkEnd w:id="510"/>
      <w:r>
        <w:rPr>
          <w:rFonts w:ascii="Times New Roman;Times;Serif" w:hAnsi="Times New Roman;Times;Serif"/>
          <w:b w:val="false"/>
          <w:i w:val="false"/>
          <w:caps w:val="false"/>
          <w:smallCaps w:val="false"/>
          <w:sz w:val="20"/>
        </w:rPr>
        <w:t xml:space="preserve">1.2 years, and the weighted-average discount rate was </w:t>
      </w:r>
      <w:bookmarkStart w:id="511" w:name="xdx_908_eus-gaap--OperatingLeaseWeighted"/>
      <w:bookmarkEnd w:id="511"/>
      <w:r>
        <w:rPr>
          <w:rFonts w:ascii="Times New Roman;Times;Serif" w:hAnsi="Times New Roman;Times;Serif"/>
          <w:b w:val="false"/>
          <w:i w:val="false"/>
          <w:caps w:val="false"/>
          <w:smallCaps w:val="false"/>
          <w:sz w:val="20"/>
        </w:rPr>
        <w:t>15.6%. There are no other leases that had not yet commenced as of March 31, 2026 that will create significant additional rights and obligations for the Company. The following table reconciles the undiscounted cash flows to the operating lease liabilities recorded on the condensed consolidated balance sheet as of March 31, 2026:</w:t>
      </w:r>
    </w:p>
    <w:p>
      <w:pPr>
        <w:pStyle w:val="TextBody"/>
        <w:bidi w:val="0"/>
        <w:spacing w:before="0" w:after="0"/>
        <w:ind w:left="0" w:right="0" w:hanging="0"/>
        <w:jc w:val="both"/>
        <w:rPr>
          <w:caps w:val="false"/>
          <w:smallCaps w:val="false"/>
        </w:rPr>
      </w:pPr>
      <w:bookmarkStart w:id="512" w:name="xdx_89A_eus-gaap--LesseeOperatingLeaseLi"/>
      <w:bookmarkEnd w:id="512"/>
      <w:r>
        <w:rPr>
          <w:caps w:val="false"/>
          <w:smallCaps w:val="false"/>
        </w:rPr>
        <w:t> </w:t>
      </w:r>
      <w:bookmarkStart w:id="513" w:name="xdx_8B0_z9Ti7gnmCH7a"/>
      <w:bookmarkEnd w:id="513"/>
      <w:r>
        <w:rPr>
          <w:rFonts w:ascii="Times New Roman;Times;Serif" w:hAnsi="Times New Roman;Times;Serif"/>
          <w:b w:val="false"/>
          <w:i w:val="false"/>
          <w:caps w:val="false"/>
          <w:smallCaps w:val="false"/>
          <w:sz w:val="20"/>
        </w:rPr>
        <w:t>Schedule of Operating Lease Liability Maturity </w:t>
      </w:r>
    </w:p>
    <w:tbl>
      <w:tblPr>
        <w:tblW w:w="5375" w:type="dxa"/>
        <w:jc w:val="left"/>
        <w:tblInd w:w="0" w:type="dxa"/>
        <w:tblLayout w:type="fixed"/>
        <w:tblCellMar>
          <w:top w:w="0" w:type="dxa"/>
          <w:left w:w="0" w:type="dxa"/>
          <w:bottom w:w="0" w:type="dxa"/>
          <w:right w:w="0" w:type="dxa"/>
        </w:tblCellMar>
      </w:tblPr>
      <w:tblGrid>
        <w:gridCol w:w="4610"/>
        <w:gridCol w:w="60"/>
        <w:gridCol w:w="140"/>
        <w:gridCol w:w="455"/>
        <w:gridCol w:w="110"/>
      </w:tblGrid>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14" w:name="xdx_49C_20260331_zVijjC3uXzBj"/>
            <w:bookmarkEnd w:id="514"/>
          </w:p>
        </w:tc>
        <w:tc>
          <w:tcPr>
            <w:tcW w:w="595" w:type="dxa"/>
            <w:gridSpan w:val="2"/>
            <w:tcBorders/>
            <w:shd w:fill="CCEEFF" w:val="clear"/>
            <w:vAlign w:val="center"/>
          </w:tcPr>
          <w:p>
            <w:pPr>
              <w:pStyle w:val="TableContents"/>
              <w:bidi w:val="0"/>
              <w:spacing w:before="0" w:after="283"/>
              <w:jc w:val="center"/>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Years ending September 30,</w:t>
            </w:r>
          </w:p>
        </w:tc>
        <w:tc>
          <w:tcPr>
            <w:tcW w:w="60" w:type="dxa"/>
            <w:tcBorders/>
            <w:shd w:fill="CCEEFF" w:val="clear"/>
            <w:vAlign w:val="center"/>
          </w:tcPr>
          <w:p>
            <w:pPr>
              <w:pStyle w:val="TableContents"/>
              <w:bidi w:val="0"/>
              <w:spacing w:before="0" w:after="283"/>
              <w:jc w:val="left"/>
              <w:rPr/>
            </w:pPr>
            <w:r>
              <w:rPr/>
              <w:t> </w:t>
            </w:r>
          </w:p>
        </w:tc>
        <w:tc>
          <w:tcPr>
            <w:tcW w:w="595" w:type="dxa"/>
            <w:gridSpan w:val="2"/>
            <w:tcBorders/>
            <w:shd w:fill="CCEEFF" w:val="clear"/>
            <w:vAlign w:val="center"/>
          </w:tcPr>
          <w:p>
            <w:pPr>
              <w:pStyle w:val="TableContents"/>
              <w:bidi w:val="0"/>
              <w:spacing w:before="0" w:after="283"/>
              <w:jc w:val="center"/>
              <w:rPr/>
            </w:pPr>
            <w:r>
              <w:rPr/>
              <w:t> </w:t>
            </w:r>
          </w:p>
        </w:tc>
        <w:tc>
          <w:tcPr>
            <w:tcW w:w="110" w:type="dxa"/>
            <w:tcBorders/>
            <w:shd w:fill="CCEEFF" w:val="clear"/>
            <w:vAlign w:val="center"/>
          </w:tcPr>
          <w:p>
            <w:pPr>
              <w:pStyle w:val="TableContents"/>
              <w:bidi w:val="0"/>
              <w:spacing w:before="0" w:after="283"/>
              <w:jc w:val="left"/>
              <w:rPr/>
            </w:pPr>
            <w:r>
              <w:rPr/>
              <w:t> </w:t>
            </w:r>
            <w:bookmarkStart w:id="515" w:name="xdx_40F_eus-gaap--LesseeOperatingLeaseLi"/>
            <w:bookmarkEnd w:id="515"/>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 (remaining six months)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w:t>
            </w:r>
          </w:p>
        </w:tc>
        <w:tc>
          <w:tcPr>
            <w:tcW w:w="110" w:type="dxa"/>
            <w:tcBorders/>
            <w:shd w:fill="FFFFFF" w:val="clear"/>
            <w:vAlign w:val="center"/>
          </w:tcPr>
          <w:p>
            <w:pPr>
              <w:pStyle w:val="TableContents"/>
              <w:bidi w:val="0"/>
              <w:spacing w:before="0" w:after="283"/>
              <w:jc w:val="left"/>
              <w:rPr/>
            </w:pPr>
            <w:r>
              <w:rPr/>
              <w:t> </w:t>
            </w:r>
            <w:bookmarkStart w:id="516" w:name="xdx_406_eus-gaap--LesseeOperatingLeaseLi"/>
            <w:bookmarkEnd w:id="516"/>
          </w:p>
        </w:tc>
      </w:tr>
      <w:tr>
        <w:trPr/>
        <w:tc>
          <w:tcPr>
            <w:tcW w:w="4610" w:type="dxa"/>
            <w:tcBorders/>
            <w:shd w:fill="CCEEFF" w:val="clear"/>
            <w:vAlign w:val="center"/>
          </w:tcPr>
          <w:p>
            <w:pPr>
              <w:pStyle w:val="TableContents"/>
              <w:bidi w:val="0"/>
              <w:spacing w:before="0" w:after="283"/>
              <w:jc w:val="left"/>
              <w:rPr/>
            </w:pPr>
            <w:r>
              <w:rPr/>
              <w:t>Remaining six months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136</w:t>
            </w:r>
          </w:p>
        </w:tc>
        <w:tc>
          <w:tcPr>
            <w:tcW w:w="110" w:type="dxa"/>
            <w:tcBorders/>
            <w:shd w:fill="CCEEFF" w:val="clear"/>
            <w:vAlign w:val="center"/>
          </w:tcPr>
          <w:p>
            <w:pPr>
              <w:pStyle w:val="TableContents"/>
              <w:bidi w:val="0"/>
              <w:spacing w:before="0" w:after="283"/>
              <w:jc w:val="left"/>
              <w:rPr/>
            </w:pPr>
            <w:r>
              <w:rPr/>
              <w:t> </w:t>
            </w:r>
            <w:bookmarkStart w:id="517" w:name="xdx_405_eus-gaap--LesseeOperatingLeaseLi"/>
            <w:bookmarkEnd w:id="517"/>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c>
          <w:tcPr>
            <w:tcW w:w="110" w:type="dxa"/>
            <w:tcBorders/>
            <w:shd w:fill="CCEEFF" w:val="clear"/>
            <w:vAlign w:val="center"/>
          </w:tcPr>
          <w:p>
            <w:pPr>
              <w:pStyle w:val="TableContents"/>
              <w:bidi w:val="0"/>
              <w:spacing w:before="0" w:after="283"/>
              <w:jc w:val="left"/>
              <w:rPr/>
            </w:pPr>
            <w:r>
              <w:rPr/>
              <w:t> </w:t>
            </w:r>
            <w:bookmarkStart w:id="518" w:name="xdx_409_eus-gaap--LesseeOperatingLeaseLi"/>
            <w:bookmarkEnd w:id="518"/>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Year II</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19" w:name="xdx_40E_eus-gaap--LesseeOperatingLeaseLi"/>
            <w:bookmarkEnd w:id="519"/>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w:t>
            </w:r>
          </w:p>
        </w:tc>
        <w:tc>
          <w:tcPr>
            <w:tcW w:w="110" w:type="dxa"/>
            <w:tcBorders/>
            <w:shd w:fill="FFFFFF" w:val="clear"/>
            <w:vAlign w:val="center"/>
          </w:tcPr>
          <w:p>
            <w:pPr>
              <w:pStyle w:val="TableContents"/>
              <w:bidi w:val="0"/>
              <w:spacing w:before="0" w:after="283"/>
              <w:jc w:val="left"/>
              <w:rPr/>
            </w:pPr>
            <w:r>
              <w:rPr/>
              <w:t> </w:t>
            </w:r>
            <w:bookmarkStart w:id="520" w:name="xdx_401_eus-gaap--LesseeOperatingLeaseLi"/>
            <w:bookmarkEnd w:id="520"/>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21" w:name="xdx_40A_eus-gaap--OperatingLeaseLiabilit"/>
            <w:bookmarkEnd w:id="521"/>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future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w:t>
            </w:r>
          </w:p>
        </w:tc>
        <w:tc>
          <w:tcPr>
            <w:tcW w:w="110" w:type="dxa"/>
            <w:tcBorders/>
            <w:shd w:fill="FFFFFF" w:val="clear"/>
            <w:vAlign w:val="center"/>
          </w:tcPr>
          <w:p>
            <w:pPr>
              <w:pStyle w:val="TableContents"/>
              <w:bidi w:val="0"/>
              <w:spacing w:before="0" w:after="283"/>
              <w:jc w:val="left"/>
              <w:rPr/>
            </w:pPr>
            <w:r>
              <w:rPr/>
              <w:t> </w:t>
            </w:r>
            <w:bookmarkStart w:id="522" w:name="xdx_403_eus-gaap--OperatingLeaseLiabilit"/>
            <w:bookmarkEnd w:id="522"/>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current obligations under leases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23" w:name="xdx_409_eus-gaap--OperatingLeaseLiabilit"/>
            <w:bookmarkEnd w:id="523"/>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24" w:name="xdx_8A8_zDL9q98K2EOe"/>
      <w:bookmarkEnd w:id="52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5" w:name="xdx_803_eus-gaap--CommitmentsAndContinge"/>
      <w:bookmarkEnd w:id="525"/>
      <w:r>
        <w:rPr>
          <w:rFonts w:ascii="Times New Roman;Times;Serif" w:hAnsi="Times New Roman;Times;Serif"/>
          <w:b/>
          <w:i w:val="false"/>
          <w:caps w:val="false"/>
          <w:smallCaps w:val="false"/>
          <w:sz w:val="20"/>
        </w:rPr>
        <w:t xml:space="preserve">Note 9 — </w:t>
      </w:r>
      <w:bookmarkStart w:id="526" w:name="xdx_826_zhJyFm0toj7a"/>
      <w:bookmarkEnd w:id="526"/>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engaged a financial advisor to provide services and the financial advisor has asserted that the Company owes additional funds in excess of amounts previously recognized. The Company disputes the financial advisor’s claim. As of the date of these condensed consolidated financial statements, no legal proceeding has been initiated in respect of this matter. The ultimate resolution of this matter may differ from the amount recognized and any such difference could be material to the Company’s consolidated results of operations and cash flows. At this time, the Company is unable to reasonably estimate the possible amount or range of additional loss, if any, that it may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Ydens Holdings, LLC and related individual plaintiffs filed a lawsuit in Orange County Superior Court against the Company and its subsidiary EMI Solutions, asserting breach of contract and related claims arising from the September 2022 Agreement and Plan of Merger under which the Company acquired EMI Solutions. The plaintiffs seek damages. The Merger Agreement contains a mandatory arbitration provision, and the Company intends to move to compel arbitration and to defend the matter vigorously. The Company is unable to predict final outcome of this matter, but it does not currently believe that it will have a material adverse effect on its results of operation or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subject to legal proceedings, claims and litigation arising in the ordinary course of business. The Company does not believe it is currently a party to any legal proceedings—nor is the Company aware of any other pending or threatened litigation—that the Company believes would have a material adverse effect on its business, operating results, cash flows or financial condition should such litigation be resolved unfavorably.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often includes standard indemnification provisions in its arrangements with customers,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The Company has not in the past incurred significant expense defending against third party claims, nor has it incurred significant expense under its standard service warranties or arrangements with its customers, suppliers and vendors. Accordingly, the Company has not recognized any liabilities for these indemnification provisions as of March 31, 2026 or September 30,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7" w:name="xdx_808_eus-gaap--IncomeTaxDisclosureTex"/>
      <w:bookmarkEnd w:id="527"/>
      <w:r>
        <w:rPr>
          <w:rFonts w:ascii="Times New Roman;Times;Serif" w:hAnsi="Times New Roman;Times;Serif"/>
          <w:b/>
          <w:i w:val="false"/>
          <w:caps w:val="false"/>
          <w:smallCaps w:val="false"/>
          <w:sz w:val="20"/>
        </w:rPr>
        <w:t>Note 10 — </w:t>
      </w:r>
      <w:bookmarkStart w:id="528" w:name="xdx_820_zx1MJwKxJwUl"/>
      <w:bookmarkEnd w:id="528"/>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an income tax provision of $</w:t>
      </w:r>
      <w:bookmarkStart w:id="529" w:name="xdx_904_eus-gaap--IncomeTaxExpenseBenefi"/>
      <w:bookmarkEnd w:id="529"/>
      <w:r>
        <w:rPr>
          <w:rFonts w:ascii="Times New Roman;Times;Serif" w:hAnsi="Times New Roman;Times;Serif"/>
          <w:b w:val="false"/>
          <w:i w:val="false"/>
          <w:caps w:val="false"/>
          <w:smallCaps w:val="false"/>
          <w:sz w:val="20"/>
        </w:rPr>
        <w:t>3 and an income tax benefit of $</w:t>
      </w:r>
      <w:bookmarkStart w:id="530" w:name="xdx_90D_eus-gaap--IncomeTaxExpenseBenefi"/>
      <w:bookmarkEnd w:id="530"/>
      <w:r>
        <w:rPr>
          <w:rFonts w:ascii="Times New Roman;Times;Serif" w:hAnsi="Times New Roman;Times;Serif"/>
          <w:b w:val="false"/>
          <w:i w:val="false"/>
          <w:caps w:val="false"/>
          <w:smallCaps w:val="false"/>
          <w:sz w:val="20"/>
        </w:rPr>
        <w:t>5 for the three months ended March 31, 2026 and 2025, respectively, and an income tax benefit of $</w:t>
      </w:r>
      <w:bookmarkStart w:id="531" w:name="xdx_904_eus-gaap--IncomeTaxExpenseBenefi"/>
      <w:bookmarkEnd w:id="531"/>
      <w:r>
        <w:rPr>
          <w:rFonts w:ascii="Times New Roman;Times;Serif" w:hAnsi="Times New Roman;Times;Serif"/>
          <w:b w:val="false"/>
          <w:i w:val="false"/>
          <w:caps w:val="false"/>
          <w:smallCaps w:val="false"/>
          <w:sz w:val="20"/>
        </w:rPr>
        <w:t>21 and $</w:t>
      </w:r>
      <w:bookmarkStart w:id="532" w:name="xdx_903_eus-gaap--IncomeTaxExpenseBenefi"/>
      <w:bookmarkEnd w:id="532"/>
      <w:r>
        <w:rPr>
          <w:rFonts w:ascii="Times New Roman;Times;Serif" w:hAnsi="Times New Roman;Times;Serif"/>
          <w:b w:val="false"/>
          <w:i w:val="false"/>
          <w:caps w:val="false"/>
          <w:smallCaps w:val="false"/>
          <w:sz w:val="20"/>
        </w:rPr>
        <w:t>7 for the six months ended March 31, 2026 and 2025, respectively. The Company calculated the income tax provision (benefit) using the discrete year-to-date method. The Company’s income tax provision (benefit) differs from an amount calculated based on statutory tax rates principally due to the Company recording a valuation allowance against the net operating losses it generated during the periods. The Company establishes a valuation allowance when necessary to reduce the carrying amount of its deferred tax assets when it is more likely than not that the deferred tax assets will not be realized. In evaluating the Company’s ability to realize deferred tax assets, the Company considers all available positive and negative evidence, including historical operating results, potential limitations on the Company’s ability to carry forward net operating losses, ongoing tax planning, and forecasts of future taxable income on a jurisdiction-by-jurisdiction basis. Based on these factors, the Company has established a valuation allowance to reduce its net deferred tax assets to the amount that is more likely than 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3" w:name="xdx_801_eus-gaap--StockholdersEquityNote"/>
      <w:bookmarkEnd w:id="533"/>
      <w:r>
        <w:rPr>
          <w:rFonts w:ascii="Times New Roman;Times;Serif" w:hAnsi="Times New Roman;Times;Serif"/>
          <w:b/>
          <w:i w:val="false"/>
          <w:caps w:val="false"/>
          <w:smallCaps w:val="false"/>
          <w:sz w:val="20"/>
        </w:rPr>
        <w:t xml:space="preserve">Note 11 — </w:t>
      </w:r>
      <w:bookmarkStart w:id="534" w:name="xdx_82C_z44B44zj9Xxd"/>
      <w:bookmarkEnd w:id="534"/>
      <w:r>
        <w:rPr>
          <w:rFonts w:ascii="Times New Roman;Times;Serif" w:hAnsi="Times New Roman;Times;Serif"/>
          <w:b/>
          <w:i w:val="false"/>
          <w:caps w:val="false"/>
          <w:smallCaps w:val="false"/>
          <w:sz w:val="20"/>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amended and restated certificate of incorporation authorizes the issuance of preferred stock, Class A Common Stock and Class B Common Stock. As of March 31, 2026, the board of directors had not designated any series of preferred stock, and </w:t>
      </w:r>
      <w:bookmarkStart w:id="535" w:name="xdx_902_eus-gaap--PreferredStockSharesIs"/>
      <w:bookmarkStart w:id="536" w:name="xdx_907_eus-gaap--PreferredStockSharesOu"/>
      <w:bookmarkEnd w:id="535"/>
      <w:bookmarkEnd w:id="536"/>
      <w:r>
        <w:rPr>
          <w:rFonts w:ascii="Times New Roman;Times;Serif" w:hAnsi="Times New Roman;Times;Serif"/>
          <w:b w:val="false"/>
          <w:i w:val="false"/>
          <w:caps w:val="false"/>
          <w:smallCaps w:val="false"/>
          <w:sz w:val="20"/>
        </w:rPr>
        <w:t>no shares of preferred stock were issued or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2026, the Company entered into three exchange agreements pursuant to which certain outstanding indebtedness and other amounts owed were exchanged for shares of the Company’s Class A Common Stock. Under these agreements, (i) indebtedness of $</w:t>
      </w:r>
      <w:bookmarkStart w:id="537" w:name="xdx_908_eus-gaap--SaleOfStockConsiderati"/>
      <w:bookmarkEnd w:id="537"/>
      <w:r>
        <w:rPr>
          <w:rFonts w:ascii="Times New Roman;Times;Serif" w:hAnsi="Times New Roman;Times;Serif"/>
          <w:b w:val="false"/>
          <w:i w:val="false"/>
          <w:caps w:val="false"/>
          <w:smallCaps w:val="false"/>
          <w:sz w:val="20"/>
        </w:rPr>
        <w:t xml:space="preserve">785 was exchanged for </w:t>
      </w:r>
      <w:bookmarkStart w:id="538" w:name="xdx_900_eus-gaap--SaleOfStockNumberOfSha"/>
      <w:bookmarkEnd w:id="538"/>
      <w:r>
        <w:rPr>
          <w:rFonts w:ascii="Times New Roman;Times;Serif" w:hAnsi="Times New Roman;Times;Serif"/>
          <w:b w:val="false"/>
          <w:i w:val="false"/>
          <w:caps w:val="false"/>
          <w:smallCaps w:val="false"/>
          <w:sz w:val="20"/>
        </w:rPr>
        <w:t>107,571 shares of Class A Common Stock at an exchange price of $</w:t>
      </w:r>
      <w:bookmarkStart w:id="539" w:name="xdx_90E_eus-gaap--SaleOfStockPricePerSha"/>
      <w:bookmarkEnd w:id="539"/>
      <w:r>
        <w:rPr>
          <w:rFonts w:ascii="Times New Roman;Times;Serif" w:hAnsi="Times New Roman;Times;Serif"/>
          <w:b w:val="false"/>
          <w:i w:val="false"/>
          <w:caps w:val="false"/>
          <w:smallCaps w:val="false"/>
          <w:sz w:val="20"/>
        </w:rPr>
        <w:t>7.30 per share, (ii) outstanding obligations of $</w:t>
      </w:r>
      <w:bookmarkStart w:id="540" w:name="xdx_90F_ecustom--SharesOutstandingObliga"/>
      <w:bookmarkEnd w:id="540"/>
      <w:r>
        <w:rPr>
          <w:rFonts w:ascii="Times New Roman;Times;Serif" w:hAnsi="Times New Roman;Times;Serif"/>
          <w:b w:val="false"/>
          <w:i w:val="false"/>
          <w:caps w:val="false"/>
          <w:smallCaps w:val="false"/>
          <w:sz w:val="20"/>
        </w:rPr>
        <w:t>1,425 were partially settled through the issuance of shares having an aggregate value of $</w:t>
      </w:r>
      <w:bookmarkStart w:id="541" w:name="xdx_90C_eus-gaap--SaleOfStockConsiderati"/>
      <w:bookmarkEnd w:id="541"/>
      <w:r>
        <w:rPr>
          <w:rFonts w:ascii="Times New Roman;Times;Serif" w:hAnsi="Times New Roman;Times;Serif"/>
          <w:b w:val="false"/>
          <w:i w:val="false"/>
          <w:caps w:val="false"/>
          <w:smallCaps w:val="false"/>
          <w:sz w:val="20"/>
        </w:rPr>
        <w:t xml:space="preserve">615, with the remaining balance to be resolved under a separate agreement, and (iii) outstanding amounts owed under a service agreement, including existing and expected invoices or obligations, were exchanged for </w:t>
      </w:r>
      <w:bookmarkStart w:id="542" w:name="xdx_901_eus-gaap--SaleOfStockNumberOfSha"/>
      <w:bookmarkEnd w:id="542"/>
      <w:r>
        <w:rPr>
          <w:rFonts w:ascii="Times New Roman;Times;Serif" w:hAnsi="Times New Roman;Times;Serif"/>
          <w:b w:val="false"/>
          <w:i w:val="false"/>
          <w:caps w:val="false"/>
          <w:smallCaps w:val="false"/>
          <w:sz w:val="20"/>
        </w:rPr>
        <w:t>15,000 shares of Class A Common Stock. Upon closing, the applicable exchanged obligations were to be cancelled and extinguished in accordance with the terms of the respective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March 31, 2025, the Company sold </w:t>
      </w:r>
      <w:bookmarkStart w:id="543" w:name="xdx_902_eus-gaap--StockIssuedDuringPerio"/>
      <w:bookmarkEnd w:id="543"/>
      <w:r>
        <w:rPr>
          <w:rFonts w:ascii="Times New Roman;Times;Serif" w:hAnsi="Times New Roman;Times;Serif"/>
          <w:b w:val="false"/>
          <w:i w:val="false"/>
          <w:caps w:val="false"/>
          <w:smallCaps w:val="false"/>
          <w:sz w:val="20"/>
        </w:rPr>
        <w:t>52,173 shares of its Class A Common Stock to an unaffiliated investor for net proceeds of $</w:t>
      </w:r>
      <w:bookmarkStart w:id="544" w:name="xdx_901_eus-gaap--ProceedsFromIssuanceOf"/>
      <w:bookmarkEnd w:id="544"/>
      <w:r>
        <w:rPr>
          <w:rFonts w:ascii="Times New Roman;Times;Serif" w:hAnsi="Times New Roman;Times;Serif"/>
          <w:b w:val="false"/>
          <w:i w:val="false"/>
          <w:caps w:val="false"/>
          <w:smallCaps w:val="false"/>
          <w:sz w:val="20"/>
        </w:rPr>
        <w:t xml:space="preserve">600. The Company also issued </w:t>
      </w:r>
      <w:bookmarkStart w:id="545" w:name="xdx_900_eus-gaap--StockIssuedDuringPerio"/>
      <w:bookmarkEnd w:id="545"/>
      <w:r>
        <w:rPr>
          <w:rFonts w:ascii="Times New Roman;Times;Serif" w:hAnsi="Times New Roman;Times;Serif"/>
          <w:b w:val="false"/>
          <w:i w:val="false"/>
          <w:caps w:val="false"/>
          <w:smallCaps w:val="false"/>
          <w:sz w:val="20"/>
        </w:rPr>
        <w:t>61,059 shares of its Class A Common Stock to certain vendors in settlement of $</w:t>
      </w:r>
      <w:bookmarkStart w:id="546" w:name="xdx_907_eus-gaap--IncreaseDecreaseInAcco"/>
      <w:bookmarkEnd w:id="546"/>
      <w:r>
        <w:rPr>
          <w:rFonts w:ascii="Times New Roman;Times;Serif" w:hAnsi="Times New Roman;Times;Serif"/>
          <w:b w:val="false"/>
          <w:i w:val="false"/>
          <w:caps w:val="false"/>
          <w:smallCaps w:val="false"/>
          <w:sz w:val="20"/>
        </w:rPr>
        <w:t>700 of accounts payable. In connection therewith, the Company recognized a gain of $</w:t>
      </w:r>
      <w:bookmarkStart w:id="547" w:name="xdx_90E_eus-gaap--EquityMethodInvestment"/>
      <w:bookmarkEnd w:id="547"/>
      <w:r>
        <w:rPr>
          <w:rFonts w:ascii="Times New Roman;Times;Serif" w:hAnsi="Times New Roman;Times;Serif"/>
          <w:b w:val="false"/>
          <w:i w:val="false"/>
          <w:caps w:val="false"/>
          <w:smallCaps w:val="false"/>
          <w:sz w:val="20"/>
        </w:rPr>
        <w:t xml:space="preserve">147. Also during the six months ended March 31, 2025, holders of </w:t>
      </w:r>
      <w:bookmarkStart w:id="548" w:name="xdx_90C_eus-gaap--StockIssuedDuringPerio"/>
      <w:bookmarkEnd w:id="548"/>
      <w:r>
        <w:rPr>
          <w:rFonts w:ascii="Times New Roman;Times;Serif" w:hAnsi="Times New Roman;Times;Serif"/>
          <w:b w:val="false"/>
          <w:i w:val="false"/>
          <w:caps w:val="false"/>
          <w:smallCaps w:val="false"/>
          <w:sz w:val="20"/>
        </w:rPr>
        <w:t>12,500 shares of the Company’s Class B Common Stock elected to convert such shares into the same number of shares of the Company’s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shares, options to purchase common stock, share amounts, per share amounts, and related information contained in the condensed consolidated financial statements have been retrospectively adjusted to reflect the effect of the Reverse Stock Split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6, 2026, the Company entered into certain securities purchase agreements with unrelated investors relating to a public offering of </w:t>
      </w:r>
      <w:bookmarkStart w:id="549" w:name="xdx_90A_eus-gaap--SaleOfStockNumberOfSha"/>
      <w:bookmarkEnd w:id="549"/>
      <w:r>
        <w:rPr>
          <w:rFonts w:ascii="Times New Roman;Times;Serif" w:hAnsi="Times New Roman;Times;Serif"/>
          <w:b w:val="false"/>
          <w:i w:val="false"/>
          <w:caps w:val="false"/>
          <w:smallCaps w:val="false"/>
          <w:sz w:val="20"/>
        </w:rPr>
        <w:t>3,000,000 shares of its Class A Common Stock at a price to the public of $</w:t>
      </w:r>
      <w:bookmarkStart w:id="550" w:name="xdx_907_eus-gaap--SaleOfStockPricePerSha"/>
      <w:bookmarkEnd w:id="550"/>
      <w:r>
        <w:rPr>
          <w:rFonts w:ascii="Times New Roman;Times;Serif" w:hAnsi="Times New Roman;Times;Serif"/>
          <w:b w:val="false"/>
          <w:i w:val="false"/>
          <w:caps w:val="false"/>
          <w:smallCaps w:val="false"/>
          <w:sz w:val="20"/>
        </w:rPr>
        <w:t xml:space="preserve">2.00 per share (the “Offering”). In connection with the Offering, the Company entered into a placement agency agreement, pursuant to which the Company agreed to pay the placement agent a cash placement fee equal to </w:t>
      </w:r>
      <w:bookmarkStart w:id="551" w:name="xdx_90B_ecustom--PlacementAgentCashPlace"/>
      <w:bookmarkEnd w:id="551"/>
      <w:r>
        <w:rPr>
          <w:rFonts w:ascii="Times New Roman;Times;Serif" w:hAnsi="Times New Roman;Times;Serif"/>
          <w:b w:val="false"/>
          <w:i w:val="false"/>
          <w:caps w:val="false"/>
          <w:smallCaps w:val="false"/>
          <w:sz w:val="20"/>
        </w:rPr>
        <w:t xml:space="preserve">8.0% of the aggregate gross proceeds raised in the Offering. Subject to certain conditions, the Company also agreed to reimburse the placement agent up to </w:t>
      </w:r>
      <w:bookmarkStart w:id="552" w:name="xdx_90F_ecustom--PlacementAgentCashPlace"/>
      <w:bookmarkEnd w:id="552"/>
      <w:r>
        <w:rPr>
          <w:rFonts w:ascii="Times New Roman;Times;Serif" w:hAnsi="Times New Roman;Times;Serif"/>
          <w:b w:val="false"/>
          <w:i w:val="false"/>
          <w:caps w:val="false"/>
          <w:smallCaps w:val="false"/>
          <w:sz w:val="20"/>
        </w:rPr>
        <w:t>1.0% of the gross proceeds raised in the Offering for non-accountable expenses and up to $</w:t>
      </w:r>
      <w:bookmarkStart w:id="553" w:name="xdx_90B_eus-gaap--LegalFees_pn3n3_c20260"/>
      <w:bookmarkEnd w:id="553"/>
      <w:r>
        <w:rPr>
          <w:rFonts w:ascii="Times New Roman;Times;Serif" w:hAnsi="Times New Roman;Times;Serif"/>
          <w:b w:val="false"/>
          <w:i w:val="false"/>
          <w:caps w:val="false"/>
          <w:smallCaps w:val="false"/>
          <w:sz w:val="20"/>
        </w:rPr>
        <w:t>100 for fees and expenses of legal counsel and other out-of-pocket expenses. The Company also agreed to indemnify the placement agent against certain liabilities, including liabilities under the Securities Act of 1933, as amended, or to contribute to payments that the placement agent may be required to make in respect of those liabilities. The net proceeds to the Company from the Offering were approximately $</w:t>
      </w:r>
      <w:bookmarkStart w:id="554" w:name="xdx_90B_eus-gaap--ProceedsFromIssuanceIn"/>
      <w:bookmarkEnd w:id="554"/>
      <w:r>
        <w:rPr>
          <w:rFonts w:ascii="Times New Roman;Times;Serif" w:hAnsi="Times New Roman;Times;Serif"/>
          <w:b w:val="false"/>
          <w:i w:val="false"/>
          <w:caps w:val="false"/>
          <w:smallCaps w:val="false"/>
          <w:sz w:val="20"/>
        </w:rPr>
        <w:t xml:space="preserve">5,360, after deducting placement agent fees and commissions and other estimated offering expenses payable by the Company. As a result of the Offering, the Company issued </w:t>
      </w:r>
      <w:bookmarkStart w:id="555" w:name="xdx_90E_eus-gaap--SharesIssued_iI_pid_c2"/>
      <w:bookmarkEnd w:id="555"/>
      <w:r>
        <w:rPr>
          <w:rFonts w:ascii="Times New Roman;Times;Serif" w:hAnsi="Times New Roman;Times;Serif"/>
          <w:b w:val="false"/>
          <w:i w:val="false"/>
          <w:caps w:val="false"/>
          <w:smallCaps w:val="false"/>
          <w:sz w:val="20"/>
        </w:rPr>
        <w:t>220,000 shares of its Class A Common Stock to a lender as make-whole shares, pursuant to the terms of a promissory note.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Market Offering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2025, the Company entered into an At The Market Offering Agreement (the “ATM Agreement”) with Roth Capital Partners, LLC (“Manager”) under which the Company may offer and sell, from time to time at its sole discretion, up to $</w:t>
      </w:r>
      <w:bookmarkStart w:id="556" w:name="xdx_90E_eus-gaap--StockIssuedDuringPerio"/>
      <w:bookmarkEnd w:id="556"/>
      <w:r>
        <w:rPr>
          <w:rFonts w:ascii="Times New Roman;Times;Serif" w:hAnsi="Times New Roman;Times;Serif"/>
          <w:b w:val="false"/>
          <w:i w:val="false"/>
          <w:caps w:val="false"/>
          <w:smallCaps w:val="false"/>
          <w:sz w:val="20"/>
        </w:rPr>
        <w:t>15,800 in shares of its Class A Common Stock through the Manager acting in its capacity as its sales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sales of the Common Stock, if any, will be made under the Company’s Registration Statement on Form S-3 (File No. 333-284351) by any method that is deemed to be an “at the market offering” as defined in Rule 415(a)(4) under the Securities Act of 1933, as amended, including privately negotiated and block transactions. The Manager will use commercially reasonable efforts consistent with its normal trading and sales practices and applicable state and federal law, rules and regulations and the rules of The Nasdaq Capital Market to sell the Common Stock from time to time, based upon instructions from the Company (including any price, time or size limits or other customary parameters or conditions the Company may impose). The Company will pay the Manager a commission of three percent of the gross sales proceeds of any Common Stock sold through the Manager under the ATM Agreement and also has provided the Manager with customary indemnification rights. The Company also reimbursed the Manager for certain expenses in connection with entering into the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March 31, 2026, the Company sold </w:t>
      </w:r>
      <w:bookmarkStart w:id="557" w:name="xdx_90C_eus-gaap--SaleOfStockNumberOfSha"/>
      <w:bookmarkEnd w:id="557"/>
      <w:r>
        <w:rPr>
          <w:rFonts w:ascii="Times New Roman;Times;Serif" w:hAnsi="Times New Roman;Times;Serif"/>
          <w:b w:val="false"/>
          <w:i w:val="false"/>
          <w:caps w:val="false"/>
          <w:smallCaps w:val="false"/>
          <w:sz w:val="20"/>
        </w:rPr>
        <w:t>191,449 shares of its Class A Common Stock under the ATM Agreement, for net proceeds (after commissions) of $</w:t>
      </w:r>
      <w:bookmarkStart w:id="558" w:name="xdx_905_eus-gaap--ProceedsFromIssuanceOf"/>
      <w:bookmarkEnd w:id="558"/>
      <w:r>
        <w:rPr>
          <w:rFonts w:ascii="Times New Roman;Times;Serif" w:hAnsi="Times New Roman;Times;Serif"/>
          <w:b w:val="false"/>
          <w:i w:val="false"/>
          <w:caps w:val="false"/>
          <w:smallCaps w:val="false"/>
          <w:sz w:val="20"/>
        </w:rPr>
        <w:t>1,254. The amount and timing of future proceeds the Company may receive from the sale of its Class A Common Stock pursuant to the ATM Agreement, if any, will depend on a number of factors, including that the Company is eligible to use the Registration Statement on Form S-3 to sell shares to the Manager, the number of shares the Company may elect to sell, the timing of such sales and the future market price of the Company’s Class A Common stock. As of the date of this Form 10-Q, the Company is unable to sell shares pursuant to the ATM Agreement due to restrictions on the use of the Registration Statement on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559" w:name="xdx_892_eus-gaap--ScheduleOfStockholders"/>
      <w:bookmarkEnd w:id="559"/>
      <w:r>
        <w:rPr>
          <w:rFonts w:ascii="Times New Roman;Times;Serif" w:hAnsi="Times New Roman;Times;Serif"/>
          <w:b w:val="false"/>
          <w:i w:val="false"/>
          <w:caps w:val="false"/>
          <w:smallCaps w:val="false"/>
          <w:sz w:val="20"/>
        </w:rPr>
        <w:t>As of March 31, 2026, the number of shares of Class A Common Stock available for issuance under the Company’s amended and restated articles of incorporation were as follows:</w:t>
      </w:r>
    </w:p>
    <w:p>
      <w:pPr>
        <w:pStyle w:val="TextBody"/>
        <w:bidi w:val="0"/>
        <w:spacing w:before="0" w:after="0"/>
        <w:ind w:left="0" w:right="0" w:hanging="0"/>
        <w:jc w:val="both"/>
        <w:rPr>
          <w:caps w:val="false"/>
          <w:smallCaps w:val="false"/>
        </w:rPr>
      </w:pPr>
      <w:r>
        <w:rPr>
          <w:caps w:val="false"/>
          <w:smallCaps w:val="false"/>
        </w:rPr>
        <w:t> </w:t>
      </w:r>
      <w:bookmarkStart w:id="560" w:name="xdx_8BD_zDIXEXg2YXC4"/>
      <w:bookmarkEnd w:id="560"/>
      <w:r>
        <w:rPr>
          <w:rFonts w:ascii="Times New Roman;Times;Serif" w:hAnsi="Times New Roman;Times;Serif"/>
          <w:b w:val="false"/>
          <w:i w:val="false"/>
          <w:caps w:val="false"/>
          <w:smallCaps w:val="false"/>
          <w:sz w:val="20"/>
        </w:rPr>
        <w:t>Schedule of Common Stock Available for Issuance</w:t>
      </w:r>
    </w:p>
    <w:tbl>
      <w:tblPr>
        <w:tblW w:w="8125" w:type="dxa"/>
        <w:jc w:val="left"/>
        <w:tblInd w:w="0" w:type="dxa"/>
        <w:tblLayout w:type="fixed"/>
        <w:tblCellMar>
          <w:top w:w="0" w:type="dxa"/>
          <w:left w:w="0" w:type="dxa"/>
          <w:bottom w:w="0" w:type="dxa"/>
          <w:right w:w="0" w:type="dxa"/>
        </w:tblCellMar>
      </w:tblPr>
      <w:tblGrid>
        <w:gridCol w:w="6710"/>
        <w:gridCol w:w="60"/>
        <w:gridCol w:w="60"/>
        <w:gridCol w:w="1220"/>
        <w:gridCol w:w="75"/>
      </w:tblGrid>
      <w:tr>
        <w:trPr/>
        <w:tc>
          <w:tcPr>
            <w:tcW w:w="6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61" w:name="xdx_49D_20260331__us-gaap--StatementClas"/>
            <w:bookmarkEnd w:id="561"/>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62" w:name="xdx_400_eus-gaap--CommonStockSharesAutho"/>
            <w:bookmarkEnd w:id="562"/>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Authorized number of shares of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285,000,000</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563" w:name="xdx_40A_eus-gaap--CommonStockSharesOutst"/>
            <w:bookmarkEnd w:id="563"/>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10,355,525</w:t>
            </w:r>
          </w:p>
        </w:tc>
        <w:tc>
          <w:tcPr>
            <w:tcW w:w="75" w:type="dxa"/>
            <w:tcBorders/>
            <w:shd w:fill="CCEEFF" w:val="clear"/>
            <w:vAlign w:val="center"/>
          </w:tcPr>
          <w:p>
            <w:pPr>
              <w:pStyle w:val="TableContents"/>
              <w:bidi w:val="0"/>
              <w:spacing w:before="0" w:after="283"/>
              <w:jc w:val="left"/>
              <w:rPr/>
            </w:pPr>
            <w:r>
              <w:rPr/>
              <w:t> </w:t>
            </w:r>
            <w:bookmarkStart w:id="564" w:name="xdx_40F_ecustom--ReserveForConversionOfC"/>
            <w:bookmarkEnd w:id="564"/>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Reserve for conversion of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75" w:type="dxa"/>
            <w:tcBorders/>
            <w:shd w:fill="FFFFFF" w:val="clear"/>
            <w:vAlign w:val="center"/>
          </w:tcPr>
          <w:p>
            <w:pPr>
              <w:pStyle w:val="TableContents"/>
              <w:bidi w:val="0"/>
              <w:spacing w:before="0" w:after="283"/>
              <w:jc w:val="left"/>
              <w:rPr/>
            </w:pPr>
            <w:r>
              <w:rPr/>
              <w:t> </w:t>
            </w:r>
            <w:bookmarkStart w:id="565" w:name="xdx_401_ecustom--ReserveForExerciseOfCom"/>
            <w:bookmarkEnd w:id="565"/>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Reserve for exercise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2,608,568</w:t>
            </w:r>
          </w:p>
        </w:tc>
        <w:tc>
          <w:tcPr>
            <w:tcW w:w="75" w:type="dxa"/>
            <w:tcBorders/>
            <w:shd w:fill="CCEEFF" w:val="clear"/>
            <w:vAlign w:val="center"/>
          </w:tcPr>
          <w:p>
            <w:pPr>
              <w:pStyle w:val="TableContents"/>
              <w:bidi w:val="0"/>
              <w:spacing w:before="0" w:after="283"/>
              <w:jc w:val="left"/>
              <w:rPr/>
            </w:pPr>
            <w:r>
              <w:rPr/>
              <w:t> </w:t>
            </w:r>
            <w:bookmarkStart w:id="566" w:name="xdx_404_ecustom--ReserveForEarnoutShares"/>
            <w:bookmarkEnd w:id="566"/>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Reserve for Earnout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w:t>
            </w:r>
          </w:p>
        </w:tc>
        <w:tc>
          <w:tcPr>
            <w:tcW w:w="75" w:type="dxa"/>
            <w:tcBorders/>
            <w:shd w:fill="FFFFFF" w:val="clear"/>
            <w:vAlign w:val="center"/>
          </w:tcPr>
          <w:p>
            <w:pPr>
              <w:pStyle w:val="TableContents"/>
              <w:bidi w:val="0"/>
              <w:spacing w:before="0" w:after="283"/>
              <w:jc w:val="left"/>
              <w:rPr/>
            </w:pPr>
            <w:r>
              <w:rPr/>
              <w:t> </w:t>
            </w:r>
            <w:bookmarkStart w:id="567" w:name="xdx_406_ecustom--ReserveForRageEarnout_i"/>
            <w:bookmarkEnd w:id="567"/>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Reserve for RaGE Earnout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568" w:name="xdx_409_ecustom--StockOptionsAndRSUsOuts"/>
            <w:bookmarkEnd w:id="568"/>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options and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987,398</w:t>
            </w:r>
          </w:p>
        </w:tc>
        <w:tc>
          <w:tcPr>
            <w:tcW w:w="75" w:type="dxa"/>
            <w:tcBorders/>
            <w:shd w:fill="CCEEFF" w:val="clear"/>
            <w:vAlign w:val="center"/>
          </w:tcPr>
          <w:p>
            <w:pPr>
              <w:pStyle w:val="TableContents"/>
              <w:bidi w:val="0"/>
              <w:spacing w:before="0" w:after="283"/>
              <w:jc w:val="left"/>
              <w:rPr/>
            </w:pPr>
            <w:r>
              <w:rPr/>
              <w:t> </w:t>
            </w:r>
            <w:bookmarkStart w:id="569" w:name="xdx_409_eus-gaap--ShareBasedCompensation"/>
            <w:bookmarkEnd w:id="569"/>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Awards available for grant under 2023 Equity Incentive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94,209</w:t>
            </w:r>
          </w:p>
        </w:tc>
        <w:tc>
          <w:tcPr>
            <w:tcW w:w="75" w:type="dxa"/>
            <w:tcBorders/>
            <w:shd w:fill="FFFFFF" w:val="clear"/>
            <w:vAlign w:val="center"/>
          </w:tcPr>
          <w:p>
            <w:pPr>
              <w:pStyle w:val="TableContents"/>
              <w:bidi w:val="0"/>
              <w:spacing w:before="0" w:after="283"/>
              <w:jc w:val="left"/>
              <w:rPr/>
            </w:pPr>
            <w:r>
              <w:rPr/>
              <w:t> </w:t>
            </w:r>
            <w:bookmarkStart w:id="570" w:name="xdx_406_ecustom--AwardsAvailableForGrant"/>
            <w:bookmarkEnd w:id="570"/>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Awards available for grant under 2023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68,705</w:t>
            </w:r>
          </w:p>
        </w:tc>
        <w:tc>
          <w:tcPr>
            <w:tcW w:w="75" w:type="dxa"/>
            <w:tcBorders/>
            <w:shd w:fill="CCEEFF" w:val="clear"/>
            <w:vAlign w:val="center"/>
          </w:tcPr>
          <w:p>
            <w:pPr>
              <w:pStyle w:val="TableContents"/>
              <w:bidi w:val="0"/>
              <w:spacing w:before="0" w:after="283"/>
              <w:jc w:val="left"/>
              <w:rPr/>
            </w:pPr>
            <w:r>
              <w:rPr/>
              <w:t> </w:t>
            </w:r>
            <w:bookmarkStart w:id="571" w:name="xdx_40B_eus-gaap--CommonStockCapitalShar"/>
            <w:bookmarkEnd w:id="571"/>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of Class A Common Stock available for issuance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270,335,104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2" w:name="xdx_8A4_zfJEWmnppph8"/>
      <w:bookmarkEnd w:id="572"/>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declared or paid any dividends on any class of its equity securities and does not expect to do so in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3" w:name="xdx_804_ecustom--WarrantsTextBlock_z4HGM"/>
      <w:bookmarkEnd w:id="573"/>
      <w:r>
        <w:rPr>
          <w:rFonts w:ascii="Times New Roman;Times;Serif" w:hAnsi="Times New Roman;Times;Serif"/>
          <w:b/>
          <w:i w:val="false"/>
          <w:caps w:val="false"/>
          <w:smallCaps w:val="false"/>
          <w:sz w:val="20"/>
        </w:rPr>
        <w:t xml:space="preserve">Note 12 — </w:t>
      </w:r>
      <w:bookmarkStart w:id="574" w:name="xdx_823_zY6JnAFZco55"/>
      <w:bookmarkEnd w:id="574"/>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575" w:name="xdx_898_ecustom--ScheduleOfOutstandingWa"/>
      <w:bookmarkEnd w:id="575"/>
      <w:r>
        <w:rPr>
          <w:rFonts w:ascii="Times New Roman;Times;Serif" w:hAnsi="Times New Roman;Times;Serif"/>
          <w:b w:val="false"/>
          <w:i w:val="false"/>
          <w:caps w:val="false"/>
          <w:smallCaps w:val="false"/>
          <w:sz w:val="20"/>
        </w:rPr>
        <w:t>Outstanding warrants consist of the following:</w:t>
      </w:r>
    </w:p>
    <w:p>
      <w:pPr>
        <w:pStyle w:val="TextBody"/>
        <w:bidi w:val="0"/>
        <w:spacing w:before="0" w:after="0"/>
        <w:ind w:left="0" w:right="0" w:hanging="0"/>
        <w:jc w:val="left"/>
        <w:rPr>
          <w:caps w:val="false"/>
          <w:smallCaps w:val="false"/>
        </w:rPr>
      </w:pPr>
      <w:r>
        <w:rPr>
          <w:caps w:val="false"/>
          <w:smallCaps w:val="false"/>
        </w:rPr>
        <w:t> </w:t>
      </w:r>
      <w:bookmarkStart w:id="576" w:name="xdx_8B4_zcC1xaXJmqtc"/>
      <w:bookmarkEnd w:id="576"/>
      <w:r>
        <w:rPr>
          <w:rFonts w:ascii="Times New Roman;Times;Serif" w:hAnsi="Times New Roman;Times;Serif"/>
          <w:b w:val="false"/>
          <w:i w:val="false"/>
          <w:caps w:val="false"/>
          <w:smallCaps w:val="false"/>
          <w:sz w:val="20"/>
        </w:rPr>
        <w:t>Schedule of Outstanding Warrants</w:t>
      </w:r>
    </w:p>
    <w:tbl>
      <w:tblPr>
        <w:tblW w:w="8323" w:type="dxa"/>
        <w:jc w:val="left"/>
        <w:tblInd w:w="0" w:type="dxa"/>
        <w:tblLayout w:type="fixed"/>
        <w:tblCellMar>
          <w:top w:w="0" w:type="dxa"/>
          <w:left w:w="0" w:type="dxa"/>
          <w:bottom w:w="28" w:type="dxa"/>
          <w:right w:w="0" w:type="dxa"/>
        </w:tblCellMar>
      </w:tblPr>
      <w:tblGrid>
        <w:gridCol w:w="4445"/>
        <w:gridCol w:w="60"/>
        <w:gridCol w:w="92"/>
        <w:gridCol w:w="1517"/>
        <w:gridCol w:w="60"/>
        <w:gridCol w:w="60"/>
        <w:gridCol w:w="115"/>
        <w:gridCol w:w="1899"/>
        <w:gridCol w:w="75"/>
      </w:tblGrid>
      <w:tr>
        <w:trPr/>
        <w:tc>
          <w:tcPr>
            <w:tcW w:w="444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Range of Exercise Prices Per Share:</w:t>
            </w:r>
          </w:p>
        </w:tc>
        <w:tc>
          <w:tcPr>
            <w:tcW w:w="60" w:type="dxa"/>
            <w:tcBorders/>
            <w:tcMar>
              <w:bottom w:w="0" w:type="dxa"/>
            </w:tcMar>
            <w:vAlign w:val="center"/>
          </w:tcPr>
          <w:p>
            <w:pPr>
              <w:pStyle w:val="TableContents"/>
              <w:bidi w:val="0"/>
              <w:spacing w:before="0" w:after="283"/>
              <w:jc w:val="left"/>
              <w:rPr/>
            </w:pPr>
            <w:r>
              <w:rPr/>
              <w:t> </w:t>
            </w:r>
          </w:p>
        </w:tc>
        <w:tc>
          <w:tcPr>
            <w:tcW w:w="16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September 30, 2025</w:t>
            </w:r>
          </w:p>
        </w:tc>
        <w:tc>
          <w:tcPr>
            <w:tcW w:w="75" w:type="dxa"/>
            <w:tcBorders/>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 Warrants and Private Warrants - $</w:t>
            </w:r>
            <w:bookmarkStart w:id="577" w:name="xdx_908_ecustom--WarrantExercisePrice_pi"/>
            <w:bookmarkEnd w:id="577"/>
            <w:r>
              <w:rPr>
                <w:rFonts w:ascii="Times New Roman;Times;Serif" w:hAnsi="Times New Roman;Times;Serif"/>
              </w:rPr>
              <w:t>57.90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bookmarkStart w:id="578" w:name="xdx_982_eus-gaap--ClassOfWarrantOrRightO"/>
            <w:bookmarkEnd w:id="578"/>
          </w:p>
        </w:tc>
        <w:tc>
          <w:tcPr>
            <w:tcW w:w="15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bookmarkStart w:id="579" w:name="xdx_98A_eus-gaap--ClassOfWarrantOrRightO"/>
            <w:bookmarkEnd w:id="579"/>
          </w:p>
        </w:tc>
        <w:tc>
          <w:tcPr>
            <w:tcW w:w="189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1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899"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80" w:name="xdx_906_ecustom--WarrantExercisePrice_pi"/>
            <w:bookmarkEnd w:id="580"/>
            <w:r>
              <w:rPr>
                <w:rFonts w:ascii="Times New Roman;Times;Serif" w:hAnsi="Times New Roman;Times;Serif"/>
              </w:rPr>
              <w:t>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bookmarkStart w:id="581" w:name="xdx_98C_eus-gaap--ClassOfWarrantOrRightO"/>
            <w:bookmarkEnd w:id="581"/>
          </w:p>
        </w:tc>
        <w:tc>
          <w:tcPr>
            <w:tcW w:w="15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bookmarkStart w:id="582" w:name="xdx_987_eus-gaap--ClassOfWarrantOrRightO"/>
            <w:bookmarkEnd w:id="582"/>
          </w:p>
        </w:tc>
        <w:tc>
          <w:tcPr>
            <w:tcW w:w="189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83" w:name="xdx_904_eus-gaap--WarrantExercisePriceDe"/>
            <w:bookmarkEnd w:id="583"/>
            <w:r>
              <w:rPr>
                <w:rFonts w:ascii="Times New Roman;Times;Serif" w:hAnsi="Times New Roman;Times;Serif"/>
              </w:rPr>
              <w:t>8.20 to $</w:t>
            </w:r>
            <w:bookmarkStart w:id="584" w:name="xdx_90B_eus-gaap--WarrantExercisePriceIn"/>
            <w:bookmarkEnd w:id="584"/>
            <w:r>
              <w:rPr>
                <w:rFonts w:ascii="Times New Roman;Times;Serif" w:hAnsi="Times New Roman;Times;Serif"/>
              </w:rPr>
              <w:t>9.60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bookmarkStart w:id="585" w:name="xdx_983_eus-gaap--ClassOfWarrantOrRightO"/>
            <w:bookmarkEnd w:id="585"/>
          </w:p>
        </w:tc>
        <w:tc>
          <w:tcPr>
            <w:tcW w:w="151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632,857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bookmarkStart w:id="586" w:name="xdx_983_eus-gaap--ClassOfWarrantOrRightO"/>
            <w:bookmarkEnd w:id="586"/>
          </w:p>
        </w:tc>
        <w:tc>
          <w:tcPr>
            <w:tcW w:w="189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632,857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87" w:name="xdx_908_eus-gaap--WarrantExercisePriceDe"/>
            <w:bookmarkEnd w:id="587"/>
            <w:r>
              <w:rPr>
                <w:rFonts w:ascii="Times New Roman;Times;Serif" w:hAnsi="Times New Roman;Times;Serif"/>
              </w:rPr>
              <w:t>10.80 to $</w:t>
            </w:r>
            <w:bookmarkStart w:id="588" w:name="xdx_905_eus-gaap--WarrantExercisePriceIn"/>
            <w:bookmarkEnd w:id="588"/>
            <w:r>
              <w:rPr>
                <w:rFonts w:ascii="Times New Roman;Times;Serif" w:hAnsi="Times New Roman;Times;Serif"/>
              </w:rPr>
              <w:t>11.80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bookmarkStart w:id="589" w:name="xdx_98B_eus-gaap--ClassOfWarrantOrRightO"/>
            <w:bookmarkEnd w:id="589"/>
          </w:p>
        </w:tc>
        <w:tc>
          <w:tcPr>
            <w:tcW w:w="15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1,002,075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bookmarkStart w:id="590" w:name="xdx_986_eus-gaap--ClassOfWarrantOrRightO"/>
            <w:bookmarkEnd w:id="590"/>
          </w:p>
        </w:tc>
        <w:tc>
          <w:tcPr>
            <w:tcW w:w="189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902,075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91" w:name="xdx_907_eus-gaap--WarrantExercisePriceDe"/>
            <w:bookmarkEnd w:id="591"/>
            <w:r>
              <w:rPr>
                <w:rFonts w:ascii="Times New Roman;Times;Serif" w:hAnsi="Times New Roman;Times;Serif"/>
              </w:rPr>
              <w:t>17.38 to $</w:t>
            </w:r>
            <w:bookmarkStart w:id="592" w:name="xdx_905_eus-gaap--WarrantExercisePriceDe"/>
            <w:bookmarkEnd w:id="592"/>
            <w:r>
              <w:rPr>
                <w:rFonts w:ascii="Times New Roman;Times;Serif" w:hAnsi="Times New Roman;Times;Serif"/>
              </w:rPr>
              <w:t>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bottom w:val="single" w:sz="8" w:space="0" w:color="000000"/>
            </w:tcBorders>
            <w:shd w:fill="FFFFFF" w:val="clear"/>
            <w:vAlign w:val="center"/>
          </w:tcPr>
          <w:p>
            <w:pPr>
              <w:pStyle w:val="TableContents"/>
              <w:bidi w:val="0"/>
              <w:spacing w:before="0" w:after="283"/>
              <w:jc w:val="left"/>
              <w:rPr/>
            </w:pPr>
            <w:r>
              <w:rPr/>
              <w:t> </w:t>
            </w:r>
            <w:bookmarkStart w:id="593" w:name="xdx_98B_eus-gaap--ClassOfWarrantOrRightO"/>
            <w:bookmarkEnd w:id="593"/>
          </w:p>
        </w:tc>
        <w:tc>
          <w:tcPr>
            <w:tcW w:w="151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FFFFFF" w:val="clear"/>
            <w:vAlign w:val="center"/>
          </w:tcPr>
          <w:p>
            <w:pPr>
              <w:pStyle w:val="TableContents"/>
              <w:bidi w:val="0"/>
              <w:spacing w:before="0" w:after="283"/>
              <w:jc w:val="left"/>
              <w:rPr/>
            </w:pPr>
            <w:r>
              <w:rPr/>
              <w:t> </w:t>
            </w:r>
            <w:bookmarkStart w:id="594" w:name="xdx_980_eus-gaap--ClassOfWarrantOrRightO"/>
            <w:bookmarkEnd w:id="594"/>
          </w:p>
        </w:tc>
        <w:tc>
          <w:tcPr>
            <w:tcW w:w="189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35,636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8" w:space="0" w:color="000000"/>
            </w:tcBorders>
            <w:shd w:fill="CCEEFF" w:val="clear"/>
            <w:vAlign w:val="center"/>
          </w:tcPr>
          <w:p>
            <w:pPr>
              <w:pStyle w:val="TableContents"/>
              <w:bidi w:val="0"/>
              <w:spacing w:before="0" w:after="283"/>
              <w:jc w:val="left"/>
              <w:rPr/>
            </w:pPr>
            <w:r>
              <w:rPr/>
              <w:t> </w:t>
            </w:r>
            <w:bookmarkStart w:id="595" w:name="xdx_984_eus-gaap--ClassOfWarrantOrRightO"/>
            <w:bookmarkEnd w:id="595"/>
          </w:p>
        </w:tc>
        <w:tc>
          <w:tcPr>
            <w:tcW w:w="151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2,608,568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left"/>
              <w:rPr/>
            </w:pPr>
            <w:r>
              <w:rPr/>
              <w:t> </w:t>
            </w:r>
            <w:bookmarkStart w:id="596" w:name="xdx_982_eus-gaap--ClassOfWarrantOrRightO"/>
            <w:bookmarkEnd w:id="596"/>
          </w:p>
        </w:tc>
        <w:tc>
          <w:tcPr>
            <w:tcW w:w="189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2,508,568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97" w:name="xdx_8AE_zbRKSOOMNsu5"/>
      <w:bookmarkEnd w:id="59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the Company’s stock and were classified as liabilities. At their respective dates of issuance, the Company recognized a liability for each of the liability-classified warrants in the amount of its estimated fair value using the Black-Scholes option-pricing model. The Company subsequently adjusts the carrying amount of the liability for each warrant to its estimated fair value as of the end of each reporting period (or through the warrants’ respective dates of exercise or modification, if earlier).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2025, the Company entered into amendments to certain liability-classified warrants to purchase an aggregate of </w:t>
      </w:r>
      <w:bookmarkStart w:id="598" w:name="xdx_909_eus-gaap--ClassOfWarrantOrRightO"/>
      <w:bookmarkEnd w:id="598"/>
      <w:r>
        <w:rPr>
          <w:rFonts w:ascii="Times New Roman;Times;Serif" w:hAnsi="Times New Roman;Times;Serif"/>
          <w:b w:val="false"/>
          <w:i w:val="false"/>
          <w:caps w:val="false"/>
          <w:smallCaps w:val="false"/>
          <w:sz w:val="20"/>
        </w:rPr>
        <w:t>1,337,549 shares of its Class A Common Stock. The amendments revised certain terms of the warrants, including terms that could potentially require cash settlement, such that under the guidance in ASC 480 and ASC 815, the warrants are equity-classified financial instruments. The amendments did not affect any terms of the warrants that are inputs into the estimation of the fair value of warrants under the Black-Scholes option pricing model, which the Company uses to estimate the fair value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the Company remeasured the related liabilities to their estimated fair value of $</w:t>
      </w:r>
      <w:bookmarkStart w:id="599" w:name="xdx_90A_eus-gaap--FairValueAdjustmentOfW"/>
      <w:bookmarkEnd w:id="599"/>
      <w:r>
        <w:rPr>
          <w:rFonts w:ascii="Times New Roman;Times;Serif" w:hAnsi="Times New Roman;Times;Serif"/>
          <w:b w:val="false"/>
          <w:i w:val="false"/>
          <w:caps w:val="false"/>
          <w:smallCaps w:val="false"/>
          <w:sz w:val="20"/>
        </w:rPr>
        <w:t xml:space="preserve">6,912 as of the date of the amendments and reclassified this amount from “Liability-classified warrants” to “Additional paid-in capital” in the condensed consolidated balance sheet. As consideration for these amendments, the Company issued the warrant holder an additional warrant to purchase </w:t>
      </w:r>
      <w:bookmarkStart w:id="600" w:name="xdx_900_eus-gaap--ClassOfWarrantOrRightN"/>
      <w:bookmarkEnd w:id="600"/>
      <w:r>
        <w:rPr>
          <w:rFonts w:ascii="Times New Roman;Times;Serif" w:hAnsi="Times New Roman;Times;Serif"/>
          <w:b w:val="false"/>
          <w:i w:val="false"/>
          <w:caps w:val="false"/>
          <w:smallCaps w:val="false"/>
          <w:sz w:val="20"/>
        </w:rPr>
        <w:t>100,000 shares of Class A Common Stock at a price of $</w:t>
      </w:r>
      <w:bookmarkStart w:id="601" w:name="xdx_908_eus-gaap--SharesIssuedPricePerSh"/>
      <w:bookmarkEnd w:id="601"/>
      <w:r>
        <w:rPr>
          <w:rFonts w:ascii="Times New Roman;Times;Serif" w:hAnsi="Times New Roman;Times;Serif"/>
          <w:b w:val="false"/>
          <w:i w:val="false"/>
          <w:caps w:val="false"/>
          <w:smallCaps w:val="false"/>
          <w:sz w:val="20"/>
        </w:rPr>
        <w:t>10.80 per share. The Company recognized the $</w:t>
      </w:r>
      <w:bookmarkStart w:id="602" w:name="xdx_90B_ecustom--NoncashExpenseForWarran"/>
      <w:bookmarkEnd w:id="602"/>
      <w:r>
        <w:rPr>
          <w:rFonts w:ascii="Times New Roman;Times;Serif" w:hAnsi="Times New Roman;Times;Serif"/>
          <w:b w:val="false"/>
          <w:i w:val="false"/>
          <w:caps w:val="false"/>
          <w:smallCaps w:val="false"/>
          <w:sz w:val="20"/>
        </w:rPr>
        <w:t>514 fair value of the additional warrant as an expense, included in “Other non-operating losses, net” in the condensed consolidated statements of operations and comprehensive loss for the six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changes in the fair value of liability-classified warrants outstanding during the periods, for the six months ended March 31, 2026 and 2025, the Company recognized net non-cash losses of $</w:t>
      </w:r>
      <w:bookmarkStart w:id="603" w:name="xdx_903_eus-gaap--FairValueAdjustmentOfW"/>
      <w:bookmarkEnd w:id="603"/>
      <w:r>
        <w:rPr>
          <w:rFonts w:ascii="Times New Roman;Times;Serif" w:hAnsi="Times New Roman;Times;Serif"/>
          <w:b w:val="false"/>
          <w:i w:val="false"/>
          <w:caps w:val="false"/>
          <w:smallCaps w:val="false"/>
          <w:sz w:val="20"/>
        </w:rPr>
        <w:t>428 and net non-cash gains of $</w:t>
      </w:r>
      <w:bookmarkStart w:id="604" w:name="xdx_904_eus-gaap--FairValueAdjustmentOfW"/>
      <w:bookmarkEnd w:id="604"/>
      <w:r>
        <w:rPr>
          <w:rFonts w:ascii="Times New Roman;Times;Serif" w:hAnsi="Times New Roman;Times;Serif"/>
          <w:b w:val="false"/>
          <w:i w:val="false"/>
          <w:caps w:val="false"/>
          <w:smallCaps w:val="false"/>
          <w:sz w:val="20"/>
        </w:rPr>
        <w:t>625, respectively, which are included in “Change in fair value of warrants” in the condensed consolidated statements of operations and comprehensive loss. As of March 31, 2026 and September 30, 2025, the related liabilities of $</w:t>
      </w:r>
      <w:bookmarkStart w:id="605" w:name="xdx_904_ecustom--WarrantLiabilityNoncurr"/>
      <w:bookmarkEnd w:id="605"/>
      <w:r>
        <w:rPr>
          <w:rFonts w:ascii="Times New Roman;Times;Serif" w:hAnsi="Times New Roman;Times;Serif"/>
          <w:b w:val="false"/>
          <w:i w:val="false"/>
          <w:caps w:val="false"/>
          <w:smallCaps w:val="false"/>
          <w:sz w:val="20"/>
        </w:rPr>
        <w:t>375 and $</w:t>
      </w:r>
      <w:bookmarkStart w:id="606" w:name="xdx_90C_ecustom--WarrantLiabilityNoncurr"/>
      <w:bookmarkEnd w:id="606"/>
      <w:r>
        <w:rPr>
          <w:rFonts w:ascii="Times New Roman;Times;Serif" w:hAnsi="Times New Roman;Times;Serif"/>
          <w:b w:val="false"/>
          <w:i w:val="false"/>
          <w:caps w:val="false"/>
          <w:smallCaps w:val="false"/>
          <w:sz w:val="20"/>
        </w:rPr>
        <w:t>6,859, respectively, are included in “Liability-classified warrants” in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7" w:name="xdx_806_eus-gaap--DisclosureOfCompensati"/>
      <w:bookmarkEnd w:id="607"/>
      <w:r>
        <w:rPr>
          <w:rFonts w:ascii="Times New Roman;Times;Serif" w:hAnsi="Times New Roman;Times;Serif"/>
          <w:b/>
          <w:i w:val="false"/>
          <w:caps w:val="false"/>
          <w:smallCaps w:val="false"/>
          <w:sz w:val="20"/>
        </w:rPr>
        <w:t xml:space="preserve">Note 13 — </w:t>
      </w:r>
      <w:bookmarkStart w:id="608" w:name="xdx_824_zfGC15c8SUF7"/>
      <w:bookmarkEnd w:id="608"/>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2023 Equity Incentive Plan provides for the issuance of stock options, restricted stock awards, RSUs and other stock-based compensation awards to employees, directors, officers, consultants or others who provide services to the Company. The specific terms of such awards are to be established by the board of directors or a committee thereof. As of March 31, 2026, </w:t>
      </w:r>
      <w:bookmarkStart w:id="609" w:name="xdx_90A_eus-gaap--CommonStockCapitalShar"/>
      <w:bookmarkEnd w:id="609"/>
      <w:r>
        <w:rPr>
          <w:rFonts w:ascii="Times New Roman;Times;Serif" w:hAnsi="Times New Roman;Times;Serif"/>
          <w:b w:val="false"/>
          <w:i w:val="false"/>
          <w:caps w:val="false"/>
          <w:smallCaps w:val="false"/>
          <w:sz w:val="20"/>
        </w:rPr>
        <w:t>94,209 shares of the Company’s Class A Common Stock are available for the grant of awards under the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March 31, 2025, the Company and a former employee entered into certain agreements wherein the Company agreed to accelerate the vesting of </w:t>
      </w:r>
      <w:bookmarkStart w:id="610" w:name="xdx_902_eus-gaap--SharebasedCompensation"/>
      <w:bookmarkEnd w:id="610"/>
      <w:r>
        <w:rPr>
          <w:rFonts w:ascii="Times New Roman;Times;Serif" w:hAnsi="Times New Roman;Times;Serif"/>
          <w:b w:val="false"/>
          <w:i w:val="false"/>
          <w:caps w:val="false"/>
          <w:smallCaps w:val="false"/>
          <w:sz w:val="20"/>
        </w:rPr>
        <w:t xml:space="preserve">99,999 common stock warrants and grant the holder an additional </w:t>
      </w:r>
      <w:bookmarkStart w:id="611" w:name="xdx_907_eus-gaap--ShareBasedCompensation"/>
      <w:bookmarkEnd w:id="611"/>
      <w:r>
        <w:rPr>
          <w:rFonts w:ascii="Times New Roman;Times;Serif" w:hAnsi="Times New Roman;Times;Serif"/>
          <w:b w:val="false"/>
          <w:i w:val="false"/>
          <w:caps w:val="false"/>
          <w:smallCaps w:val="false"/>
          <w:sz w:val="20"/>
        </w:rPr>
        <w:t>25,000 warrants to purchase shares of its Class A Common Stock. The warrants are immediately exercisable and have an exercise price of $</w:t>
      </w:r>
      <w:bookmarkStart w:id="612" w:name="xdx_90D_eus-gaap--ClassOfWarrantOrRightE"/>
      <w:bookmarkEnd w:id="612"/>
      <w:r>
        <w:rPr>
          <w:rFonts w:ascii="Times New Roman;Times;Serif" w:hAnsi="Times New Roman;Times;Serif"/>
          <w:b w:val="false"/>
          <w:i w:val="false"/>
          <w:caps w:val="false"/>
          <w:smallCaps w:val="false"/>
          <w:sz w:val="20"/>
        </w:rPr>
        <w:t xml:space="preserve">0.10 per share. Subsequently, the Company agreed to cancel </w:t>
      </w:r>
      <w:bookmarkStart w:id="613" w:name="xdx_905_eus-gaap--StockIssuedDuringPerio"/>
      <w:bookmarkEnd w:id="613"/>
      <w:r>
        <w:rPr>
          <w:rFonts w:ascii="Times New Roman;Times;Serif" w:hAnsi="Times New Roman;Times;Serif"/>
          <w:b w:val="false"/>
          <w:i w:val="false"/>
          <w:caps w:val="false"/>
          <w:smallCaps w:val="false"/>
          <w:sz w:val="20"/>
        </w:rPr>
        <w:t>45,000 of these common stock warrants and replace them with the same number of fully vested RSUs. As a result of the acceleration of vesting and the grant of the warrants, during the six months ended March 31, 2025 the Company recognized additional stock-based compensation expense of $</w:t>
      </w:r>
      <w:bookmarkStart w:id="614" w:name="xdx_90A_eus-gaap--EmployeeBenefitsAndSha"/>
      <w:bookmarkEnd w:id="614"/>
      <w:r>
        <w:rPr>
          <w:rFonts w:ascii="Times New Roman;Times;Serif" w:hAnsi="Times New Roman;Times;Serif"/>
          <w:b w:val="false"/>
          <w:i w:val="false"/>
          <w:caps w:val="false"/>
          <w:smallCaps w:val="false"/>
          <w:sz w:val="20"/>
        </w:rPr>
        <w:t>6,917.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15" w:name="xdx_891_eus-gaap--ScheduleOfShareBasedCo"/>
      <w:bookmarkEnd w:id="615"/>
      <w:r>
        <w:rPr>
          <w:rFonts w:ascii="Times New Roman;Times;Serif" w:hAnsi="Times New Roman;Times;Serif"/>
          <w:b w:val="false"/>
          <w:i w:val="false"/>
          <w:caps w:val="false"/>
          <w:smallCaps w:val="false"/>
          <w:sz w:val="20"/>
        </w:rPr>
        <w:t>A summary of activity in the Company’s RSUs for the six months ended March 31, 2026 is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16" w:name="xdx_8B0_zZIlZN6XAyFk"/>
      <w:bookmarkEnd w:id="616"/>
      <w:r>
        <w:rPr>
          <w:rFonts w:ascii="Times New Roman;Times;Serif" w:hAnsi="Times New Roman;Times;Serif"/>
          <w:b w:val="false"/>
          <w:i w:val="false"/>
          <w:caps w:val="false"/>
          <w:smallCaps w:val="false"/>
          <w:sz w:val="20"/>
        </w:rPr>
        <w:t>Schedule of Activity in the Company's RSUs </w:t>
      </w:r>
    </w:p>
    <w:tbl>
      <w:tblPr>
        <w:tblW w:w="6260" w:type="dxa"/>
        <w:jc w:val="left"/>
        <w:tblInd w:w="0" w:type="dxa"/>
        <w:tblLayout w:type="fixed"/>
        <w:tblCellMar>
          <w:top w:w="0" w:type="dxa"/>
          <w:left w:w="0" w:type="dxa"/>
          <w:bottom w:w="0" w:type="dxa"/>
          <w:right w:w="0" w:type="dxa"/>
        </w:tblCellMar>
      </w:tblPr>
      <w:tblGrid>
        <w:gridCol w:w="3380"/>
        <w:gridCol w:w="60"/>
        <w:gridCol w:w="60"/>
        <w:gridCol w:w="875"/>
        <w:gridCol w:w="95"/>
        <w:gridCol w:w="60"/>
        <w:gridCol w:w="331"/>
        <w:gridCol w:w="1324"/>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Unit</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17" w:name="xdx_98F_eus-gaap--ShareBasedCompensation"/>
            <w:bookmarkEnd w:id="617"/>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954,562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8" w:name="xdx_98D_eus-gaap--ShareBasedCompensation"/>
            <w:bookmarkEnd w:id="618"/>
          </w:p>
        </w:tc>
        <w:tc>
          <w:tcPr>
            <w:tcW w:w="1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19" w:name="xdx_98D_eus-gaap--ShareBasedCompensation"/>
            <w:bookmarkEnd w:id="619"/>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112,326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bookmarkStart w:id="620" w:name="xdx_980_eus-gaap--ShareBasedCompensation"/>
            <w:bookmarkEnd w:id="620"/>
          </w:p>
        </w:tc>
        <w:tc>
          <w:tcPr>
            <w:tcW w:w="13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21" w:name="xdx_980_eus-gaap--ShareBasedCompensation"/>
            <w:bookmarkEnd w:id="621"/>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(20,741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bookmarkStart w:id="622" w:name="xdx_987_eus-gaap--ShareBasedCompensation"/>
            <w:bookmarkEnd w:id="622"/>
          </w:p>
        </w:tc>
        <w:tc>
          <w:tcPr>
            <w:tcW w:w="1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12.69</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23" w:name="xdx_985_eus-gaap--ShareBasedCompensation"/>
            <w:bookmarkEnd w:id="623"/>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(486,415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bookmarkStart w:id="624" w:name="xdx_983_eus-gaap--ShareBasedCompensation"/>
            <w:bookmarkEnd w:id="624"/>
          </w:p>
        </w:tc>
        <w:tc>
          <w:tcPr>
            <w:tcW w:w="13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36.16</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25" w:name="xdx_986_eus-gaap--ShareBasedCompensation"/>
            <w:bookmarkEnd w:id="625"/>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559,732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bookmarkStart w:id="626" w:name="xdx_980_eus-gaap--ShareBasedCompensation"/>
            <w:bookmarkEnd w:id="626"/>
          </w:p>
        </w:tc>
        <w:tc>
          <w:tcPr>
            <w:tcW w:w="1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27" w:name="xdx_8A4_zTA4F1Dy3UO3"/>
      <w:bookmarkEnd w:id="62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RSUs was $</w:t>
      </w:r>
      <w:bookmarkStart w:id="628" w:name="xdx_901_eus-gaap--EmployeeServiceShareBa"/>
      <w:bookmarkEnd w:id="628"/>
      <w:r>
        <w:rPr>
          <w:rFonts w:ascii="Times New Roman;Times;Serif" w:hAnsi="Times New Roman;Times;Serif"/>
          <w:b w:val="false"/>
          <w:i w:val="false"/>
          <w:caps w:val="false"/>
          <w:smallCaps w:val="false"/>
          <w:sz w:val="20"/>
        </w:rPr>
        <w:t xml:space="preserve">7,796 as of March 31, 2026 and is expected to be recognized over a weighted-average period of </w:t>
      </w:r>
      <w:bookmarkStart w:id="629" w:name="xdx_90B_eus-gaap--EmployeeServiceShareBa"/>
      <w:bookmarkEnd w:id="629"/>
      <w:r>
        <w:rPr>
          <w:rFonts w:ascii="Times New Roman;Times;Serif" w:hAnsi="Times New Roman;Times;Serif"/>
          <w:b w:val="false"/>
          <w:i w:val="false"/>
          <w:caps w:val="false"/>
          <w:smallCaps w:val="false"/>
          <w:sz w:val="20"/>
        </w:rPr>
        <w:t>1.6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30" w:name="xdx_89C_eus-gaap--NonvestedRestrictedSto"/>
      <w:bookmarkEnd w:id="630"/>
      <w:r>
        <w:rPr>
          <w:rFonts w:ascii="Times New Roman;Times;Serif" w:hAnsi="Times New Roman;Times;Serif"/>
          <w:b w:val="false"/>
          <w:i w:val="false"/>
          <w:caps w:val="false"/>
          <w:smallCaps w:val="false"/>
          <w:sz w:val="20"/>
        </w:rPr>
        <w:t>A summary of activity in the Company’s RSAs for the six months ended March 31, 2026 is as follows: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31" w:name="xdx_8BB_zv8utcmP6Toa"/>
      <w:bookmarkEnd w:id="631"/>
      <w:r>
        <w:rPr>
          <w:rFonts w:ascii="Times New Roman;Times;Serif" w:hAnsi="Times New Roman;Times;Serif"/>
          <w:b w:val="false"/>
          <w:i w:val="false"/>
          <w:caps w:val="false"/>
          <w:smallCaps w:val="false"/>
          <w:sz w:val="20"/>
        </w:rPr>
        <w:t>Schedule of Activity in the Company's RSAs  </w:t>
      </w:r>
    </w:p>
    <w:tbl>
      <w:tblPr>
        <w:tblW w:w="5973" w:type="dxa"/>
        <w:jc w:val="left"/>
        <w:tblInd w:w="0" w:type="dxa"/>
        <w:tblLayout w:type="fixed"/>
        <w:tblCellMar>
          <w:top w:w="0" w:type="dxa"/>
          <w:left w:w="0" w:type="dxa"/>
          <w:bottom w:w="0" w:type="dxa"/>
          <w:right w:w="0" w:type="dxa"/>
        </w:tblCellMar>
      </w:tblPr>
      <w:tblGrid>
        <w:gridCol w:w="3380"/>
        <w:gridCol w:w="60"/>
        <w:gridCol w:w="78"/>
        <w:gridCol w:w="1051"/>
        <w:gridCol w:w="95"/>
        <w:gridCol w:w="60"/>
        <w:gridCol w:w="283"/>
        <w:gridCol w:w="891"/>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Number of</w:t>
            </w:r>
          </w:p>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jc w:val="center"/>
              <w:rPr>
                <w:rFonts w:ascii="Times New Roman;Times;Serif" w:hAnsi="Times New Roman;Times;Serif"/>
                <w:b/>
              </w:rPr>
            </w:pPr>
            <w:r>
              <w:rPr>
                <w:rFonts w:ascii="Times New Roman;Times;Serif" w:hAnsi="Times New Roman;Times;Serif"/>
                <w:b/>
              </w:rPr>
              <w:t>Grant Date</w:t>
            </w:r>
          </w:p>
          <w:p>
            <w:pPr>
              <w:pStyle w:val="TableContents"/>
              <w:bidi w:val="0"/>
              <w:jc w:val="center"/>
              <w:rPr>
                <w:rFonts w:ascii="Times New Roman;Times;Serif" w:hAnsi="Times New Roman;Times;Serif"/>
                <w:b/>
              </w:rPr>
            </w:pPr>
            <w:r>
              <w:rPr>
                <w:rFonts w:ascii="Times New Roman;Times;Serif" w:hAnsi="Times New Roman;Times;Serif"/>
                <w:b/>
              </w:rPr>
              <w:t>Fair Value</w:t>
            </w:r>
          </w:p>
          <w:p>
            <w:pPr>
              <w:pStyle w:val="TableContents"/>
              <w:bidi w:val="0"/>
              <w:spacing w:before="0" w:after="283"/>
              <w:jc w:val="center"/>
              <w:rPr>
                <w:rFonts w:ascii="Times New Roman;Times;Serif" w:hAnsi="Times New Roman;Times;Serif"/>
                <w:b/>
              </w:rPr>
            </w:pPr>
            <w:r>
              <w:rPr>
                <w:rFonts w:ascii="Times New Roman;Times;Serif" w:hAnsi="Times New Roman;Times;Serif"/>
                <w:b/>
              </w:rPr>
              <w:t>per Share</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632" w:name="xdx_986_eus-gaap--ShareBasedCompensation"/>
            <w:bookmarkEnd w:id="632"/>
          </w:p>
        </w:tc>
        <w:tc>
          <w:tcPr>
            <w:tcW w:w="10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33" w:name="xdx_981_eus-gaap--ShareBasedCompensation"/>
            <w:bookmarkEnd w:id="633"/>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34" w:name="xdx_98D_eus-gaap--ShareBasedCompensation"/>
            <w:bookmarkEnd w:id="634"/>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635" w:name="xdx_98F_eus-gaap--ShareBasedCompensation"/>
            <w:bookmarkEnd w:id="635"/>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March 31, 2026</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36" w:name="xdx_988_eus-gaap--ShareBasedCompensation"/>
            <w:bookmarkEnd w:id="636"/>
          </w:p>
        </w:tc>
        <w:tc>
          <w:tcPr>
            <w:tcW w:w="10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bookmarkStart w:id="637" w:name="xdx_987_eus-gaap--ShareBasedCompensation"/>
            <w:bookmarkEnd w:id="637"/>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38" w:name="xdx_8A0_z5SiLpL7y0Rh"/>
      <w:bookmarkEnd w:id="638"/>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RSAs was $</w:t>
      </w:r>
      <w:bookmarkStart w:id="639" w:name="xdx_902_eus-gaap--EmployeeServiceShareBa"/>
      <w:bookmarkEnd w:id="639"/>
      <w:r>
        <w:rPr>
          <w:rFonts w:ascii="Times New Roman;Times;Serif" w:hAnsi="Times New Roman;Times;Serif"/>
          <w:b w:val="false"/>
          <w:i w:val="false"/>
          <w:caps w:val="false"/>
          <w:smallCaps w:val="false"/>
          <w:sz w:val="20"/>
        </w:rPr>
        <w:t xml:space="preserve">1,912 as of March 31, 2026 and is expected to be recognized over a weighted-average period of </w:t>
      </w:r>
      <w:bookmarkStart w:id="640" w:name="xdx_907_eus-gaap--EmployeeServiceShareBa"/>
      <w:bookmarkEnd w:id="640"/>
      <w:r>
        <w:rPr>
          <w:rFonts w:ascii="Times New Roman;Times;Serif" w:hAnsi="Times New Roman;Times;Serif"/>
          <w:b w:val="false"/>
          <w:i w:val="false"/>
          <w:caps w:val="false"/>
          <w:smallCaps w:val="false"/>
          <w:sz w:val="20"/>
        </w:rPr>
        <w:t>1.7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41" w:name="xdx_89F_eus-gaap--ScheduleOfShareBasedCo"/>
      <w:bookmarkEnd w:id="641"/>
      <w:r>
        <w:rPr>
          <w:rFonts w:ascii="Times New Roman;Times;Serif" w:hAnsi="Times New Roman;Times;Serif"/>
          <w:b w:val="false"/>
          <w:i w:val="false"/>
          <w:caps w:val="false"/>
          <w:smallCaps w:val="false"/>
          <w:sz w:val="20"/>
        </w:rPr>
        <w:t>Stock option activity for the six months ended March 31, 2026 is as follows:</w:t>
      </w:r>
    </w:p>
    <w:p>
      <w:pPr>
        <w:pStyle w:val="TextBody"/>
        <w:bidi w:val="0"/>
        <w:spacing w:before="0" w:after="0"/>
        <w:ind w:left="0" w:right="0" w:firstLine="360"/>
        <w:jc w:val="both"/>
        <w:rPr>
          <w:caps w:val="false"/>
          <w:smallCaps w:val="false"/>
        </w:rPr>
      </w:pPr>
      <w:r>
        <w:rPr>
          <w:caps w:val="false"/>
          <w:smallCaps w:val="false"/>
        </w:rPr>
        <w:t> </w:t>
      </w:r>
      <w:bookmarkStart w:id="642" w:name="xdx_8BB_zMiwrR7NdYJi"/>
      <w:bookmarkEnd w:id="642"/>
      <w:r>
        <w:rPr>
          <w:rFonts w:ascii="Times New Roman;Times;Serif" w:hAnsi="Times New Roman;Times;Serif"/>
          <w:b w:val="false"/>
          <w:i w:val="false"/>
          <w:caps w:val="false"/>
          <w:smallCaps w:val="false"/>
          <w:sz w:val="20"/>
        </w:rPr>
        <w:t>Schedule of Stock Option Activity </w:t>
      </w:r>
    </w:p>
    <w:tbl>
      <w:tblPr>
        <w:tblW w:w="8018" w:type="dxa"/>
        <w:jc w:val="left"/>
        <w:tblInd w:w="0" w:type="dxa"/>
        <w:tblLayout w:type="fixed"/>
        <w:tblCellMar>
          <w:top w:w="0" w:type="dxa"/>
          <w:left w:w="0" w:type="dxa"/>
          <w:bottom w:w="0" w:type="dxa"/>
          <w:right w:w="0" w:type="dxa"/>
        </w:tblCellMar>
      </w:tblPr>
      <w:tblGrid>
        <w:gridCol w:w="3380"/>
        <w:gridCol w:w="60"/>
        <w:gridCol w:w="64"/>
        <w:gridCol w:w="855"/>
        <w:gridCol w:w="95"/>
        <w:gridCol w:w="60"/>
        <w:gridCol w:w="331"/>
        <w:gridCol w:w="1324"/>
        <w:gridCol w:w="60"/>
        <w:gridCol w:w="60"/>
        <w:gridCol w:w="260"/>
        <w:gridCol w:w="1394"/>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(years)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643" w:name="xdx_98A_eus-gaap--ShareBasedCompensation"/>
            <w:bookmarkEnd w:id="643"/>
          </w:p>
        </w:tc>
        <w:tc>
          <w:tcPr>
            <w:tcW w:w="8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44" w:name="xdx_982_eus-gaap--ShareBasedCompensation"/>
            <w:bookmarkEnd w:id="644"/>
          </w:p>
        </w:tc>
        <w:tc>
          <w:tcPr>
            <w:tcW w:w="1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645" w:name="xdx_980_ecustom--ShareBasedCompensationA"/>
            <w:bookmarkEnd w:id="645"/>
          </w:p>
        </w:tc>
        <w:tc>
          <w:tcPr>
            <w:tcW w:w="8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bookmarkStart w:id="646" w:name="xdx_984_ecustom--ShareBasedCompensationA"/>
            <w:bookmarkEnd w:id="646"/>
          </w:p>
        </w:tc>
        <w:tc>
          <w:tcPr>
            <w:tcW w:w="13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647" w:name="xdx_986_eus-gaap--ShareBasedCompensation"/>
            <w:bookmarkEnd w:id="647"/>
          </w:p>
        </w:tc>
        <w:tc>
          <w:tcPr>
            <w:tcW w:w="8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bookmarkStart w:id="648" w:name="xdx_981_eus-gaap--ShareBasedCompensation"/>
            <w:bookmarkEnd w:id="648"/>
          </w:p>
        </w:tc>
        <w:tc>
          <w:tcPr>
            <w:tcW w:w="1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Expired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49" w:name="xdx_98C_ecustom--ShareBasedCompensationA"/>
            <w:bookmarkEnd w:id="649"/>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bookmarkStart w:id="650" w:name="xdx_98A_eus-gaap--ShareBasedCompensation"/>
            <w:bookmarkEnd w:id="650"/>
          </w:p>
        </w:tc>
        <w:tc>
          <w:tcPr>
            <w:tcW w:w="13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March 31, 2026</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51" w:name="xdx_982_eus-gaap--ShareBasedCompensation"/>
            <w:bookmarkEnd w:id="651"/>
          </w:p>
        </w:tc>
        <w:tc>
          <w:tcPr>
            <w:tcW w:w="8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bookmarkStart w:id="652" w:name="xdx_988_eus-gaap--ShareBasedCompensation"/>
            <w:bookmarkEnd w:id="652"/>
          </w:p>
        </w:tc>
        <w:tc>
          <w:tcPr>
            <w:tcW w:w="1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rFonts w:ascii="Times New Roman;Times;Serif" w:hAnsi="Times New Roman;Times;Serif"/>
              </w:rPr>
            </w:pPr>
            <w:bookmarkStart w:id="653" w:name="xdx_903_eus-gaap--SharebasedCompensation"/>
            <w:bookmarkEnd w:id="653"/>
            <w:r>
              <w:rPr>
                <w:rFonts w:ascii="Times New Roman;Times;Serif" w:hAnsi="Times New Roman;Times;Serif"/>
              </w:rPr>
              <w:t>5.4</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at March 31, 2026</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54" w:name="xdx_983_eus-gaap--ShareBasedCompensation"/>
            <w:bookmarkEnd w:id="654"/>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bookmarkStart w:id="655" w:name="xdx_98D_eus-gaap--ShareBasedCompensation"/>
            <w:bookmarkEnd w:id="655"/>
          </w:p>
        </w:tc>
        <w:tc>
          <w:tcPr>
            <w:tcW w:w="13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rFonts w:ascii="Times New Roman;Times;Serif" w:hAnsi="Times New Roman;Times;Serif"/>
              </w:rPr>
            </w:pPr>
            <w:bookmarkStart w:id="656" w:name="xdx_904_eus-gaap--SharebasedCompensation"/>
            <w:bookmarkEnd w:id="656"/>
            <w:r>
              <w:rPr>
                <w:rFonts w:ascii="Times New Roman;Times;Serif" w:hAnsi="Times New Roman;Times;Serif"/>
              </w:rPr>
              <w:t>5.4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57" w:name="xdx_8A2_zVmri3D0zgCd"/>
      <w:bookmarkEnd w:id="657"/>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stock-based compensation expense related to stock options, totaling $</w:t>
      </w:r>
      <w:bookmarkStart w:id="658" w:name="xdx_905_eus-gaap--EmployeeServiceShareBa"/>
      <w:bookmarkEnd w:id="658"/>
      <w:r>
        <w:rPr>
          <w:rFonts w:ascii="Times New Roman;Times;Serif" w:hAnsi="Times New Roman;Times;Serif"/>
          <w:b w:val="false"/>
          <w:i w:val="false"/>
          <w:caps w:val="false"/>
          <w:smallCaps w:val="false"/>
          <w:sz w:val="20"/>
        </w:rPr>
        <w:t xml:space="preserve">237 as of March 31, 2026, is expected to be recognized over a weighted-average period of </w:t>
      </w:r>
      <w:bookmarkStart w:id="659" w:name="xdx_90D_eus-gaap--EmployeeServiceShareBa"/>
      <w:bookmarkEnd w:id="659"/>
      <w:r>
        <w:rPr>
          <w:rFonts w:ascii="Times New Roman;Times;Serif" w:hAnsi="Times New Roman;Times;Serif"/>
          <w:b w:val="false"/>
          <w:i w:val="false"/>
          <w:caps w:val="false"/>
          <w:smallCaps w:val="false"/>
          <w:sz w:val="20"/>
        </w:rPr>
        <w:t>0.6 months. The aggregate intrinsic value of stock options outstanding and stock options exercisable as of March 31, 2026 was $</w:t>
      </w:r>
      <w:bookmarkStart w:id="660" w:name="xdx_907_eus-gaap--ShareBasedCompensation"/>
      <w:bookmarkEnd w:id="660"/>
      <w:r>
        <w:rPr>
          <w:rFonts w:ascii="Times New Roman;Times;Serif" w:hAnsi="Times New Roman;Times;Serif"/>
          <w:b w:val="false"/>
          <w:i w:val="false"/>
          <w:caps w:val="false"/>
          <w:smallCaps w:val="false"/>
          <w:sz w:val="20"/>
        </w:rPr>
        <w:t>53 and $</w:t>
      </w:r>
      <w:bookmarkStart w:id="661" w:name="xdx_90E_eus-gaap--SharebasedCompensation"/>
      <w:bookmarkEnd w:id="661"/>
      <w:r>
        <w:rPr>
          <w:rFonts w:ascii="Times New Roman;Times;Serif" w:hAnsi="Times New Roman;Times;Serif"/>
          <w:b w:val="false"/>
          <w:i w:val="false"/>
          <w:caps w:val="false"/>
          <w:smallCaps w:val="false"/>
          <w:sz w:val="20"/>
        </w:rPr>
        <w:t>53, respectively. The total intrinsic value of options exercised during the six months ended March 31, 2026 and 2025 was $</w:t>
      </w:r>
      <w:bookmarkStart w:id="662" w:name="xdx_908_eus-gaap--ShareBasedCompensation"/>
      <w:bookmarkEnd w:id="662"/>
      <w:r>
        <w:rPr>
          <w:rFonts w:ascii="Times New Roman;Times;Serif" w:hAnsi="Times New Roman;Times;Serif"/>
          <w:b w:val="false"/>
          <w:i w:val="false"/>
          <w:caps w:val="false"/>
          <w:smallCaps w:val="false"/>
          <w:sz w:val="20"/>
        </w:rPr>
        <w:t>165 and $</w:t>
      </w:r>
      <w:bookmarkStart w:id="663" w:name="xdx_90E_eus-gaap--ShareBasedCompensation"/>
      <w:bookmarkEnd w:id="663"/>
      <w:r>
        <w:rPr>
          <w:rFonts w:ascii="Times New Roman;Times;Serif" w:hAnsi="Times New Roman;Times;Serif"/>
          <w:b w:val="false"/>
          <w:i w:val="false"/>
          <w:caps w:val="false"/>
          <w:smallCaps w:val="false"/>
          <w:sz w:val="20"/>
        </w:rPr>
        <w:t>0, respectively. The total fair value of options that vested during the six months ended March 31, 2026 and 2025 was $</w:t>
      </w:r>
      <w:bookmarkStart w:id="664" w:name="xdx_90F_eus-gaap--SharebasedCompensation"/>
      <w:bookmarkEnd w:id="664"/>
      <w:r>
        <w:rPr>
          <w:rFonts w:ascii="Times New Roman;Times;Serif" w:hAnsi="Times New Roman;Times;Serif"/>
          <w:b w:val="false"/>
          <w:i w:val="false"/>
          <w:caps w:val="false"/>
          <w:smallCaps w:val="false"/>
          <w:sz w:val="20"/>
        </w:rPr>
        <w:t>224 and $</w:t>
      </w:r>
      <w:bookmarkStart w:id="665" w:name="xdx_90A_eus-gaap--SharebasedCompensation"/>
      <w:bookmarkEnd w:id="665"/>
      <w:r>
        <w:rPr>
          <w:rFonts w:ascii="Times New Roman;Times;Serif" w:hAnsi="Times New Roman;Times;Serif"/>
          <w:b w:val="false"/>
          <w:i w:val="false"/>
          <w:caps w:val="false"/>
          <w:smallCaps w:val="false"/>
          <w:sz w:val="20"/>
        </w:rPr>
        <w:t>342, respectively. No stock options were granted during the six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66" w:name="xdx_895_eus-gaap--ScheduleOfEmployeeServ"/>
      <w:bookmarkEnd w:id="666"/>
      <w:r>
        <w:rPr>
          <w:rFonts w:ascii="Times New Roman;Times;Serif" w:hAnsi="Times New Roman;Times;Serif"/>
          <w:b w:val="false"/>
          <w:i w:val="false"/>
          <w:caps w:val="false"/>
          <w:smallCaps w:val="false"/>
          <w:sz w:val="20"/>
        </w:rPr>
        <w:t>The condensed consolidated statements of operations and comprehensive loss include stock-based compensation expense as follows:</w:t>
      </w:r>
    </w:p>
    <w:p>
      <w:pPr>
        <w:pStyle w:val="TextBody"/>
        <w:bidi w:val="0"/>
        <w:spacing w:before="0" w:after="0"/>
        <w:ind w:left="0" w:right="0" w:firstLine="360"/>
        <w:jc w:val="both"/>
        <w:rPr>
          <w:caps w:val="false"/>
          <w:smallCaps w:val="false"/>
        </w:rPr>
      </w:pPr>
      <w:r>
        <w:rPr>
          <w:caps w:val="false"/>
          <w:smallCaps w:val="false"/>
        </w:rPr>
        <w:t> </w:t>
      </w:r>
      <w:bookmarkStart w:id="667" w:name="xdx_8B5_zBR4JA8C0Hx2"/>
      <w:bookmarkEnd w:id="667"/>
      <w:r>
        <w:rPr>
          <w:rFonts w:ascii="Times New Roman;Times;Serif" w:hAnsi="Times New Roman;Times;Serif"/>
          <w:b w:val="false"/>
          <w:i w:val="false"/>
          <w:caps w:val="false"/>
          <w:smallCaps w:val="false"/>
          <w:sz w:val="20"/>
        </w:rPr>
        <w:t>Schedule of Consolidated Statements of Operations and Comprehensive Loss </w:t>
      </w:r>
    </w:p>
    <w:tbl>
      <w:tblPr>
        <w:tblW w:w="8080" w:type="dxa"/>
        <w:jc w:val="left"/>
        <w:tblInd w:w="0" w:type="dxa"/>
        <w:tblLayout w:type="fixed"/>
        <w:tblCellMar>
          <w:top w:w="0" w:type="dxa"/>
          <w:left w:w="0" w:type="dxa"/>
          <w:bottom w:w="0" w:type="dxa"/>
          <w:right w:w="0" w:type="dxa"/>
        </w:tblCellMar>
      </w:tblPr>
      <w:tblGrid>
        <w:gridCol w:w="3890"/>
        <w:gridCol w:w="60"/>
        <w:gridCol w:w="195"/>
        <w:gridCol w:w="781"/>
        <w:gridCol w:w="83"/>
        <w:gridCol w:w="83"/>
        <w:gridCol w:w="195"/>
        <w:gridCol w:w="781"/>
        <w:gridCol w:w="60"/>
        <w:gridCol w:w="60"/>
        <w:gridCol w:w="155"/>
        <w:gridCol w:w="621"/>
        <w:gridCol w:w="66"/>
        <w:gridCol w:w="66"/>
        <w:gridCol w:w="155"/>
        <w:gridCol w:w="754"/>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68" w:name="xdx_49C_20260101__20260331_z0KfVmtb49Gd"/>
            <w:bookmarkEnd w:id="668"/>
          </w:p>
        </w:tc>
        <w:tc>
          <w:tcPr>
            <w:tcW w:w="9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bookmarkStart w:id="669" w:name="xdx_494_20250101__20250331_zYiBHfX25Ug3"/>
            <w:bookmarkEnd w:id="669"/>
          </w:p>
        </w:tc>
        <w:tc>
          <w:tcPr>
            <w:tcW w:w="9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0" w:name="xdx_492_20251001__20260331_ztG1GV1OIYWe"/>
            <w:bookmarkEnd w:id="670"/>
          </w:p>
        </w:tc>
        <w:tc>
          <w:tcPr>
            <w:tcW w:w="7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bookmarkStart w:id="671" w:name="xdx_49C_20241001__20250331_zJRS4QCibdal"/>
            <w:bookmarkEnd w:id="671"/>
          </w:p>
        </w:tc>
        <w:tc>
          <w:tcPr>
            <w:tcW w:w="9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8"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7"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Six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6"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gridSpan w:val="2"/>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0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672" w:name="xdx_400_eus-gaap--ShareBasedCompensation"/>
            <w:bookmarkEnd w:id="672"/>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 – product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c>
          <w:tcPr>
            <w:tcW w:w="75" w:type="dxa"/>
            <w:tcBorders/>
            <w:shd w:fill="CCEEFF" w:val="clear"/>
            <w:vAlign w:val="center"/>
          </w:tcPr>
          <w:p>
            <w:pPr>
              <w:pStyle w:val="TableContents"/>
              <w:bidi w:val="0"/>
              <w:spacing w:before="0" w:after="283"/>
              <w:jc w:val="left"/>
              <w:rPr/>
            </w:pPr>
            <w:r>
              <w:rPr/>
              <w:t> </w:t>
            </w:r>
            <w:bookmarkStart w:id="673" w:name="xdx_409_eus-gaap--ShareBasedCompensation"/>
            <w:bookmarkEnd w:id="673"/>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 – services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674" w:name="xdx_404_eus-gaap--ShareBasedCompensation"/>
            <w:bookmarkEnd w:id="674"/>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w:t>
            </w:r>
          </w:p>
        </w:tc>
        <w:tc>
          <w:tcPr>
            <w:tcW w:w="75" w:type="dxa"/>
            <w:tcBorders/>
            <w:shd w:fill="CCEEFF" w:val="clear"/>
            <w:vAlign w:val="center"/>
          </w:tcPr>
          <w:p>
            <w:pPr>
              <w:pStyle w:val="TableContents"/>
              <w:bidi w:val="0"/>
              <w:spacing w:before="0" w:after="283"/>
              <w:jc w:val="left"/>
              <w:rPr/>
            </w:pPr>
            <w:r>
              <w:rPr/>
              <w:t> </w:t>
            </w:r>
            <w:bookmarkStart w:id="675" w:name="xdx_403_eus-gaap--ShareBasedCompensation"/>
            <w:bookmarkEnd w:id="675"/>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2,351</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12,950</w:t>
            </w:r>
          </w:p>
        </w:tc>
        <w:tc>
          <w:tcPr>
            <w:tcW w:w="75" w:type="dxa"/>
            <w:tcBorders/>
            <w:shd w:fill="FFFFFF" w:val="clear"/>
            <w:vAlign w:val="center"/>
          </w:tcPr>
          <w:p>
            <w:pPr>
              <w:pStyle w:val="TableContents"/>
              <w:bidi w:val="0"/>
              <w:spacing w:before="0" w:after="283"/>
              <w:jc w:val="left"/>
              <w:rPr/>
            </w:pPr>
            <w:r>
              <w:rPr/>
              <w:t> </w:t>
            </w:r>
            <w:bookmarkStart w:id="676" w:name="xdx_407_eus-gaap--ShareBasedCompensation"/>
            <w:bookmarkEnd w:id="676"/>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2,453</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77" w:name="xdx_8AF_z1SaPV4jinue"/>
      <w:bookmarkEnd w:id="67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8" w:name="xdx_801_eus-gaap--FairValueDisclosuresTe"/>
      <w:bookmarkEnd w:id="678"/>
      <w:r>
        <w:rPr>
          <w:rFonts w:ascii="Times New Roman;Times;Serif" w:hAnsi="Times New Roman;Times;Serif"/>
          <w:b/>
          <w:i w:val="false"/>
          <w:caps w:val="false"/>
          <w:smallCaps w:val="false"/>
          <w:sz w:val="20"/>
        </w:rPr>
        <w:t xml:space="preserve">Note 14 — </w:t>
      </w:r>
      <w:bookmarkStart w:id="679" w:name="xdx_826_zGWo0zE27qKl"/>
      <w:bookmarkEnd w:id="679"/>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amounts of the Company’s cash, accounts receivable and accounts payable approximate their fair value due to the short-term nature of these instruments. The Company believes the aggregate carrying value of debt approximates its fair value as of March 31, 2026 and September 30, 2025 because the notes payable, the </w:t>
      </w:r>
      <w:bookmarkStart w:id="680" w:name="xdx_901_eus-gaap--DebtInstrumentInterest"/>
      <w:bookmarkStart w:id="681" w:name="xdx_908_eus-gaap--DebtInstrumentInterest"/>
      <w:bookmarkEnd w:id="680"/>
      <w:bookmarkEnd w:id="681"/>
      <w:r>
        <w:rPr>
          <w:rFonts w:ascii="Times New Roman;Times;Serif" w:hAnsi="Times New Roman;Times;Serif"/>
          <w:b w:val="false"/>
          <w:i w:val="false"/>
          <w:caps w:val="false"/>
          <w:smallCaps w:val="false"/>
          <w:sz w:val="20"/>
        </w:rPr>
        <w:t>7% promissory notes - related parties and the notes payable - related parties each mature within one to two years of the respective balance sheet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82" w:name="xdx_89C_eus-gaap--ScheduleOfFairValueAss"/>
      <w:bookmarkEnd w:id="682"/>
      <w:r>
        <w:rPr>
          <w:rFonts w:ascii="Times New Roman;Times;Serif" w:hAnsi="Times New Roman;Times;Serif"/>
          <w:b w:val="false"/>
          <w:i w:val="false"/>
          <w:caps w:val="false"/>
          <w:smallCaps w:val="false"/>
          <w:sz w:val="20"/>
        </w:rPr>
        <w:t>Liabilities measured at fair value on a recurring basis as of March 31, 2026 are as follows:</w:t>
      </w:r>
    </w:p>
    <w:p>
      <w:pPr>
        <w:pStyle w:val="TextBody"/>
        <w:bidi w:val="0"/>
        <w:spacing w:before="0" w:after="0"/>
        <w:ind w:left="0" w:right="0" w:hanging="0"/>
        <w:jc w:val="left"/>
        <w:rPr>
          <w:caps w:val="false"/>
          <w:smallCaps w:val="false"/>
        </w:rPr>
      </w:pPr>
      <w:r>
        <w:rPr>
          <w:caps w:val="false"/>
          <w:smallCaps w:val="false"/>
        </w:rPr>
        <w:t> </w:t>
      </w:r>
      <w:bookmarkStart w:id="683" w:name="xdx_8B1_zYX3rr15Nu32"/>
      <w:bookmarkEnd w:id="683"/>
      <w:r>
        <w:rPr>
          <w:rFonts w:ascii="Times New Roman;Times;Serif" w:hAnsi="Times New Roman;Times;Serif"/>
          <w:b w:val="false"/>
          <w:i w:val="false"/>
          <w:caps w:val="false"/>
          <w:smallCaps w:val="false"/>
          <w:sz w:val="20"/>
        </w:rPr>
        <w:t>Schedule of Fair Value Assets And Liabilities Measured On Recurring Basis</w:t>
      </w:r>
    </w:p>
    <w:tbl>
      <w:tblPr>
        <w:tblW w:w="5962" w:type="dxa"/>
        <w:jc w:val="left"/>
        <w:tblInd w:w="0" w:type="dxa"/>
        <w:tblLayout w:type="fixed"/>
        <w:tblCellMar>
          <w:top w:w="0" w:type="dxa"/>
          <w:left w:w="0" w:type="dxa"/>
          <w:bottom w:w="0" w:type="dxa"/>
          <w:right w:w="0" w:type="dxa"/>
        </w:tblCellMar>
      </w:tblPr>
      <w:tblGrid>
        <w:gridCol w:w="2645"/>
        <w:gridCol w:w="60"/>
        <w:gridCol w:w="263"/>
        <w:gridCol w:w="491"/>
        <w:gridCol w:w="60"/>
        <w:gridCol w:w="60"/>
        <w:gridCol w:w="263"/>
        <w:gridCol w:w="491"/>
        <w:gridCol w:w="60"/>
        <w:gridCol w:w="60"/>
        <w:gridCol w:w="202"/>
        <w:gridCol w:w="552"/>
        <w:gridCol w:w="60"/>
        <w:gridCol w:w="60"/>
        <w:gridCol w:w="150"/>
        <w:gridCol w:w="410"/>
        <w:gridCol w:w="75"/>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4" w:name="xdx_49B_20251001__20260331__us-gaap--Fai"/>
            <w:bookmarkEnd w:id="684"/>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5" w:name="xdx_49C_20251001__20260331__us-gaap--Fai"/>
            <w:bookmarkEnd w:id="685"/>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6" w:name="xdx_496_20251001__20260331__us-gaap--Fai"/>
            <w:bookmarkEnd w:id="686"/>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7" w:name="xdx_49D_20251001__20260331_zqqqWAwQYv2f"/>
            <w:bookmarkEnd w:id="687"/>
          </w:p>
        </w:tc>
        <w:tc>
          <w:tcPr>
            <w:tcW w:w="5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bookmarkStart w:id="688" w:name="xdx_408_ecustom--FairValueAssetLiability"/>
            <w:bookmarkEnd w:id="688"/>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75" w:type="dxa"/>
            <w:tcBorders/>
            <w:shd w:fill="CCEEFF" w:val="clear"/>
            <w:vAlign w:val="center"/>
          </w:tcPr>
          <w:p>
            <w:pPr>
              <w:pStyle w:val="TableContents"/>
              <w:bidi w:val="0"/>
              <w:spacing w:before="0" w:after="283"/>
              <w:jc w:val="left"/>
              <w:rPr/>
            </w:pPr>
            <w:r>
              <w:rPr/>
              <w:t> </w:t>
            </w:r>
            <w:bookmarkStart w:id="689" w:name="xdx_40F_ecustom--FairValueAssetLiability"/>
            <w:bookmarkEnd w:id="689"/>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Liability-classified warrants</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w:t>
            </w:r>
          </w:p>
        </w:tc>
        <w:tc>
          <w:tcPr>
            <w:tcW w:w="7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90" w:name="xdx_408_ecustom--FairValueAssetLiability"/>
            <w:bookmarkEnd w:id="690"/>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91" w:name="xdx_8A0_zC3kiJTV7Uqg"/>
      <w:bookmarkEnd w:id="691"/>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the earnout liability and the liability-classified warrants as Level 3 financial instruments due to the judgment required to develop the assumptions used and the significance of those assumptions to the fair value measurement. No financial instruments were transferred between levels of the fair value hierarchy during the six months ended March 31, 2026 or 2025. The following table provides a reconciliation of the balance of financial instruments measured at fair value on a recurring basis using Level 3 inputs:</w:t>
      </w:r>
    </w:p>
    <w:p>
      <w:pPr>
        <w:pStyle w:val="TextBody"/>
        <w:bidi w:val="0"/>
        <w:spacing w:before="0" w:after="0"/>
        <w:ind w:left="0" w:right="0" w:hanging="0"/>
        <w:jc w:val="left"/>
        <w:rPr>
          <w:caps w:val="false"/>
          <w:smallCaps w:val="false"/>
        </w:rPr>
      </w:pPr>
      <w:bookmarkStart w:id="692" w:name="xdx_894_eus-gaap--FairValueLiabilitiesMe"/>
      <w:bookmarkEnd w:id="692"/>
      <w:r>
        <w:rPr>
          <w:caps w:val="false"/>
          <w:smallCaps w:val="false"/>
        </w:rPr>
        <w:t> </w:t>
      </w:r>
      <w:bookmarkStart w:id="693" w:name="xdx_8B3_zPNhuXnv9wl5"/>
      <w:bookmarkEnd w:id="693"/>
      <w:r>
        <w:rPr>
          <w:rFonts w:ascii="Times New Roman;Times;Serif" w:hAnsi="Times New Roman;Times;Serif"/>
          <w:b w:val="false"/>
          <w:i w:val="false"/>
          <w:caps w:val="false"/>
          <w:smallCaps w:val="false"/>
          <w:sz w:val="20"/>
        </w:rPr>
        <w:t>Schedule of Fair Value Measured On Recurring Basis Unobservable Input Reconciliation</w:t>
      </w:r>
    </w:p>
    <w:tbl>
      <w:tblPr>
        <w:tblW w:w="7074" w:type="dxa"/>
        <w:jc w:val="left"/>
        <w:tblInd w:w="0" w:type="dxa"/>
        <w:tblLayout w:type="fixed"/>
        <w:tblCellMar>
          <w:top w:w="0" w:type="dxa"/>
          <w:left w:w="0" w:type="dxa"/>
          <w:bottom w:w="28" w:type="dxa"/>
          <w:right w:w="0" w:type="dxa"/>
        </w:tblCellMar>
      </w:tblPr>
      <w:tblGrid>
        <w:gridCol w:w="4340"/>
        <w:gridCol w:w="60"/>
        <w:gridCol w:w="154"/>
        <w:gridCol w:w="616"/>
        <w:gridCol w:w="95"/>
        <w:gridCol w:w="60"/>
        <w:gridCol w:w="295"/>
        <w:gridCol w:w="1344"/>
        <w:gridCol w:w="110"/>
      </w:tblGrid>
      <w:tr>
        <w:trPr/>
        <w:tc>
          <w:tcPr>
            <w:tcW w:w="4340" w:type="dxa"/>
            <w:tcBorders>
              <w:bottom w:val="single" w:sz="8" w:space="0" w:color="000000"/>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Six months ended March 31, 2026:</w:t>
            </w:r>
          </w:p>
        </w:tc>
        <w:tc>
          <w:tcPr>
            <w:tcW w:w="60" w:type="dxa"/>
            <w:tcBorders/>
            <w:tcMar>
              <w:bottom w:w="0" w:type="dxa"/>
            </w:tcMar>
            <w:vAlign w:val="center"/>
          </w:tcPr>
          <w:p>
            <w:pPr>
              <w:pStyle w:val="TableContents"/>
              <w:bidi w:val="0"/>
              <w:spacing w:before="0" w:after="283"/>
              <w:jc w:val="left"/>
              <w:rPr/>
            </w:pPr>
            <w:r>
              <w:rPr/>
              <w:t> </w:t>
            </w:r>
            <w:bookmarkStart w:id="694" w:name="xdx_4B3_us-gaap--SubsidiarySaleOfStockAx"/>
            <w:bookmarkEnd w:id="694"/>
          </w:p>
        </w:tc>
        <w:tc>
          <w:tcPr>
            <w:tcW w:w="7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695" w:name="xdx_4B2_us-gaap--SubsidiarySaleOfStockAx"/>
            <w:bookmarkEnd w:id="695"/>
          </w:p>
        </w:tc>
        <w:tc>
          <w:tcPr>
            <w:tcW w:w="163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Classified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110" w:type="dxa"/>
            <w:tcBorders/>
            <w:tcMar>
              <w:bottom w:w="0" w:type="dxa"/>
            </w:tcMar>
            <w:vAlign w:val="center"/>
          </w:tcPr>
          <w:p>
            <w:pPr>
              <w:pStyle w:val="TableContents"/>
              <w:bidi w:val="0"/>
              <w:spacing w:before="0" w:after="283"/>
              <w:jc w:val="left"/>
              <w:rPr/>
            </w:pPr>
            <w:r>
              <w:rPr/>
              <w:t> </w:t>
            </w:r>
            <w:bookmarkStart w:id="696" w:name="xdx_438_c20251001__20260331_eus-gaap--Fa"/>
            <w:bookmarkEnd w:id="696"/>
          </w:p>
        </w:tc>
      </w:tr>
      <w:tr>
        <w:trPr/>
        <w:tc>
          <w:tcPr>
            <w:tcW w:w="4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6,859</w:t>
            </w:r>
          </w:p>
        </w:tc>
        <w:tc>
          <w:tcPr>
            <w:tcW w:w="110" w:type="dxa"/>
            <w:tcBorders/>
            <w:shd w:fill="CCEEFF" w:val="clear"/>
            <w:tcMar>
              <w:bottom w:w="0" w:type="dxa"/>
            </w:tcMar>
            <w:vAlign w:val="center"/>
          </w:tcPr>
          <w:p>
            <w:pPr>
              <w:pStyle w:val="TableContents"/>
              <w:bidi w:val="0"/>
              <w:spacing w:before="0" w:after="283"/>
              <w:jc w:val="left"/>
              <w:rPr/>
            </w:pPr>
            <w:r>
              <w:rPr/>
              <w:t> </w:t>
            </w:r>
            <w:bookmarkStart w:id="697" w:name="xdx_401_ecustom--AdjustmentsToAdditional"/>
            <w:bookmarkEnd w:id="697"/>
          </w:p>
        </w:tc>
      </w:tr>
      <w:tr>
        <w:trPr/>
        <w:tc>
          <w:tcPr>
            <w:tcW w:w="4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Reclassification of warrant liabilities to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 </w:t>
            </w:r>
          </w:p>
        </w:tc>
        <w:tc>
          <w:tcPr>
            <w:tcW w:w="134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98" w:name="xdx_40A_eus-gaap--IncomeLossAttributable"/>
            <w:bookmarkEnd w:id="698"/>
          </w:p>
        </w:tc>
      </w:tr>
      <w:tr>
        <w:trPr/>
        <w:tc>
          <w:tcPr>
            <w:tcW w:w="4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included in 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8" w:space="0" w:color="000000"/>
            </w:tcBorders>
            <w:shd w:fill="CCEEFF" w:val="clear"/>
            <w:vAlign w:val="center"/>
          </w:tcPr>
          <w:p>
            <w:pPr>
              <w:pStyle w:val="TableContents"/>
              <w:bidi w:val="0"/>
              <w:spacing w:before="0" w:after="283"/>
              <w:jc w:val="left"/>
              <w:rPr/>
            </w:pPr>
            <w:r>
              <w:rPr/>
              <w:t> </w:t>
            </w:r>
          </w:p>
        </w:tc>
        <w:tc>
          <w:tcPr>
            <w:tcW w:w="61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bottom w:val="single" w:sz="8" w:space="0" w:color="000000"/>
            </w:tcBorders>
            <w:shd w:fill="CCEEFF" w:val="clear"/>
            <w:vAlign w:val="center"/>
          </w:tcPr>
          <w:p>
            <w:pPr>
              <w:pStyle w:val="TableContents"/>
              <w:bidi w:val="0"/>
              <w:spacing w:before="0" w:after="283"/>
              <w:jc w:val="left"/>
              <w:rPr/>
            </w:pPr>
            <w:r>
              <w:rPr/>
              <w:t> </w:t>
            </w:r>
          </w:p>
        </w:tc>
        <w:tc>
          <w:tcPr>
            <w:tcW w:w="134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 </w:t>
            </w:r>
          </w:p>
        </w:tc>
        <w:tc>
          <w:tcPr>
            <w:tcW w:w="1344"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bookmarkStart w:id="699" w:name="xdx_433_c20251001__20260331_eus-gaap--Fa"/>
            <w:bookmarkEnd w:id="699"/>
          </w:p>
        </w:tc>
      </w:tr>
      <w:tr>
        <w:trPr/>
        <w:tc>
          <w:tcPr>
            <w:tcW w:w="4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65" w:type="dxa"/>
        <w:jc w:val="left"/>
        <w:tblInd w:w="0" w:type="dxa"/>
        <w:tblLayout w:type="fixed"/>
        <w:tblCellMar>
          <w:top w:w="0" w:type="dxa"/>
          <w:left w:w="0" w:type="dxa"/>
          <w:bottom w:w="28" w:type="dxa"/>
          <w:right w:w="0" w:type="dxa"/>
        </w:tblCellMar>
      </w:tblPr>
      <w:tblGrid>
        <w:gridCol w:w="3830"/>
        <w:gridCol w:w="60"/>
        <w:gridCol w:w="154"/>
        <w:gridCol w:w="616"/>
        <w:gridCol w:w="95"/>
        <w:gridCol w:w="60"/>
        <w:gridCol w:w="328"/>
        <w:gridCol w:w="1312"/>
        <w:gridCol w:w="110"/>
      </w:tblGrid>
      <w:tr>
        <w:trPr/>
        <w:tc>
          <w:tcPr>
            <w:tcW w:w="3830" w:type="dxa"/>
            <w:tcBorders>
              <w:bottom w:val="single" w:sz="8" w:space="0" w:color="000000"/>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Six months ended March 31, 2025:</w:t>
            </w:r>
          </w:p>
        </w:tc>
        <w:tc>
          <w:tcPr>
            <w:tcW w:w="60" w:type="dxa"/>
            <w:tcBorders/>
            <w:tcMar>
              <w:bottom w:w="0" w:type="dxa"/>
            </w:tcMar>
            <w:vAlign w:val="center"/>
          </w:tcPr>
          <w:p>
            <w:pPr>
              <w:pStyle w:val="TableContents"/>
              <w:bidi w:val="0"/>
              <w:spacing w:before="0" w:after="283"/>
              <w:jc w:val="left"/>
              <w:rPr/>
            </w:pPr>
            <w:r>
              <w:rPr/>
              <w:t> </w:t>
            </w:r>
            <w:bookmarkStart w:id="700" w:name="xdx_4B3_us-gaap--SubsidiarySaleOfStockAx"/>
            <w:bookmarkEnd w:id="700"/>
          </w:p>
        </w:tc>
        <w:tc>
          <w:tcPr>
            <w:tcW w:w="7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701" w:name="xdx_4B2_us-gaap--SubsidiarySaleOfStockAx"/>
            <w:bookmarkEnd w:id="701"/>
          </w:p>
        </w:tc>
        <w:tc>
          <w:tcPr>
            <w:tcW w:w="16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Classified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110" w:type="dxa"/>
            <w:tcBorders/>
            <w:tcMar>
              <w:bottom w:w="0" w:type="dxa"/>
            </w:tcMar>
            <w:vAlign w:val="center"/>
          </w:tcPr>
          <w:p>
            <w:pPr>
              <w:pStyle w:val="TableContents"/>
              <w:bidi w:val="0"/>
              <w:spacing w:before="0" w:after="283"/>
              <w:jc w:val="left"/>
              <w:rPr/>
            </w:pPr>
            <w:r>
              <w:rPr/>
              <w:t> </w:t>
            </w:r>
            <w:bookmarkStart w:id="702" w:name="xdx_431_c20241001__20250331_eus-gaap--Fa"/>
            <w:bookmarkEnd w:id="702"/>
          </w:p>
        </w:tc>
      </w:tr>
      <w:tr>
        <w:trPr/>
        <w:tc>
          <w:tcPr>
            <w:tcW w:w="38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September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w:t>
            </w:r>
          </w:p>
        </w:tc>
        <w:tc>
          <w:tcPr>
            <w:tcW w:w="110" w:type="dxa"/>
            <w:tcBorders/>
            <w:shd w:fill="CCEEFF" w:val="clear"/>
            <w:tcMar>
              <w:bottom w:w="0" w:type="dxa"/>
            </w:tcMar>
            <w:vAlign w:val="center"/>
          </w:tcPr>
          <w:p>
            <w:pPr>
              <w:pStyle w:val="TableContents"/>
              <w:bidi w:val="0"/>
              <w:spacing w:before="0" w:after="283"/>
              <w:jc w:val="left"/>
              <w:rPr/>
            </w:pPr>
            <w:r>
              <w:rPr/>
              <w:t> </w:t>
            </w:r>
            <w:bookmarkStart w:id="703" w:name="xdx_435_c20241001__20250331_eus-gaap--Fa"/>
            <w:bookmarkEnd w:id="703"/>
          </w:p>
        </w:tc>
      </w:tr>
      <w:tr>
        <w:trPr/>
        <w:tc>
          <w:tcPr>
            <w:tcW w:w="38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w:t>
            </w:r>
          </w:p>
        </w:tc>
        <w:tc>
          <w:tcPr>
            <w:tcW w:w="110" w:type="dxa"/>
            <w:tcBorders/>
            <w:shd w:fill="CCEEFF" w:val="clear"/>
            <w:tcMar>
              <w:bottom w:w="0" w:type="dxa"/>
            </w:tcMar>
            <w:vAlign w:val="center"/>
          </w:tcPr>
          <w:p>
            <w:pPr>
              <w:pStyle w:val="TableContents"/>
              <w:bidi w:val="0"/>
              <w:spacing w:before="0" w:after="283"/>
              <w:jc w:val="left"/>
              <w:rPr/>
            </w:pPr>
            <w:r>
              <w:rPr/>
              <w:t> </w:t>
            </w:r>
            <w:bookmarkStart w:id="704" w:name="xdx_40A_eus-gaap--IncomeLossAttributable"/>
            <w:bookmarkEnd w:id="704"/>
          </w:p>
        </w:tc>
      </w:tr>
      <w:tr>
        <w:trPr/>
        <w:tc>
          <w:tcPr>
            <w:tcW w:w="38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included in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8" w:space="0" w:color="000000"/>
            </w:tcBorders>
            <w:shd w:fill="FFFFFF" w:val="clear"/>
            <w:vAlign w:val="center"/>
          </w:tcPr>
          <w:p>
            <w:pPr>
              <w:pStyle w:val="TableContents"/>
              <w:bidi w:val="0"/>
              <w:spacing w:before="0" w:after="283"/>
              <w:jc w:val="left"/>
              <w:rPr/>
            </w:pPr>
            <w:r>
              <w:rPr/>
              <w:t> </w:t>
            </w:r>
          </w:p>
        </w:tc>
        <w:tc>
          <w:tcPr>
            <w:tcW w:w="61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bottom w:val="single" w:sz="8" w:space="0" w:color="000000"/>
            </w:tcBorders>
            <w:shd w:fill="FFFFFF" w:val="clear"/>
            <w:vAlign w:val="center"/>
          </w:tcPr>
          <w:p>
            <w:pPr>
              <w:pStyle w:val="TableContents"/>
              <w:bidi w:val="0"/>
              <w:spacing w:before="0" w:after="283"/>
              <w:jc w:val="left"/>
              <w:rPr/>
            </w:pPr>
            <w:r>
              <w:rPr/>
              <w:t> </w:t>
            </w:r>
          </w:p>
        </w:tc>
        <w:tc>
          <w:tcPr>
            <w:tcW w:w="131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 </w:t>
            </w:r>
          </w:p>
        </w:tc>
        <w:tc>
          <w:tcPr>
            <w:tcW w:w="1312"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705" w:name="xdx_439_c20241001__20250331_eus-gaap--Fa"/>
            <w:bookmarkEnd w:id="705"/>
          </w:p>
        </w:tc>
      </w:tr>
      <w:tr>
        <w:trPr/>
        <w:tc>
          <w:tcPr>
            <w:tcW w:w="38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March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1,514</w:t>
            </w:r>
          </w:p>
        </w:tc>
        <w:tc>
          <w:tcPr>
            <w:tcW w:w="110" w:type="dxa"/>
            <w:tcBorders/>
            <w:shd w:fill="FFFFFF" w:val="clear"/>
            <w:tcMar>
              <w:bottom w:w="0" w:type="dxa"/>
            </w:tcMar>
            <w:vAlign w:val="center"/>
          </w:tcPr>
          <w:p>
            <w:pPr>
              <w:pStyle w:val="TableContents"/>
              <w:bidi w:val="0"/>
              <w:spacing w:before="0" w:after="283"/>
              <w:jc w:val="left"/>
              <w:rPr/>
            </w:pPr>
            <w:r>
              <w:rPr/>
              <w:t> </w:t>
            </w:r>
            <w:bookmarkStart w:id="706" w:name="xdx_43E_c20241001__20250331_eus-gaap--Fa"/>
            <w:bookmarkEnd w:id="706"/>
          </w:p>
        </w:tc>
      </w:tr>
      <w:tr>
        <w:trPr/>
        <w:tc>
          <w:tcPr>
            <w:tcW w:w="38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1,514</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07" w:name="xdx_8A9_z7wcSc0cGZUj"/>
      <w:bookmarkEnd w:id="707"/>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liability-classified warrants consist of the Private Warrants. The Company estimates the fair value of the Private Warrants based on quoted market prices for the Public Warrants, which have substantially the same economic characteristics. As of September 30, 2025, the Company estimated the fair value of liability-classified warrants (other than the Private Warrants)—including those amended during the six months ended March 31, 2026—using the Black-Scholes option pricing model. The following table summarizes the significant assumptions used in estimating the fair value of liability-classified warrants under the Black-Scholes option pricing model:</w:t>
      </w:r>
    </w:p>
    <w:p>
      <w:pPr>
        <w:pStyle w:val="TextBody"/>
        <w:bidi w:val="0"/>
        <w:spacing w:before="0" w:after="0"/>
        <w:ind w:left="0" w:right="0" w:hanging="0"/>
        <w:jc w:val="both"/>
        <w:rPr>
          <w:caps w:val="false"/>
          <w:smallCaps w:val="false"/>
        </w:rPr>
      </w:pPr>
      <w:bookmarkStart w:id="708" w:name="xdx_895_eus-gaap--FairValueConcentration"/>
      <w:bookmarkEnd w:id="708"/>
      <w:r>
        <w:rPr>
          <w:caps w:val="false"/>
          <w:smallCaps w:val="false"/>
        </w:rPr>
        <w:t> </w:t>
      </w:r>
      <w:bookmarkStart w:id="709" w:name="xdx_8B6_z3ZCaW6zpcrf"/>
      <w:bookmarkEnd w:id="709"/>
      <w:r>
        <w:rPr>
          <w:rFonts w:ascii="Times New Roman;Times;Serif" w:hAnsi="Times New Roman;Times;Serif"/>
          <w:b w:val="false"/>
          <w:i w:val="false"/>
          <w:caps w:val="false"/>
          <w:smallCaps w:val="false"/>
          <w:sz w:val="20"/>
        </w:rPr>
        <w:t>Schedule of Fair Value of Liability-Classified Warrants</w:t>
      </w:r>
    </w:p>
    <w:tbl>
      <w:tblPr>
        <w:tblW w:w="3425" w:type="dxa"/>
        <w:jc w:val="left"/>
        <w:tblInd w:w="0" w:type="dxa"/>
        <w:tblLayout w:type="fixed"/>
        <w:tblCellMar>
          <w:top w:w="0" w:type="dxa"/>
          <w:left w:w="0" w:type="dxa"/>
          <w:bottom w:w="0" w:type="dxa"/>
          <w:right w:w="0" w:type="dxa"/>
        </w:tblCellMar>
      </w:tblPr>
      <w:tblGrid>
        <w:gridCol w:w="1805"/>
        <w:gridCol w:w="60"/>
        <w:gridCol w:w="140"/>
        <w:gridCol w:w="119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10" w:name="xdx_98C_eus-gaap--SharePrice_iI_pid_c202"/>
            <w:bookmarkEnd w:id="710"/>
          </w:p>
        </w:tc>
        <w:tc>
          <w:tcPr>
            <w:tcW w:w="11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rPr>
            </w:pPr>
            <w:bookmarkStart w:id="711" w:name="xdx_90C_eus-gaap--ShareBasedCompensation"/>
            <w:bookmarkEnd w:id="711"/>
            <w:r>
              <w:rPr>
                <w:rFonts w:ascii="Times New Roman;Times;Serif" w:hAnsi="Times New Roman;Times;Serif"/>
              </w:rPr>
              <w:t>79.0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rPr>
            </w:pPr>
            <w:bookmarkStart w:id="712" w:name="xdx_906_eus-gaap--ShareBasedCompensation"/>
            <w:bookmarkEnd w:id="712"/>
            <w:r>
              <w:rPr>
                <w:rFonts w:ascii="Times New Roman;Times;Serif" w:hAnsi="Times New Roman;Times;Serif"/>
              </w:rPr>
              <w:t>3.7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bookmarkStart w:id="713" w:name="xdx_903_eus-gaap--SharebasedCompensation"/>
            <w:bookmarkEnd w:id="713"/>
            <w:r>
              <w:rPr>
                <w:rFonts w:ascii="Times New Roman;Times;Serif" w:hAnsi="Times New Roman;Times;Serif"/>
                <w:sz w:val="20"/>
              </w:rPr>
              <w:t xml:space="preserve">4.3 – </w:t>
            </w:r>
            <w:bookmarkStart w:id="714" w:name="xdx_903_eus-gaap--SharebasedCompensation"/>
            <w:bookmarkEnd w:id="714"/>
            <w:r>
              <w:rPr>
                <w:rFonts w:ascii="Times New Roman;Times;Serif" w:hAnsi="Times New Roman;Times;Serif"/>
                <w:sz w:val="20"/>
              </w:rPr>
              <w:t>4.9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15" w:name="xdx_8AB_zbl1zRAVG1zh"/>
      <w:bookmarkEnd w:id="71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earnout liability using a Monte Carlo simulation model that utilizes significant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pStyle w:val="TextBody"/>
        <w:bidi w:val="0"/>
        <w:spacing w:before="0" w:after="0"/>
        <w:ind w:left="0" w:right="0" w:hanging="0"/>
        <w:jc w:val="left"/>
        <w:rPr>
          <w:caps w:val="false"/>
          <w:smallCaps w:val="false"/>
        </w:rPr>
      </w:pPr>
      <w:bookmarkStart w:id="716" w:name="xdx_C01_gL3FVCORTB-_z4N7SASJzZxf"/>
      <w:bookmarkEnd w:id="716"/>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717" w:name="xdx_30D_134_zNJAbJ2aliM9"/>
      <w:bookmarkStart w:id="718" w:name="xdx_30D_134_zNJAbJ2aliM9"/>
      <w:bookmarkEnd w:id="718"/>
    </w:p>
    <w:tbl>
      <w:tblPr>
        <w:tblW w:w="4478" w:type="dxa"/>
        <w:jc w:val="left"/>
        <w:tblInd w:w="0" w:type="dxa"/>
        <w:tblLayout w:type="fixed"/>
        <w:tblCellMar>
          <w:top w:w="0" w:type="dxa"/>
          <w:left w:w="0" w:type="dxa"/>
          <w:bottom w:w="0" w:type="dxa"/>
          <w:right w:w="0" w:type="dxa"/>
        </w:tblCellMar>
      </w:tblPr>
      <w:tblGrid>
        <w:gridCol w:w="1805"/>
        <w:gridCol w:w="60"/>
        <w:gridCol w:w="141"/>
        <w:gridCol w:w="748"/>
        <w:gridCol w:w="215"/>
        <w:gridCol w:w="60"/>
        <w:gridCol w:w="281"/>
        <w:gridCol w:w="938"/>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19" w:name="xdx_986_eus-gaap--SharePrice_iI_pid_c202"/>
            <w:bookmarkEnd w:id="719"/>
          </w:p>
        </w:tc>
        <w:tc>
          <w:tcPr>
            <w:tcW w:w="7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20" w:name="xdx_98E_eus-gaap--SharePrice_iI_pid_c202"/>
            <w:bookmarkEnd w:id="720"/>
          </w:p>
        </w:tc>
        <w:tc>
          <w:tcPr>
            <w:tcW w:w="9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rPr>
            </w:pPr>
            <w:bookmarkStart w:id="721" w:name="xdx_909_eus-gaap--ShareBasedCompensation"/>
            <w:bookmarkEnd w:id="721"/>
            <w:r>
              <w:rPr>
                <w:rFonts w:ascii="Times New Roman;Times;Serif" w:hAnsi="Times New Roman;Times;Serif"/>
              </w:rPr>
              <w:t>90.0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rPr>
            </w:pPr>
            <w:bookmarkStart w:id="722" w:name="xdx_90F_eus-gaap--ShareBasedCompensation"/>
            <w:bookmarkEnd w:id="722"/>
            <w:r>
              <w:rPr>
                <w:rFonts w:ascii="Times New Roman;Times;Serif" w:hAnsi="Times New Roman;Times;Serif"/>
              </w:rPr>
              <w:t>80.0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rPr>
            </w:pPr>
            <w:bookmarkStart w:id="723" w:name="xdx_90A_eus-gaap--ShareBasedCompensation"/>
            <w:bookmarkEnd w:id="723"/>
            <w:r>
              <w:rPr>
                <w:rFonts w:ascii="Times New Roman;Times;Serif" w:hAnsi="Times New Roman;Times;Serif"/>
              </w:rPr>
              <w:t>3.8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rPr>
            </w:pPr>
            <w:bookmarkStart w:id="724" w:name="xdx_909_eus-gaap--ShareBasedCompensation"/>
            <w:bookmarkEnd w:id="724"/>
            <w:r>
              <w:rPr>
                <w:rFonts w:ascii="Times New Roman;Times;Serif" w:hAnsi="Times New Roman;Times;Serif"/>
              </w:rPr>
              <w:t>3.8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sz w:val="20"/>
              </w:rPr>
            </w:pPr>
            <w:bookmarkStart w:id="725" w:name="xdx_90B_eus-gaap--SharebasedCompensation"/>
            <w:bookmarkEnd w:id="725"/>
            <w:r>
              <w:rPr>
                <w:rFonts w:ascii="Times New Roman;Times;Serif" w:hAnsi="Times New Roman;Times;Serif"/>
                <w:sz w:val="20"/>
              </w:rPr>
              <w:t>5.7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sz w:val="20"/>
              </w:rPr>
            </w:pPr>
            <w:bookmarkStart w:id="726" w:name="xdx_90A_eus-gaap--SharebasedCompensation"/>
            <w:bookmarkEnd w:id="726"/>
            <w:r>
              <w:rPr>
                <w:rFonts w:ascii="Times New Roman;Times;Serif" w:hAnsi="Times New Roman;Times;Serif"/>
                <w:sz w:val="20"/>
              </w:rPr>
              <w:t>6.2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bookmarkStart w:id="727" w:name="xdx_C0B_gL3FVCORTB-_zIu5UjWgixDd"/>
      <w:bookmarkEnd w:id="727"/>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8" w:name="xdx_805_eus-gaap--EarningsPerShareTextBl"/>
      <w:bookmarkEnd w:id="728"/>
      <w:r>
        <w:rPr>
          <w:rFonts w:ascii="Times New Roman;Times;Serif" w:hAnsi="Times New Roman;Times;Serif"/>
          <w:b/>
          <w:i w:val="false"/>
          <w:caps w:val="false"/>
          <w:smallCaps w:val="false"/>
          <w:sz w:val="20"/>
        </w:rPr>
        <w:t xml:space="preserve">Note 15 — </w:t>
      </w:r>
      <w:bookmarkStart w:id="729" w:name="xdx_82D_zlatuXsiYLL3"/>
      <w:bookmarkEnd w:id="729"/>
      <w:r>
        <w:rPr>
          <w:rFonts w:ascii="Times New Roman;Times;Serif" w:hAnsi="Times New Roman;Times;Serif"/>
          <w:b/>
          <w:i w:val="false"/>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warrants, RSAs, RSUs and other contingently issuable shares. The dilutive effect of outstanding stock options, warrants, RSAs, RSUs and other contingently issuable shares is reflected in diluted earnings per share by application of the more dilutive of (a) the two-class method or (b) the if-converted method and treasury stock method, as applicable. The computation of the diluted net loss per share of Class A Common Stock assumes the conversion of Class B Common Stock, while the diluted net loss per share of Class B Common Stock does not assume the conversion of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where the Company has a net loss, most potentially dilutive securities are not included in the computation as their impact is anti-dilutive; those potentially dilutive securities whose impact is dilutive are included in the computation. In periods where their effect is dilutive, liability-classified warrants are included in the computation of diluted loss per share as if the underlying shares had been issued as of the later of the beginning of the fiscal period or the date of issuance of those securities. Inclusion of those securities increases both the net loss for the period and the number of shares used in the per share computation and is dilutive to the Company’s net loss per share.</w:t>
      </w:r>
    </w:p>
    <w:p>
      <w:pPr>
        <w:pStyle w:val="TextBody"/>
        <w:bidi w:val="0"/>
        <w:spacing w:before="0" w:after="0"/>
        <w:ind w:left="0" w:right="0" w:hanging="0"/>
        <w:jc w:val="left"/>
        <w:rPr>
          <w:caps w:val="false"/>
          <w:smallCaps w:val="false"/>
        </w:rPr>
      </w:pPr>
      <w:bookmarkStart w:id="730" w:name="xdx_89F_eus-gaap--ScheduleOfEarningsPerS"/>
      <w:bookmarkEnd w:id="730"/>
      <w:r>
        <w:rPr>
          <w:caps w:val="false"/>
          <w:smallCaps w:val="false"/>
        </w:rPr>
        <w:t> </w:t>
      </w:r>
      <w:bookmarkStart w:id="731" w:name="xdx_8B6_zAE2QQ86FI8d"/>
      <w:bookmarkEnd w:id="731"/>
      <w:r>
        <w:rPr>
          <w:rFonts w:ascii="Times New Roman;Times;Serif" w:hAnsi="Times New Roman;Times;Serif"/>
          <w:b w:val="false"/>
          <w:i w:val="false"/>
          <w:caps w:val="false"/>
          <w:smallCaps w:val="false"/>
          <w:sz w:val="20"/>
        </w:rPr>
        <w:t>Schedule of Earnings Per Share Basic and Diluted </w:t>
      </w:r>
    </w:p>
    <w:tbl>
      <w:tblPr>
        <w:tblW w:w="10205" w:type="dxa"/>
        <w:jc w:val="left"/>
        <w:tblInd w:w="0" w:type="dxa"/>
        <w:tblLayout w:type="fixed"/>
        <w:tblCellMar>
          <w:top w:w="0" w:type="dxa"/>
          <w:left w:w="0" w:type="dxa"/>
          <w:bottom w:w="0" w:type="dxa"/>
          <w:right w:w="0" w:type="dxa"/>
        </w:tblCellMar>
      </w:tblPr>
      <w:tblGrid>
        <w:gridCol w:w="5450"/>
        <w:gridCol w:w="60"/>
        <w:gridCol w:w="140"/>
        <w:gridCol w:w="980"/>
        <w:gridCol w:w="95"/>
        <w:gridCol w:w="60"/>
        <w:gridCol w:w="140"/>
        <w:gridCol w:w="800"/>
        <w:gridCol w:w="95"/>
        <w:gridCol w:w="60"/>
        <w:gridCol w:w="140"/>
        <w:gridCol w:w="980"/>
        <w:gridCol w:w="95"/>
        <w:gridCol w:w="60"/>
        <w:gridCol w:w="140"/>
        <w:gridCol w:w="800"/>
        <w:gridCol w:w="110"/>
      </w:tblGrid>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732" w:name="xdx_497_20260101__20260331__us-gaap--Sta"/>
            <w:bookmarkEnd w:id="732"/>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733" w:name="xdx_492_20260101__20260331__us-gaap--Sta"/>
            <w:bookmarkEnd w:id="733"/>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734" w:name="xdx_494_20250101__20250331__us-gaap--Sta"/>
            <w:bookmarkEnd w:id="734"/>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735" w:name="xdx_49A_20250101__20250331__us-gaap--Sta"/>
            <w:bookmarkEnd w:id="735"/>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March 31,</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36" w:name="xdx_40F_eus-gaap--NetIncomeLoss_pn3n3_zd"/>
            <w:bookmarkEnd w:id="736"/>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37" w:name="xdx_40C_eus-gaap--WeightedAverageNumberO"/>
            <w:bookmarkEnd w:id="737"/>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9,638,233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3,822,890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bookmarkStart w:id="738" w:name="xdx_401_eus-gaap--EarningsPerShareBasic_"/>
            <w:bookmarkEnd w:id="738"/>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39" w:name="xdx_40F_eus-gaap--NetIncomeLoss_pn3n3_zu"/>
            <w:bookmarkEnd w:id="739"/>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(5,734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40" w:name="xdx_403_ecustom--ReallocationOfNetIncome"/>
            <w:bookmarkEnd w:id="740"/>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741" w:name="xdx_403_ecustom--NetIncomeLossToDiluted_"/>
            <w:bookmarkEnd w:id="741"/>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42" w:name="xdx_406_ecustom--NumberOfSharesUsedInBas"/>
            <w:bookmarkEnd w:id="742"/>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9,638,233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3,822,890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bookmarkStart w:id="743" w:name="xdx_405_ecustom--ConversionOfClassBToCla"/>
            <w:bookmarkEnd w:id="743"/>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744" w:name="xdx_406_eus-gaap--WeightedAverageNumberO"/>
            <w:bookmarkEnd w:id="744"/>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9,838,724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4,023,381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bookmarkStart w:id="745" w:name="xdx_406_eus-gaap--EarningsPerShareDilute"/>
            <w:bookmarkEnd w:id="745"/>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0"/>
        <w:gridCol w:w="60"/>
        <w:gridCol w:w="140"/>
        <w:gridCol w:w="980"/>
        <w:gridCol w:w="95"/>
        <w:gridCol w:w="60"/>
        <w:gridCol w:w="140"/>
        <w:gridCol w:w="800"/>
        <w:gridCol w:w="95"/>
        <w:gridCol w:w="60"/>
        <w:gridCol w:w="140"/>
        <w:gridCol w:w="980"/>
        <w:gridCol w:w="95"/>
        <w:gridCol w:w="60"/>
        <w:gridCol w:w="140"/>
        <w:gridCol w:w="800"/>
        <w:gridCol w:w="110"/>
      </w:tblGrid>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746" w:name="xdx_49D_20251001__20260331__us-gaap--Sta"/>
            <w:bookmarkEnd w:id="746"/>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747" w:name="xdx_498_20251001__20260331__us-gaap--Sta"/>
            <w:bookmarkEnd w:id="747"/>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748" w:name="xdx_496_20241001__20250331__us-gaap--Sta"/>
            <w:bookmarkEnd w:id="748"/>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749" w:name="xdx_492_20241001__20250331__us-gaap--Sta"/>
            <w:bookmarkEnd w:id="749"/>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March 31,</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50" w:name="xdx_40F_eus-gaap--NetIncomeLoss_pn3n3_zj"/>
            <w:bookmarkEnd w:id="750"/>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(15,580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(20,974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51" w:name="xdx_40C_eus-gaap--WeightedAverageNumberO"/>
            <w:bookmarkEnd w:id="751"/>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7,857,772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3,726,645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205,367</w:t>
            </w:r>
          </w:p>
        </w:tc>
        <w:tc>
          <w:tcPr>
            <w:tcW w:w="110" w:type="dxa"/>
            <w:tcBorders/>
            <w:shd w:fill="CCEEFF" w:val="clear"/>
            <w:vAlign w:val="center"/>
          </w:tcPr>
          <w:p>
            <w:pPr>
              <w:pStyle w:val="TableContents"/>
              <w:bidi w:val="0"/>
              <w:spacing w:before="0" w:after="283"/>
              <w:jc w:val="left"/>
              <w:rPr/>
            </w:pPr>
            <w:r>
              <w:rPr/>
              <w:t> </w:t>
            </w:r>
            <w:bookmarkStart w:id="752" w:name="xdx_401_eus-gaap--EarningsPerShareBasic_"/>
            <w:bookmarkEnd w:id="752"/>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53" w:name="xdx_40F_eus-gaap--NetIncomeLoss_pn3n3_zI"/>
            <w:bookmarkEnd w:id="753"/>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(15,580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(20,974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54" w:name="xdx_403_ecustom--ReallocationOfNetIncome"/>
            <w:bookmarkEnd w:id="754"/>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755" w:name="xdx_403_ecustom--NetIncomeLossToDiluted_"/>
            <w:bookmarkEnd w:id="755"/>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(15,978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(22,130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56" w:name="xdx_406_ecustom--NumberOfSharesUsedInBas"/>
            <w:bookmarkEnd w:id="756"/>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7,857,772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3,726,645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205,367</w:t>
            </w:r>
          </w:p>
        </w:tc>
        <w:tc>
          <w:tcPr>
            <w:tcW w:w="110" w:type="dxa"/>
            <w:tcBorders/>
            <w:shd w:fill="CCEEFF" w:val="clear"/>
            <w:vAlign w:val="center"/>
          </w:tcPr>
          <w:p>
            <w:pPr>
              <w:pStyle w:val="TableContents"/>
              <w:bidi w:val="0"/>
              <w:spacing w:before="0" w:after="283"/>
              <w:jc w:val="left"/>
              <w:rPr/>
            </w:pPr>
            <w:r>
              <w:rPr/>
              <w:t> </w:t>
            </w:r>
            <w:bookmarkStart w:id="757" w:name="xdx_405_ecustom--ConversionOfClassBToCla"/>
            <w:bookmarkEnd w:id="757"/>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758" w:name="xdx_406_eus-gaap--WeightedAverageNumberO"/>
            <w:bookmarkEnd w:id="758"/>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8,058,263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3,932,012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205,367</w:t>
            </w:r>
          </w:p>
        </w:tc>
        <w:tc>
          <w:tcPr>
            <w:tcW w:w="110" w:type="dxa"/>
            <w:tcBorders/>
            <w:shd w:fill="CCEEFF" w:val="clear"/>
            <w:vAlign w:val="center"/>
          </w:tcPr>
          <w:p>
            <w:pPr>
              <w:pStyle w:val="TableContents"/>
              <w:bidi w:val="0"/>
              <w:spacing w:before="0" w:after="283"/>
              <w:jc w:val="left"/>
              <w:rPr/>
            </w:pPr>
            <w:r>
              <w:rPr/>
              <w:t> </w:t>
            </w:r>
            <w:bookmarkStart w:id="759" w:name="xdx_406_eus-gaap--EarningsPerShareDilute"/>
            <w:bookmarkEnd w:id="759"/>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760" w:name="xdx_8AB_z2d2d6yN7kQ1"/>
      <w:bookmarkEnd w:id="760"/>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applying the if converted method or treasury stock method for calculating diluted earnings per share, Warrants, RSAs, RSUs and stock options result in anti-dilution. Therefore, these securities are not included in the computation of diluted net loss per share. Shares potentially issuable under earnout arrangements were not included for purposes of calculating the number of diluted shares outstanding because the number of dilutive shares is, in each case, based on a contingency which had not been met during the periods presented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61" w:name="xdx_89E_eus-gaap--ScheduleOfAntidilutive"/>
      <w:bookmarkEnd w:id="761"/>
      <w:r>
        <w:rPr>
          <w:rFonts w:ascii="Times New Roman;Times;Serif" w:hAnsi="Times New Roman;Times;Serif"/>
          <w:b w:val="false"/>
          <w:i w:val="false"/>
          <w:caps w:val="false"/>
          <w:smallCaps w:val="false"/>
          <w:sz w:val="20"/>
        </w:rPr>
        <w:t>The potential shares of Class A Common Stock that were excluded from the computation of diluted net loss per share for the periods presented because including them would have an antidilutive effect were as follows:</w:t>
      </w:r>
    </w:p>
    <w:p>
      <w:pPr>
        <w:pStyle w:val="TextBody"/>
        <w:bidi w:val="0"/>
        <w:spacing w:before="0" w:after="0"/>
        <w:ind w:left="0" w:right="0" w:hanging="0"/>
        <w:jc w:val="left"/>
        <w:rPr>
          <w:caps w:val="false"/>
          <w:smallCaps w:val="false"/>
        </w:rPr>
      </w:pPr>
      <w:r>
        <w:rPr>
          <w:caps w:val="false"/>
          <w:smallCaps w:val="false"/>
        </w:rPr>
        <w:t> </w:t>
      </w:r>
      <w:bookmarkStart w:id="762" w:name="xdx_8B2_zDITMe9jhh4i"/>
      <w:bookmarkEnd w:id="762"/>
      <w:r>
        <w:rPr>
          <w:rFonts w:ascii="Times New Roman;Times;Serif" w:hAnsi="Times New Roman;Times;Serif"/>
          <w:b w:val="false"/>
          <w:i w:val="false"/>
          <w:caps w:val="false"/>
          <w:smallCaps w:val="false"/>
          <w:sz w:val="20"/>
        </w:rPr>
        <w:t>Schedule of Antidilutive Shares </w:t>
      </w:r>
    </w:p>
    <w:tbl>
      <w:tblPr>
        <w:tblW w:w="7545" w:type="dxa"/>
        <w:jc w:val="left"/>
        <w:tblInd w:w="0" w:type="dxa"/>
        <w:tblLayout w:type="fixed"/>
        <w:tblCellMar>
          <w:top w:w="0" w:type="dxa"/>
          <w:left w:w="0" w:type="dxa"/>
          <w:bottom w:w="0" w:type="dxa"/>
          <w:right w:w="0" w:type="dxa"/>
        </w:tblCellMar>
      </w:tblPr>
      <w:tblGrid>
        <w:gridCol w:w="5210"/>
        <w:gridCol w:w="60"/>
        <w:gridCol w:w="60"/>
        <w:gridCol w:w="980"/>
        <w:gridCol w:w="60"/>
        <w:gridCol w:w="60"/>
        <w:gridCol w:w="60"/>
        <w:gridCol w:w="980"/>
        <w:gridCol w:w="75"/>
      </w:tblGrid>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3" w:name="xdx_49F_20251001__20260331_zFkDE8rvfNs1"/>
            <w:bookmarkEnd w:id="763"/>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4" w:name="xdx_49B_20241001__20250331_zvifpZJMM847"/>
            <w:bookmarkEnd w:id="764"/>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bookmarkStart w:id="765" w:name="xdx_404_eus-gaap--AntidilutiveSecurities"/>
            <w:bookmarkEnd w:id="765"/>
          </w:p>
        </w:tc>
      </w:tr>
      <w:tr>
        <w:trPr/>
        <w:tc>
          <w:tcPr>
            <w:tcW w:w="5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2,608,568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1,551,878</w:t>
            </w:r>
          </w:p>
        </w:tc>
        <w:tc>
          <w:tcPr>
            <w:tcW w:w="75" w:type="dxa"/>
            <w:tcBorders/>
            <w:shd w:fill="CCEEFF" w:val="clear"/>
            <w:vAlign w:val="center"/>
          </w:tcPr>
          <w:p>
            <w:pPr>
              <w:pStyle w:val="TableContents"/>
              <w:bidi w:val="0"/>
              <w:spacing w:before="0" w:after="283"/>
              <w:jc w:val="left"/>
              <w:rPr/>
            </w:pPr>
            <w:r>
              <w:rPr/>
              <w:t> </w:t>
            </w:r>
            <w:bookmarkStart w:id="766" w:name="xdx_406_eus-gaap--AntidilutiveSecurities"/>
            <w:bookmarkEnd w:id="766"/>
          </w:p>
        </w:tc>
      </w:tr>
      <w:tr>
        <w:trPr/>
        <w:tc>
          <w:tcPr>
            <w:tcW w:w="52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potentially issuable under earnout arrangements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414,281</w:t>
            </w:r>
          </w:p>
        </w:tc>
        <w:tc>
          <w:tcPr>
            <w:tcW w:w="75" w:type="dxa"/>
            <w:tcBorders/>
            <w:shd w:fill="FFFFFF" w:val="clear"/>
            <w:vAlign w:val="center"/>
          </w:tcPr>
          <w:p>
            <w:pPr>
              <w:pStyle w:val="TableContents"/>
              <w:bidi w:val="0"/>
              <w:spacing w:before="0" w:after="283"/>
              <w:jc w:val="left"/>
              <w:rPr/>
            </w:pPr>
            <w:r>
              <w:rPr/>
              <w:t> </w:t>
            </w:r>
            <w:bookmarkStart w:id="767" w:name="xdx_401_eus-gaap--AntidilutiveSecurities"/>
            <w:bookmarkEnd w:id="767"/>
          </w:p>
        </w:tc>
      </w:tr>
      <w:tr>
        <w:trPr/>
        <w:tc>
          <w:tcPr>
            <w:tcW w:w="5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RSAs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768" w:name="xdx_403_eus-gaap--AntidilutiveSecurities"/>
            <w:bookmarkEnd w:id="768"/>
          </w:p>
        </w:tc>
      </w:tr>
      <w:tr>
        <w:trPr/>
        <w:tc>
          <w:tcPr>
            <w:tcW w:w="52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559,732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622,824</w:t>
            </w:r>
          </w:p>
        </w:tc>
        <w:tc>
          <w:tcPr>
            <w:tcW w:w="75" w:type="dxa"/>
            <w:tcBorders/>
            <w:shd w:fill="FFFFFF" w:val="clear"/>
            <w:vAlign w:val="center"/>
          </w:tcPr>
          <w:p>
            <w:pPr>
              <w:pStyle w:val="TableContents"/>
              <w:bidi w:val="0"/>
              <w:spacing w:before="0" w:after="283"/>
              <w:jc w:val="left"/>
              <w:rPr/>
            </w:pPr>
            <w:r>
              <w:rPr/>
              <w:t> </w:t>
            </w:r>
            <w:bookmarkStart w:id="769" w:name="xdx_408_eus-gaap--AntidilutiveSecurities"/>
            <w:bookmarkEnd w:id="769"/>
          </w:p>
        </w:tc>
      </w:tr>
      <w:tr>
        <w:trPr/>
        <w:tc>
          <w:tcPr>
            <w:tcW w:w="5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262,480</w:t>
            </w:r>
          </w:p>
        </w:tc>
        <w:tc>
          <w:tcPr>
            <w:tcW w:w="75" w:type="dxa"/>
            <w:tcBorders/>
            <w:shd w:fill="CCEEFF" w:val="clear"/>
            <w:vAlign w:val="center"/>
          </w:tcPr>
          <w:p>
            <w:pPr>
              <w:pStyle w:val="TableContents"/>
              <w:bidi w:val="0"/>
              <w:spacing w:before="0" w:after="283"/>
              <w:jc w:val="left"/>
              <w:rPr/>
            </w:pPr>
            <w:r>
              <w:rPr/>
              <w:t> </w:t>
            </w:r>
            <w:bookmarkStart w:id="770" w:name="xdx_40F_eus-gaap--AntidilutiveSecurities"/>
            <w:bookmarkEnd w:id="770"/>
          </w:p>
        </w:tc>
      </w:tr>
      <w:tr>
        <w:trPr/>
        <w:tc>
          <w:tcPr>
            <w:tcW w:w="52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4,144,871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2,851,463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71" w:name="xdx_8A5_zdTH1DfR9iZ2"/>
      <w:bookmarkEnd w:id="77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2" w:name="xdx_80C_eus-gaap--ConcentrationRiskDiscl"/>
      <w:bookmarkEnd w:id="772"/>
      <w:r>
        <w:rPr>
          <w:rFonts w:ascii="Times New Roman;Times;Serif" w:hAnsi="Times New Roman;Times;Serif"/>
          <w:b/>
          <w:i w:val="false"/>
          <w:caps w:val="false"/>
          <w:smallCaps w:val="false"/>
          <w:sz w:val="20"/>
        </w:rPr>
        <w:t xml:space="preserve">Note 16 — </w:t>
      </w:r>
      <w:bookmarkStart w:id="773" w:name="xdx_827_z2w2BQot6id6"/>
      <w:bookmarkEnd w:id="773"/>
      <w:r>
        <w:rPr>
          <w:rFonts w:ascii="Times New Roman;Times;Serif" w:hAnsi="Times New Roman;Times;Serif"/>
          <w:b/>
          <w:i w:val="false"/>
          <w:caps w:val="false"/>
          <w:smallCaps w:val="false"/>
          <w:sz w:val="20"/>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March 31, 2026, three customers accounted for </w:t>
      </w:r>
      <w:bookmarkStart w:id="774" w:name="xdx_900_eus-gaap--ConcentrationRiskPerce"/>
      <w:bookmarkEnd w:id="774"/>
      <w:r>
        <w:rPr>
          <w:rFonts w:ascii="Times New Roman;Times;Serif" w:hAnsi="Times New Roman;Times;Serif"/>
          <w:b w:val="false"/>
          <w:i w:val="false"/>
          <w:caps w:val="false"/>
          <w:smallCaps w:val="false"/>
          <w:sz w:val="20"/>
        </w:rPr>
        <w:t xml:space="preserve">42% of the Company’s net revenue. For the three months ended March 31, 2025, one customer accounted for </w:t>
      </w:r>
      <w:bookmarkStart w:id="775" w:name="xdx_905_eus-gaap--ConcentrationRiskPerce"/>
      <w:bookmarkEnd w:id="775"/>
      <w:r>
        <w:rPr>
          <w:rFonts w:ascii="Times New Roman;Times;Serif" w:hAnsi="Times New Roman;Times;Serif"/>
          <w:b w:val="false"/>
          <w:i w:val="false"/>
          <w:caps w:val="false"/>
          <w:smallCaps w:val="false"/>
          <w:sz w:val="20"/>
        </w:rPr>
        <w:t xml:space="preserve">60% of the Company’s net revenue. For the six months ended March 31, 2026, three customers accounted for </w:t>
      </w:r>
      <w:bookmarkStart w:id="776" w:name="xdx_900_eus-gaap--ConcentrationRiskPerce"/>
      <w:bookmarkEnd w:id="776"/>
      <w:r>
        <w:rPr>
          <w:rFonts w:ascii="Times New Roman;Times;Serif" w:hAnsi="Times New Roman;Times;Serif"/>
          <w:b w:val="false"/>
          <w:i w:val="false"/>
          <w:caps w:val="false"/>
          <w:smallCaps w:val="false"/>
          <w:sz w:val="20"/>
        </w:rPr>
        <w:t xml:space="preserve">41% of the Company’s net revenue. For the six months ended March 31, 2025, one customer accounted for </w:t>
      </w:r>
      <w:bookmarkStart w:id="777" w:name="xdx_90A_eus-gaap--ConcentrationRiskPerce"/>
      <w:bookmarkEnd w:id="777"/>
      <w:r>
        <w:rPr>
          <w:rFonts w:ascii="Times New Roman;Times;Serif" w:hAnsi="Times New Roman;Times;Serif"/>
          <w:b w:val="false"/>
          <w:i w:val="false"/>
          <w:caps w:val="false"/>
          <w:smallCaps w:val="false"/>
          <w:sz w:val="20"/>
        </w:rPr>
        <w:t xml:space="preserve">64% of the Company’s net revenue. No other customer accounted for more than </w:t>
      </w:r>
      <w:bookmarkStart w:id="778" w:name="xdx_905_eus-gaap--ConcentrationRiskPerce"/>
      <w:bookmarkEnd w:id="778"/>
      <w:r>
        <w:rPr>
          <w:rFonts w:ascii="Times New Roman;Times;Serif" w:hAnsi="Times New Roman;Times;Serif"/>
          <w:b w:val="false"/>
          <w:i w:val="false"/>
          <w:caps w:val="false"/>
          <w:smallCaps w:val="false"/>
          <w:sz w:val="20"/>
        </w:rPr>
        <w:t>10% of net revenue in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two customers had balances due that represented </w:t>
      </w:r>
      <w:bookmarkStart w:id="779" w:name="xdx_90D_eus-gaap--ConcentrationRiskPerce"/>
      <w:bookmarkEnd w:id="779"/>
      <w:r>
        <w:rPr>
          <w:rFonts w:ascii="Times New Roman;Times;Serif" w:hAnsi="Times New Roman;Times;Serif"/>
          <w:b w:val="false"/>
          <w:i w:val="false"/>
          <w:caps w:val="false"/>
          <w:smallCaps w:val="false"/>
          <w:sz w:val="20"/>
        </w:rPr>
        <w:t xml:space="preserve">34% of the Company’s total accounts receivable. As of September 30, 2025, two customers had balances due that represented </w:t>
      </w:r>
      <w:bookmarkStart w:id="780" w:name="xdx_901_eus-gaap--ConcentrationRiskPerce"/>
      <w:bookmarkEnd w:id="780"/>
      <w:r>
        <w:rPr>
          <w:rFonts w:ascii="Times New Roman;Times;Serif" w:hAnsi="Times New Roman;Times;Serif"/>
          <w:b w:val="false"/>
          <w:i w:val="false"/>
          <w:caps w:val="false"/>
          <w:smallCaps w:val="false"/>
          <w:sz w:val="20"/>
        </w:rPr>
        <w:t>30% of the Company’s total accounts receivable.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1" w:name="xdx_801_eus-gaap--SegmentReportingDisclo"/>
      <w:bookmarkEnd w:id="781"/>
      <w:r>
        <w:rPr>
          <w:rFonts w:ascii="Times New Roman;Times;Serif" w:hAnsi="Times New Roman;Times;Serif"/>
          <w:b/>
          <w:i w:val="false"/>
          <w:caps w:val="false"/>
          <w:smallCaps w:val="false"/>
          <w:sz w:val="20"/>
        </w:rPr>
        <w:t xml:space="preserve">Note 17 — </w:t>
      </w:r>
      <w:bookmarkStart w:id="782" w:name="xdx_82E_zXrw6B1esWY"/>
      <w:bookmarkEnd w:id="782"/>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operating segment. The Company’s chief operating decision maker (“CODM”) is its Chief Executive Officer. All significant operating decisions are based upon analysis of the Company as one operating segment to allocate resources, make operating decisions, and evaluate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considers consolidated net income (loss) to be the measure of segment profit and loss for monitoring budget versus actual results, performing variance analysis, and forecasting future performance. The CODM considers the impact of significant segment expenses on net income, which are the same expenses presented on the condensed consolidated statements of operations and comprehensive loss when making operating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condensed consolidated balance sheets as total assets. The CODM does not review segment assets at a level other than that presented in the Company’s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by Geographic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83" w:name="xdx_89F_eus-gaap--RevenueFromExternalCus"/>
      <w:bookmarkEnd w:id="783"/>
      <w:r>
        <w:rPr>
          <w:rFonts w:ascii="Times New Roman;Times;Serif" w:hAnsi="Times New Roman;Times;Serif"/>
          <w:b w:val="false"/>
          <w:i w:val="false"/>
          <w:caps w:val="false"/>
          <w:smallCaps w:val="false"/>
          <w:sz w:val="20"/>
        </w:rPr>
        <w:t>The Company’s net revenue by geographic region, based on ship-to location, is summarized as follows:</w:t>
      </w:r>
    </w:p>
    <w:p>
      <w:pPr>
        <w:pStyle w:val="TextBody"/>
        <w:bidi w:val="0"/>
        <w:spacing w:before="0" w:after="0"/>
        <w:ind w:left="0" w:right="0" w:hanging="0"/>
        <w:jc w:val="both"/>
        <w:rPr>
          <w:caps w:val="false"/>
          <w:smallCaps w:val="false"/>
        </w:rPr>
      </w:pPr>
      <w:r>
        <w:rPr>
          <w:caps w:val="false"/>
          <w:smallCaps w:val="false"/>
        </w:rPr>
        <w:t> </w:t>
      </w:r>
      <w:bookmarkStart w:id="784" w:name="xdx_8B4_zOXjn4czJmtj"/>
      <w:bookmarkEnd w:id="784"/>
      <w:r>
        <w:rPr>
          <w:rFonts w:ascii="Times New Roman;Times;Serif" w:hAnsi="Times New Roman;Times;Serif"/>
          <w:b w:val="false"/>
          <w:i w:val="false"/>
          <w:caps w:val="false"/>
          <w:smallCaps w:val="false"/>
          <w:sz w:val="20"/>
        </w:rPr>
        <w:t>Schedule of Company’s Net Revenue by Geographic Region </w:t>
      </w:r>
    </w:p>
    <w:tbl>
      <w:tblPr>
        <w:tblW w:w="5872" w:type="dxa"/>
        <w:jc w:val="left"/>
        <w:tblInd w:w="0" w:type="dxa"/>
        <w:tblLayout w:type="fixed"/>
        <w:tblCellMar>
          <w:top w:w="0" w:type="dxa"/>
          <w:left w:w="0" w:type="dxa"/>
          <w:bottom w:w="0" w:type="dxa"/>
          <w:right w:w="0" w:type="dxa"/>
        </w:tblCellMar>
      </w:tblPr>
      <w:tblGrid>
        <w:gridCol w:w="1685"/>
        <w:gridCol w:w="60"/>
        <w:gridCol w:w="221"/>
        <w:gridCol w:w="601"/>
        <w:gridCol w:w="94"/>
        <w:gridCol w:w="94"/>
        <w:gridCol w:w="221"/>
        <w:gridCol w:w="885"/>
        <w:gridCol w:w="60"/>
        <w:gridCol w:w="60"/>
        <w:gridCol w:w="167"/>
        <w:gridCol w:w="670"/>
        <w:gridCol w:w="71"/>
        <w:gridCol w:w="71"/>
        <w:gridCol w:w="167"/>
        <w:gridCol w:w="670"/>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85" w:name="xdx_49F_20260101__20260331_z2RgwF3RSLmg"/>
            <w:bookmarkEnd w:id="785"/>
          </w:p>
        </w:tc>
        <w:tc>
          <w:tcPr>
            <w:tcW w:w="8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bookmarkStart w:id="786" w:name="xdx_49D_20250101__20250331_zXolabqFuebi"/>
            <w:bookmarkEnd w:id="786"/>
          </w:p>
        </w:tc>
        <w:tc>
          <w:tcPr>
            <w:tcW w:w="11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87" w:name="xdx_498_20251001__20260331_zwOt0RkVimn8"/>
            <w:bookmarkEnd w:id="787"/>
          </w:p>
        </w:tc>
        <w:tc>
          <w:tcPr>
            <w:tcW w:w="8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bookmarkStart w:id="788" w:name="xdx_490_20241001__20250331_zmycT4Oy53mg"/>
            <w:bookmarkEnd w:id="788"/>
          </w:p>
        </w:tc>
        <w:tc>
          <w:tcPr>
            <w:tcW w:w="8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6"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6"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Six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 w:type="dxa"/>
            <w:gridSpan w:val="2"/>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0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7" w:type="dxa"/>
            <w:gridSpan w:val="2"/>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7"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789" w:name="xdx_404_eus-gaap--RevenueFromContractWit"/>
            <w:bookmarkEnd w:id="789"/>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2,647</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5,313</w:t>
            </w:r>
          </w:p>
        </w:tc>
        <w:tc>
          <w:tcPr>
            <w:tcW w:w="75" w:type="dxa"/>
            <w:tcBorders/>
            <w:shd w:fill="CCEEFF" w:val="clear"/>
            <w:vAlign w:val="center"/>
          </w:tcPr>
          <w:p>
            <w:pPr>
              <w:pStyle w:val="TableContents"/>
              <w:bidi w:val="0"/>
              <w:spacing w:before="0" w:after="283"/>
              <w:jc w:val="left"/>
              <w:rPr/>
            </w:pPr>
            <w:r>
              <w:rPr/>
              <w:t> </w:t>
            </w:r>
            <w:bookmarkStart w:id="790" w:name="xdx_40A_eus-gaap--RevenueFromContractWit"/>
            <w:bookmarkEnd w:id="790"/>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w:t>
            </w:r>
          </w:p>
        </w:tc>
        <w:tc>
          <w:tcPr>
            <w:tcW w:w="75" w:type="dxa"/>
            <w:tcBorders/>
            <w:shd w:fill="FFFFFF" w:val="clear"/>
            <w:vAlign w:val="center"/>
          </w:tcPr>
          <w:p>
            <w:pPr>
              <w:pStyle w:val="TableContents"/>
              <w:bidi w:val="0"/>
              <w:spacing w:before="0" w:after="283"/>
              <w:jc w:val="left"/>
              <w:rPr/>
            </w:pPr>
            <w:r>
              <w:rPr/>
              <w:t> </w:t>
            </w:r>
            <w:bookmarkStart w:id="791" w:name="xdx_40A_eus-gaap--RevenueFromContractWit"/>
            <w:bookmarkEnd w:id="791"/>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net revenue</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92" w:name="xdx_8A5_z8Flbku7SOz"/>
      <w:bookmarkEnd w:id="792"/>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long-lived assets are located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3" w:name="xdx_803_eus-gaap--SubsequentEventsTextBl"/>
      <w:bookmarkEnd w:id="793"/>
      <w:r>
        <w:rPr>
          <w:rFonts w:ascii="Times New Roman;Times;Serif" w:hAnsi="Times New Roman;Times;Serif"/>
          <w:b/>
          <w:i w:val="false"/>
          <w:caps w:val="false"/>
          <w:smallCaps w:val="false"/>
          <w:sz w:val="20"/>
        </w:rPr>
        <w:t xml:space="preserve">Note 18 — </w:t>
      </w:r>
      <w:bookmarkStart w:id="794" w:name="xdx_821_zgUQ4Va8PHH8"/>
      <w:bookmarkEnd w:id="794"/>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 2026, the Company’s board of directors approved a reverse stock split of its Class A common stock and Class B common stock at a ratio of </w:t>
      </w:r>
      <w:bookmarkStart w:id="795" w:name="xdx_905_eus-gaap--StockholdersEquityReve"/>
      <w:bookmarkEnd w:id="795"/>
      <w:r>
        <w:rPr>
          <w:rFonts w:ascii="Times New Roman;Times;Serif" w:hAnsi="Times New Roman;Times;Serif"/>
          <w:b w:val="false"/>
          <w:i w:val="false"/>
          <w:caps w:val="false"/>
          <w:smallCaps w:val="false"/>
          <w:sz w:val="20"/>
        </w:rPr>
        <w:t>1-for-10 (the “</w:t>
      </w:r>
      <w:r>
        <w:rPr>
          <w:rFonts w:ascii="Times New Roman;Times;Serif" w:hAnsi="Times New Roman;Times;Serif"/>
          <w:b w:val="false"/>
          <w:i/>
          <w:caps w:val="false"/>
          <w:smallCaps w:val="false"/>
          <w:sz w:val="20"/>
        </w:rPr>
        <w:t>Reverse Stock Split”</w:t>
      </w:r>
      <w:r>
        <w:rPr>
          <w:rFonts w:ascii="Times New Roman;Times;Serif" w:hAnsi="Times New Roman;Times;Serif"/>
          <w:b w:val="false"/>
          <w:i w:val="false"/>
          <w:caps w:val="false"/>
          <w:smallCaps w:val="false"/>
          <w:sz w:val="20"/>
        </w:rPr>
        <w:t>). The Reverse Stock Split became effective at 4:00 p.m. Eastern Time on April 6, 2026, and the Company’s Class A common stock began trading on a post-split adjusted basis on April 7, 2026. The number of authorized shares and par value per share were not adjusted as a result of the Reverse Stock Split. All references to shares, options to purchase common stock, share amounts, per share amounts, and related information contained in the condensed consolidated financial statements have been retrospectively adjusted to reflect the effect of the Reverse Stock Split for all periods presented.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The number of warrants outstanding was not reduced as a result of the Reverse Stock Split. Rather,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condensed consolidated financial statements. No fractional shares were issued in connection with the Reverse Stock Split, and cash was paid in lieu of fractional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entered into a First Amendment to the Securities Purchase Agreement and Senior Secured Convertible Note (the “First Amendment”) with Leviston Resources, LLC (“Leviston”), amending the Senior Secured Convertible Note originally issued on March 31, 2026 (the “Original Note”). Pursuant to the First Amendment, Leviston advanced an additional $</w:t>
      </w:r>
      <w:bookmarkStart w:id="796" w:name="xdx_906_eus-gaap--DebtInstrumentFaceAmou"/>
      <w:bookmarkEnd w:id="796"/>
      <w:r>
        <w:rPr>
          <w:rFonts w:ascii="Times New Roman;Times;Serif" w:hAnsi="Times New Roman;Times;Serif"/>
          <w:b w:val="false"/>
          <w:i w:val="false"/>
          <w:caps w:val="false"/>
          <w:smallCaps w:val="false"/>
          <w:sz w:val="20"/>
        </w:rPr>
        <w:t>833 to the Company, increasing the total funded amount under the Original Note to $</w:t>
      </w:r>
      <w:bookmarkStart w:id="797" w:name="xdx_90E_eus-gaap--DebtInstrumentRepurcha"/>
      <w:bookmarkEnd w:id="797"/>
      <w:r>
        <w:rPr>
          <w:rFonts w:ascii="Times New Roman;Times;Serif" w:hAnsi="Times New Roman;Times;Serif"/>
          <w:b w:val="false"/>
          <w:i w:val="false"/>
          <w:caps w:val="false"/>
          <w:smallCaps w:val="false"/>
          <w:sz w:val="20"/>
        </w:rPr>
        <w:t xml:space="preserve">3,333. The First Amendment increased the aggregate principal amount of the Original Note, inclusive of a </w:t>
      </w:r>
      <w:bookmarkStart w:id="798" w:name="xdx_90E_eus-gaap--DebtInstrumentInterest"/>
      <w:bookmarkEnd w:id="798"/>
      <w:r>
        <w:rPr>
          <w:rFonts w:ascii="Times New Roman;Times;Serif" w:hAnsi="Times New Roman;Times;Serif"/>
          <w:b w:val="false"/>
          <w:i w:val="false"/>
          <w:caps w:val="false"/>
          <w:smallCaps w:val="false"/>
          <w:sz w:val="20"/>
        </w:rPr>
        <w:t>16.667% original issue discount, from $</w:t>
      </w:r>
      <w:bookmarkStart w:id="799" w:name="xdx_908_eus-gaap--DebtInstrumentUnamorti"/>
      <w:bookmarkEnd w:id="799"/>
      <w:r>
        <w:rPr>
          <w:rFonts w:ascii="Times New Roman;Times;Serif" w:hAnsi="Times New Roman;Times;Serif"/>
          <w:b w:val="false"/>
          <w:i w:val="false"/>
          <w:caps w:val="false"/>
          <w:smallCaps w:val="false"/>
          <w:sz w:val="20"/>
        </w:rPr>
        <w:t>3,000 to $</w:t>
      </w:r>
      <w:bookmarkStart w:id="800" w:name="xdx_902_eus-gaap--DebtInstrumentUnamorti"/>
      <w:bookmarkEnd w:id="800"/>
      <w:r>
        <w:rPr>
          <w:rFonts w:ascii="Times New Roman;Times;Serif" w:hAnsi="Times New Roman;Times;Serif"/>
          <w:b w:val="false"/>
          <w:i w:val="false"/>
          <w:caps w:val="false"/>
          <w:smallCaps w:val="false"/>
          <w:sz w:val="20"/>
        </w:rPr>
        <w:t>4,000. Interest on the incremental $</w:t>
      </w:r>
      <w:bookmarkStart w:id="801" w:name="xdx_903_eus-gaap--DebtInstrumentIssuedPr"/>
      <w:bookmarkEnd w:id="801"/>
      <w:r>
        <w:rPr>
          <w:rFonts w:ascii="Times New Roman;Times;Serif" w:hAnsi="Times New Roman;Times;Serif"/>
          <w:b w:val="false"/>
          <w:i w:val="false"/>
          <w:caps w:val="false"/>
          <w:smallCaps w:val="false"/>
          <w:sz w:val="20"/>
        </w:rPr>
        <w:t>1,000 of principal created by the First Amendment commenced accruing on May 13, 2026; interest on the original $</w:t>
      </w:r>
      <w:bookmarkStart w:id="802" w:name="xdx_902_eus-gaap--DebtInstrumentPeriodic"/>
      <w:bookmarkEnd w:id="802"/>
      <w:r>
        <w:rPr>
          <w:rFonts w:ascii="Times New Roman;Times;Serif" w:hAnsi="Times New Roman;Times;Serif"/>
          <w:b w:val="false"/>
          <w:i w:val="false"/>
          <w:caps w:val="false"/>
          <w:smallCaps w:val="false"/>
          <w:sz w:val="20"/>
        </w:rPr>
        <w:t>3,000 principal continues to accrue in accordance with the terms of the Original Note as in effect immediately prior to May 13, 2026. The Company intends to use the proceeds for working capital and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entered into an Investor Rights Agreement (the “IRA”) with Leviston, in connection with the Senior Secured Convertible Note originally entered into on March 31, 2026 and amended pursuant to the First Amendment described above. Pursuant to the IRA, the Company granted Leviston the right, but not the obligation, to purchase one or more additional senior secured convertible notes (each, an “Additional Note”) from the Company during the seven-month period commencing May 13, 2026 and ending December 13, 2026, in an aggregate principal amount not to exceed $</w:t>
      </w:r>
      <w:bookmarkStart w:id="803" w:name="xdx_906_eus-gaap--DebtInstrumentFaceAmou"/>
      <w:bookmarkEnd w:id="803"/>
      <w:r>
        <w:rPr>
          <w:rFonts w:ascii="Times New Roman;Times;Serif" w:hAnsi="Times New Roman;Times;Serif"/>
          <w:b w:val="false"/>
          <w:i w:val="false"/>
          <w:caps w:val="false"/>
          <w:smallCaps w:val="false"/>
          <w:sz w:val="20"/>
        </w:rPr>
        <w:t>4,000, with a corresponding maximum aggregate cash subscription amount of approximately $</w:t>
      </w:r>
      <w:bookmarkStart w:id="804" w:name="xdx_904_eus-gaap--DebtInstrumentRepurcha"/>
      <w:bookmarkEnd w:id="804"/>
      <w:r>
        <w:rPr>
          <w:rFonts w:ascii="Times New Roman;Times;Serif" w:hAnsi="Times New Roman;Times;Serif"/>
          <w:b w:val="false"/>
          <w:i w:val="false"/>
          <w:caps w:val="false"/>
          <w:smallCaps w:val="false"/>
          <w:sz w:val="20"/>
        </w:rPr>
        <w:t xml:space="preserve">3,333, reflecting the same </w:t>
      </w:r>
      <w:bookmarkStart w:id="805" w:name="xdx_90E_eus-gaap--DebtInstrumentInterest"/>
      <w:bookmarkEnd w:id="805"/>
      <w:r>
        <w:rPr>
          <w:rFonts w:ascii="Times New Roman;Times;Serif" w:hAnsi="Times New Roman;Times;Serif"/>
          <w:b w:val="false"/>
          <w:i w:val="false"/>
          <w:caps w:val="false"/>
          <w:smallCaps w:val="false"/>
          <w:sz w:val="20"/>
        </w:rPr>
        <w:t xml:space="preserve">16.667% original issue discount as the Original Note. </w:t>
      </w:r>
      <w:bookmarkStart w:id="806" w:name="xdx_902_eus-gaap--DebtInstrumentDescript"/>
      <w:bookmarkEnd w:id="806"/>
      <w:r>
        <w:rPr>
          <w:rFonts w:ascii="Times New Roman;Times;Serif" w:hAnsi="Times New Roman;Times;Serif"/>
          <w:b w:val="false"/>
          <w:i w:val="false"/>
          <w:caps w:val="false"/>
          <w:smallCaps w:val="false"/>
          <w:sz w:val="20"/>
        </w:rPr>
        <w:t>Each Additional Note will be issued in minimum tranches of $</w:t>
      </w:r>
      <w:bookmarkStart w:id="807" w:name="xdx_90C_eus-gaap--DebtInstrumentFaceAmou"/>
      <w:bookmarkEnd w:id="807"/>
      <w:r>
        <w:rPr>
          <w:rFonts w:ascii="Times New Roman;Times;Serif" w:hAnsi="Times New Roman;Times;Serif"/>
          <w:b w:val="false"/>
          <w:i w:val="false"/>
          <w:caps w:val="false"/>
          <w:smallCaps w:val="false"/>
          <w:sz w:val="20"/>
        </w:rPr>
        <w:t>300 of principal, will bear interest at 10% per annum (18% upon an event of default), will mature four months from its respective issuance date, and will be convertible into shares of the Company’s Class A Common Stock at a price equal to the lesser of (i) the closing price of the Common Stock on the applicable issuance date and (ii) 85% of the lowest 8-day volume-weighted average price immediately prior to and including the date of the applicable conversion notice. Any Additional Notes issued under the IRA will constitute senior secured indebtedness of the Company ranking pari passu with, and secured by the same collateral as, the Original Note. The Company intends to use any proceeds from exercises of the Investment Right for working capital and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the Company satisfied in full the entire $</w:t>
      </w:r>
      <w:bookmarkStart w:id="808" w:name="xdx_903_eus-gaap--DebtInstrumentFaceAmou"/>
      <w:bookmarkEnd w:id="808"/>
      <w:r>
        <w:rPr>
          <w:rFonts w:ascii="Times New Roman;Times;Serif" w:hAnsi="Times New Roman;Times;Serif"/>
          <w:b w:val="false"/>
          <w:i w:val="false"/>
          <w:caps w:val="false"/>
          <w:smallCaps w:val="false"/>
          <w:sz w:val="20"/>
        </w:rPr>
        <w:t xml:space="preserve">4,000 of outstanding principal under the Original Note, together with all accrued interest thereon, through the conversion of such amounts into an aggregate of </w:t>
      </w:r>
      <w:bookmarkStart w:id="809" w:name="xdx_909_eus-gaap--DebtConversionConverte"/>
      <w:bookmarkEnd w:id="809"/>
      <w:r>
        <w:rPr>
          <w:rFonts w:ascii="Times New Roman;Times;Serif" w:hAnsi="Times New Roman;Times;Serif"/>
          <w:b w:val="false"/>
          <w:i w:val="false"/>
          <w:caps w:val="false"/>
          <w:smallCaps w:val="false"/>
          <w:sz w:val="20"/>
        </w:rPr>
        <w:t>2,500,000 shares of Common Stock. Upon such full satisfaction, the Original Note, the Securities Purchase Agreement, dated March 31, 2026, between the Company and Leviston (as amended by the First Amendment), and the Registration Rights Agreement, dated March 31, 2026, between the Company and Leviston, terminated in accordance with their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19, 2026, the Company entered into a Securities Purchase Agreement (the “May 2026 Purchase Agreement”) with Kips Bay Select, LP (“Kips”), pursuant to which the Company agreed to sell to Kips (i) </w:t>
      </w:r>
      <w:bookmarkStart w:id="810" w:name="xdx_90E_eus-gaap--SaleOfStockNumberOfSha"/>
      <w:bookmarkEnd w:id="810"/>
      <w:r>
        <w:rPr>
          <w:rFonts w:ascii="Times New Roman;Times;Serif" w:hAnsi="Times New Roman;Times;Serif"/>
          <w:b w:val="false"/>
          <w:i w:val="false"/>
          <w:caps w:val="false"/>
          <w:smallCaps w:val="false"/>
          <w:sz w:val="20"/>
        </w:rPr>
        <w:t>2,000 shares of Series A 10% Convertible Preferred Stock (the “Preferred Shares”) for aggregate gross proceeds of $</w:t>
      </w:r>
      <w:bookmarkStart w:id="811" w:name="xdx_90F_eus-gaap--ProceedsFromIssuanceOf"/>
      <w:bookmarkEnd w:id="811"/>
      <w:r>
        <w:rPr>
          <w:rFonts w:ascii="Times New Roman;Times;Serif" w:hAnsi="Times New Roman;Times;Serif"/>
          <w:b w:val="false"/>
          <w:i w:val="false"/>
          <w:caps w:val="false"/>
          <w:smallCaps w:val="false"/>
          <w:sz w:val="20"/>
        </w:rPr>
        <w:t xml:space="preserve">2,400, and (ii) a Preferred Stock Purchase Warrant (the “Warrant”) to purchase up to an additional </w:t>
      </w:r>
      <w:bookmarkStart w:id="812" w:name="xdx_90F_eus-gaap--ClassOfWarrantOrRightN"/>
      <w:bookmarkEnd w:id="812"/>
      <w:r>
        <w:rPr>
          <w:rFonts w:ascii="Times New Roman;Times;Serif" w:hAnsi="Times New Roman;Times;Serif"/>
          <w:b w:val="false"/>
          <w:i w:val="false"/>
          <w:caps w:val="false"/>
          <w:smallCaps w:val="false"/>
          <w:sz w:val="20"/>
        </w:rPr>
        <w:t>6,000 shares of Series A 10% Convertible Preferred Stock at an exercise price of $</w:t>
      </w:r>
      <w:bookmarkStart w:id="813" w:name="xdx_907_eus-gaap--ClassOfWarrantOrRightE"/>
      <w:bookmarkEnd w:id="813"/>
      <w:r>
        <w:rPr>
          <w:rFonts w:ascii="Times New Roman;Times;Serif" w:hAnsi="Times New Roman;Times;Serif"/>
          <w:b w:val="false"/>
          <w:i w:val="false"/>
          <w:caps w:val="false"/>
          <w:smallCaps w:val="false"/>
          <w:sz w:val="20"/>
        </w:rPr>
        <w:t>1,000 per share. Kips funded $</w:t>
      </w:r>
      <w:bookmarkStart w:id="814" w:name="xdx_90B_eus-gaap--WarrantsAndRightsOutst"/>
      <w:bookmarkEnd w:id="814"/>
      <w:r>
        <w:rPr>
          <w:rFonts w:ascii="Times New Roman;Times;Serif" w:hAnsi="Times New Roman;Times;Serif"/>
          <w:b w:val="false"/>
          <w:i w:val="false"/>
          <w:caps w:val="false"/>
          <w:smallCaps w:val="false"/>
          <w:sz w:val="20"/>
        </w:rPr>
        <w:t>2,000, reflecting an original issue discount of $</w:t>
      </w:r>
      <w:bookmarkStart w:id="815" w:name="xdx_90A_eus-gaap--DebtInstrumentUnamorti"/>
      <w:bookmarkEnd w:id="815"/>
      <w:r>
        <w:rPr>
          <w:rFonts w:ascii="Times New Roman;Times;Serif" w:hAnsi="Times New Roman;Times;Serif"/>
          <w:b w:val="false"/>
          <w:i w:val="false"/>
          <w:caps w:val="false"/>
          <w:smallCaps w:val="false"/>
          <w:sz w:val="20"/>
        </w:rPr>
        <w:t>400, and $</w:t>
      </w:r>
      <w:bookmarkStart w:id="816" w:name="xdx_907_eus-gaap--LegalFees_c20260519__2"/>
      <w:bookmarkEnd w:id="816"/>
      <w:r>
        <w:rPr>
          <w:rFonts w:ascii="Times New Roman;Times;Serif" w:hAnsi="Times New Roman;Times;Serif"/>
          <w:b w:val="false"/>
          <w:i w:val="false"/>
          <w:caps w:val="false"/>
          <w:smallCaps w:val="false"/>
          <w:sz w:val="20"/>
        </w:rPr>
        <w:t>25 was withheld for legal fees, resulting in net proceeds to the Company of $</w:t>
      </w:r>
      <w:bookmarkStart w:id="817" w:name="xdx_909_eus-gaap--ProceedsFromOtherDebt_"/>
      <w:bookmarkEnd w:id="817"/>
      <w:r>
        <w:rPr>
          <w:rFonts w:ascii="Times New Roman;Times;Serif" w:hAnsi="Times New Roman;Times;Serif"/>
          <w:b w:val="false"/>
          <w:i w:val="false"/>
          <w:caps w:val="false"/>
          <w:smallCaps w:val="false"/>
          <w:sz w:val="20"/>
        </w:rPr>
        <w:t>1,975. Dividends are payable in cash, or at the Company’s option, Preferred Shares. The Preferred Shares and any shares issued upon exercise of the Preferred Warrant are convertible into shares of our Class A Common Stock in accordance with the terms of the Certificate of Designation of Preferences, Rights and Limitations of Series A 10% Convertible Preferred Stock (the “COD”). In connection with the transaction, on May 19, 2026, we also entered into a Registration Rights Agreement with Kips (the “Registration Rights Agreement”) pursuant to which we agreed to register the resale of shares of Class A Common Stock issuable upon conversion of the Preferred Shares and upon exercise of the Preferred Warrant.</w:t>
      </w:r>
    </w:p>
    <w:p>
      <w:pPr>
        <w:pStyle w:val="TextBody"/>
        <w:bidi w:val="0"/>
        <w:spacing w:before="0" w:after="0"/>
        <w:ind w:left="0" w:right="0" w:hanging="0"/>
        <w:jc w:val="both"/>
        <w:rPr>
          <w:caps w:val="false"/>
          <w:smallCaps w:val="false"/>
        </w:rPr>
      </w:pPr>
      <w:bookmarkStart w:id="818" w:name="xdx_816_zJhqqvbPZs6"/>
      <w:bookmarkEnd w:id="81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19" w:name="sd_001"/>
      <w:bookmarkEnd w:id="81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 Mobix Labs,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Mobix Labs, Inc. and its subsidiaries (the “Company”) as of September 30, 2025 and 2024, and the related consolidated statements of operations and comprehensive loss, of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September 30, 2025 and 2024, and the results of its operations and its cash flows for the years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incurred operating losses and negative cash flows from operations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2026, except for the effects of the reverse stock split discussed in Note 21 to the consolidated financial statements, as to which the date is April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2022.</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20" w:name="xdx_046_c20241001__20250930_zWLytcIiwCal"/>
      <w:bookmarkEnd w:id="82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21" w:name="sd_002"/>
      <w:bookmarkEnd w:id="821"/>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22" w:name="xdx_307_111_pn3n3_zdnkAg6c9gKe"/>
      <w:bookmarkStart w:id="823" w:name="xdx_307_111_pn3n3_zdnkAg6c9gKe"/>
      <w:bookmarkEnd w:id="823"/>
    </w:p>
    <w:tbl>
      <w:tblPr>
        <w:tblW w:w="10205" w:type="dxa"/>
        <w:jc w:val="left"/>
        <w:tblInd w:w="0" w:type="dxa"/>
        <w:tblLayout w:type="fixed"/>
        <w:tblCellMar>
          <w:top w:w="0" w:type="dxa"/>
          <w:left w:w="0" w:type="dxa"/>
          <w:bottom w:w="0" w:type="dxa"/>
          <w:right w:w="0" w:type="dxa"/>
        </w:tblCellMar>
      </w:tblPr>
      <w:tblGrid>
        <w:gridCol w:w="7850"/>
        <w:gridCol w:w="60"/>
        <w:gridCol w:w="140"/>
        <w:gridCol w:w="875"/>
        <w:gridCol w:w="95"/>
        <w:gridCol w:w="60"/>
        <w:gridCol w:w="140"/>
        <w:gridCol w:w="875"/>
        <w:gridCol w:w="110"/>
      </w:tblGrid>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4" w:name="xdx_49C_20250930_zSphY1cs4F4"/>
            <w:bookmarkEnd w:id="824"/>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5" w:name="xdx_493_20240930_z3ZUDyM4tma2"/>
            <w:bookmarkEnd w:id="825"/>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826" w:name="xdx_40C_eus-gaap--AssetsAbstract_iB_zuMv"/>
            <w:bookmarkEnd w:id="826"/>
          </w:p>
        </w:tc>
      </w:tr>
      <w:tr>
        <w:trPr/>
        <w:tc>
          <w:tcPr>
            <w:tcW w:w="7850"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27" w:name="xdx_40A_eus-gaap--AssetsCurrentAbstract_"/>
            <w:bookmarkEnd w:id="827"/>
          </w:p>
        </w:tc>
      </w:tr>
      <w:tr>
        <w:trPr/>
        <w:tc>
          <w:tcPr>
            <w:tcW w:w="785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28" w:name="xdx_409_eus-gaap--Cash_i02I_zjnwMRv9puD3"/>
            <w:bookmarkEnd w:id="828"/>
          </w:p>
        </w:tc>
      </w:tr>
      <w:tr>
        <w:trPr/>
        <w:tc>
          <w:tcPr>
            <w:tcW w:w="785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266</w:t>
            </w:r>
          </w:p>
        </w:tc>
        <w:tc>
          <w:tcPr>
            <w:tcW w:w="110" w:type="dxa"/>
            <w:tcBorders/>
            <w:shd w:fill="CCEEFF" w:val="clear"/>
            <w:vAlign w:val="center"/>
          </w:tcPr>
          <w:p>
            <w:pPr>
              <w:pStyle w:val="TableContents"/>
              <w:bidi w:val="0"/>
              <w:spacing w:before="0" w:after="283"/>
              <w:jc w:val="left"/>
              <w:rPr/>
            </w:pPr>
            <w:r>
              <w:rPr/>
              <w:t> </w:t>
            </w:r>
            <w:bookmarkStart w:id="829" w:name="xdx_40E_eus-gaap--AccountsReceivableNetC"/>
            <w:bookmarkEnd w:id="829"/>
          </w:p>
        </w:tc>
      </w:tr>
      <w:tr>
        <w:trPr/>
        <w:tc>
          <w:tcPr>
            <w:tcW w:w="785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2,813</w:t>
            </w:r>
          </w:p>
        </w:tc>
        <w:tc>
          <w:tcPr>
            <w:tcW w:w="110" w:type="dxa"/>
            <w:tcBorders/>
            <w:shd w:fill="FFFFFF" w:val="clear"/>
            <w:vAlign w:val="center"/>
          </w:tcPr>
          <w:p>
            <w:pPr>
              <w:pStyle w:val="TableContents"/>
              <w:bidi w:val="0"/>
              <w:spacing w:before="0" w:after="283"/>
              <w:jc w:val="left"/>
              <w:rPr/>
            </w:pPr>
            <w:r>
              <w:rPr/>
              <w:t> </w:t>
            </w:r>
            <w:bookmarkStart w:id="830" w:name="xdx_405_eus-gaap--InventoryNet_i02I_zUDV"/>
            <w:bookmarkEnd w:id="830"/>
          </w:p>
        </w:tc>
      </w:tr>
      <w:tr>
        <w:trPr/>
        <w:tc>
          <w:tcPr>
            <w:tcW w:w="785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1,725</w:t>
            </w:r>
          </w:p>
        </w:tc>
        <w:tc>
          <w:tcPr>
            <w:tcW w:w="110" w:type="dxa"/>
            <w:tcBorders/>
            <w:shd w:fill="CCEEFF" w:val="clear"/>
            <w:vAlign w:val="center"/>
          </w:tcPr>
          <w:p>
            <w:pPr>
              <w:pStyle w:val="TableContents"/>
              <w:bidi w:val="0"/>
              <w:spacing w:before="0" w:after="283"/>
              <w:jc w:val="left"/>
              <w:rPr/>
            </w:pPr>
            <w:r>
              <w:rPr/>
              <w:t> </w:t>
            </w:r>
            <w:bookmarkStart w:id="831" w:name="xdx_409_eus-gaap--PrepaidExpenseAndOther"/>
            <w:bookmarkEnd w:id="831"/>
          </w:p>
        </w:tc>
      </w:tr>
      <w:tr>
        <w:trPr/>
        <w:tc>
          <w:tcPr>
            <w:tcW w:w="785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467</w:t>
            </w:r>
          </w:p>
        </w:tc>
        <w:tc>
          <w:tcPr>
            <w:tcW w:w="110" w:type="dxa"/>
            <w:tcBorders/>
            <w:shd w:fill="FFFFFF" w:val="clear"/>
            <w:vAlign w:val="center"/>
          </w:tcPr>
          <w:p>
            <w:pPr>
              <w:pStyle w:val="TableContents"/>
              <w:bidi w:val="0"/>
              <w:spacing w:before="0" w:after="283"/>
              <w:jc w:val="left"/>
              <w:rPr/>
            </w:pPr>
            <w:r>
              <w:rPr/>
              <w:t> </w:t>
            </w:r>
            <w:bookmarkStart w:id="832" w:name="xdx_40C_eus-gaap--AssetsCurrent_i02TI_zt"/>
            <w:bookmarkEnd w:id="832"/>
          </w:p>
        </w:tc>
      </w:tr>
      <w:tr>
        <w:trPr/>
        <w:tc>
          <w:tcPr>
            <w:tcW w:w="785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5,271</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33" w:name="xdx_40D_eus-gaap--PropertyPlantAndEquipm"/>
            <w:bookmarkEnd w:id="833"/>
          </w:p>
        </w:tc>
      </w:tr>
      <w:tr>
        <w:trPr/>
        <w:tc>
          <w:tcPr>
            <w:tcW w:w="785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1,177</w:t>
            </w:r>
          </w:p>
        </w:tc>
        <w:tc>
          <w:tcPr>
            <w:tcW w:w="110" w:type="dxa"/>
            <w:tcBorders/>
            <w:shd w:fill="CCEEFF" w:val="clear"/>
            <w:vAlign w:val="center"/>
          </w:tcPr>
          <w:p>
            <w:pPr>
              <w:pStyle w:val="TableContents"/>
              <w:bidi w:val="0"/>
              <w:spacing w:before="0" w:after="283"/>
              <w:jc w:val="left"/>
              <w:rPr/>
            </w:pPr>
            <w:r>
              <w:rPr/>
              <w:t> </w:t>
            </w:r>
            <w:bookmarkStart w:id="834" w:name="xdx_40D_eus-gaap--IntangibleAssetsNetExc"/>
            <w:bookmarkEnd w:id="834"/>
          </w:p>
        </w:tc>
      </w:tr>
      <w:tr>
        <w:trPr/>
        <w:tc>
          <w:tcPr>
            <w:tcW w:w="785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13,519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15,211</w:t>
            </w:r>
          </w:p>
        </w:tc>
        <w:tc>
          <w:tcPr>
            <w:tcW w:w="110" w:type="dxa"/>
            <w:tcBorders/>
            <w:shd w:fill="FFFFFF" w:val="clear"/>
            <w:vAlign w:val="center"/>
          </w:tcPr>
          <w:p>
            <w:pPr>
              <w:pStyle w:val="TableContents"/>
              <w:bidi w:val="0"/>
              <w:spacing w:before="0" w:after="283"/>
              <w:jc w:val="left"/>
              <w:rPr/>
            </w:pPr>
            <w:r>
              <w:rPr/>
              <w:t> </w:t>
            </w:r>
            <w:bookmarkStart w:id="835" w:name="xdx_402_eus-gaap--Goodwill_i01I_zXYbVWJs"/>
            <w:bookmarkEnd w:id="835"/>
          </w:p>
        </w:tc>
      </w:tr>
      <w:tr>
        <w:trPr/>
        <w:tc>
          <w:tcPr>
            <w:tcW w:w="785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16,066</w:t>
            </w:r>
          </w:p>
        </w:tc>
        <w:tc>
          <w:tcPr>
            <w:tcW w:w="110" w:type="dxa"/>
            <w:tcBorders/>
            <w:shd w:fill="CCEEFF" w:val="clear"/>
            <w:vAlign w:val="center"/>
          </w:tcPr>
          <w:p>
            <w:pPr>
              <w:pStyle w:val="TableContents"/>
              <w:bidi w:val="0"/>
              <w:spacing w:before="0" w:after="283"/>
              <w:jc w:val="left"/>
              <w:rPr/>
            </w:pPr>
            <w:r>
              <w:rPr/>
              <w:t> </w:t>
            </w:r>
            <w:bookmarkStart w:id="836" w:name="xdx_40C_eus-gaap--OperatingLeaseRightOfU"/>
            <w:bookmarkEnd w:id="836"/>
          </w:p>
        </w:tc>
      </w:tr>
      <w:tr>
        <w:trPr/>
        <w:tc>
          <w:tcPr>
            <w:tcW w:w="7850"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1,022</w:t>
            </w:r>
          </w:p>
        </w:tc>
        <w:tc>
          <w:tcPr>
            <w:tcW w:w="110" w:type="dxa"/>
            <w:tcBorders/>
            <w:shd w:fill="FFFFFF" w:val="clear"/>
            <w:vAlign w:val="center"/>
          </w:tcPr>
          <w:p>
            <w:pPr>
              <w:pStyle w:val="TableContents"/>
              <w:bidi w:val="0"/>
              <w:spacing w:before="0" w:after="283"/>
              <w:jc w:val="left"/>
              <w:rPr/>
            </w:pPr>
            <w:r>
              <w:rPr/>
              <w:t> </w:t>
            </w:r>
            <w:bookmarkStart w:id="837" w:name="xdx_40E_eus-gaap--OtherAssetsNoncurrent_"/>
            <w:bookmarkEnd w:id="837"/>
          </w:p>
        </w:tc>
      </w:tr>
      <w:tr>
        <w:trPr/>
        <w:tc>
          <w:tcPr>
            <w:tcW w:w="785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341</w:t>
            </w:r>
          </w:p>
        </w:tc>
        <w:tc>
          <w:tcPr>
            <w:tcW w:w="110" w:type="dxa"/>
            <w:tcBorders/>
            <w:shd w:fill="CCEEFF" w:val="clear"/>
            <w:vAlign w:val="center"/>
          </w:tcPr>
          <w:p>
            <w:pPr>
              <w:pStyle w:val="TableContents"/>
              <w:bidi w:val="0"/>
              <w:spacing w:before="0" w:after="283"/>
              <w:jc w:val="left"/>
              <w:rPr/>
            </w:pPr>
            <w:r>
              <w:rPr/>
              <w:t> </w:t>
            </w:r>
            <w:bookmarkStart w:id="838" w:name="xdx_40E_eus-gaap--Assets_i01TI_zDv1LmyUZ"/>
            <w:bookmarkEnd w:id="838"/>
          </w:p>
        </w:tc>
      </w:tr>
      <w:tr>
        <w:trPr/>
        <w:tc>
          <w:tcPr>
            <w:tcW w:w="785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37,113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39,088</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39" w:name="xdx_404_eus-gaap--LiabilitiesAndStockhol"/>
            <w:bookmarkEnd w:id="839"/>
          </w:p>
        </w:tc>
      </w:tr>
      <w:tr>
        <w:trPr/>
        <w:tc>
          <w:tcPr>
            <w:tcW w:w="7850" w:type="dxa"/>
            <w:tcBorders/>
            <w:shd w:fill="FFFFFF" w:val="clear"/>
            <w:vAlign w:val="center"/>
          </w:tcPr>
          <w:p>
            <w:pPr>
              <w:pStyle w:val="TableContents"/>
              <w:bidi w:val="0"/>
              <w:spacing w:before="0" w:after="283"/>
              <w:jc w:val="center"/>
              <w:rPr>
                <w:b/>
              </w:rPr>
            </w:pPr>
            <w:r>
              <w:rPr>
                <w:b/>
              </w:rPr>
              <w:t>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40" w:name="xdx_400_eus-gaap--LiabilitiesCurrentAbst"/>
            <w:bookmarkEnd w:id="840"/>
          </w:p>
        </w:tc>
      </w:tr>
      <w:tr>
        <w:trPr/>
        <w:tc>
          <w:tcPr>
            <w:tcW w:w="785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41" w:name="xdx_406_eus-gaap--AccountsPayableCurrent"/>
            <w:bookmarkEnd w:id="841"/>
          </w:p>
        </w:tc>
      </w:tr>
      <w:tr>
        <w:trPr/>
        <w:tc>
          <w:tcPr>
            <w:tcW w:w="785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8,981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10,833</w:t>
            </w:r>
          </w:p>
        </w:tc>
        <w:tc>
          <w:tcPr>
            <w:tcW w:w="110" w:type="dxa"/>
            <w:tcBorders/>
            <w:shd w:fill="FFFFFF" w:val="clear"/>
            <w:vAlign w:val="center"/>
          </w:tcPr>
          <w:p>
            <w:pPr>
              <w:pStyle w:val="TableContents"/>
              <w:bidi w:val="0"/>
              <w:spacing w:before="0" w:after="283"/>
              <w:jc w:val="left"/>
              <w:rPr/>
            </w:pPr>
            <w:r>
              <w:rPr/>
              <w:t> </w:t>
            </w:r>
            <w:bookmarkStart w:id="842" w:name="xdx_40F_eus-gaap--AccruedLiabilitiesCurr"/>
            <w:bookmarkEnd w:id="842"/>
          </w:p>
        </w:tc>
      </w:tr>
      <w:tr>
        <w:trPr/>
        <w:tc>
          <w:tcPr>
            <w:tcW w:w="785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10,325</w:t>
            </w:r>
          </w:p>
        </w:tc>
        <w:tc>
          <w:tcPr>
            <w:tcW w:w="110" w:type="dxa"/>
            <w:tcBorders/>
            <w:shd w:fill="CCEEFF" w:val="clear"/>
            <w:vAlign w:val="center"/>
          </w:tcPr>
          <w:p>
            <w:pPr>
              <w:pStyle w:val="TableContents"/>
              <w:bidi w:val="0"/>
              <w:spacing w:before="0" w:after="283"/>
              <w:jc w:val="left"/>
              <w:rPr/>
            </w:pPr>
            <w:r>
              <w:rPr/>
              <w:t> </w:t>
            </w:r>
            <w:bookmarkStart w:id="843" w:name="xdx_409_ecustom--DeferredPurchaseConside"/>
            <w:bookmarkEnd w:id="843"/>
          </w:p>
        </w:tc>
      </w:tr>
      <w:tr>
        <w:trPr/>
        <w:tc>
          <w:tcPr>
            <w:tcW w:w="7850" w:type="dxa"/>
            <w:tcBorders/>
            <w:shd w:fill="FFFFFF" w:val="clear"/>
            <w:vAlign w:val="center"/>
          </w:tcPr>
          <w:p>
            <w:pPr>
              <w:pStyle w:val="TableContents"/>
              <w:bidi w:val="0"/>
              <w:spacing w:before="0" w:after="283"/>
              <w:jc w:val="left"/>
              <w:rPr/>
            </w:pPr>
            <w:r>
              <w:rPr/>
              <w:t>Deferred purchase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2,380</w:t>
            </w:r>
          </w:p>
        </w:tc>
        <w:tc>
          <w:tcPr>
            <w:tcW w:w="110" w:type="dxa"/>
            <w:tcBorders/>
            <w:shd w:fill="FFFFFF" w:val="clear"/>
            <w:vAlign w:val="center"/>
          </w:tcPr>
          <w:p>
            <w:pPr>
              <w:pStyle w:val="TableContents"/>
              <w:bidi w:val="0"/>
              <w:spacing w:before="0" w:after="283"/>
              <w:jc w:val="left"/>
              <w:rPr/>
            </w:pPr>
            <w:r>
              <w:rPr/>
              <w:t> </w:t>
            </w:r>
            <w:bookmarkStart w:id="844" w:name="xdx_403_eus-gaap--NotesPayableCurrent_i0"/>
            <w:bookmarkEnd w:id="844"/>
          </w:p>
        </w:tc>
      </w:tr>
      <w:tr>
        <w:trPr/>
        <w:tc>
          <w:tcPr>
            <w:tcW w:w="7850" w:type="dxa"/>
            <w:tcBorders/>
            <w:shd w:fill="CCEEFF" w:val="clear"/>
            <w:vAlign w:val="center"/>
          </w:tcPr>
          <w:p>
            <w:pPr>
              <w:pStyle w:val="TableContents"/>
              <w:bidi w:val="0"/>
              <w:spacing w:before="0" w:after="283"/>
              <w:jc w:val="left"/>
              <w:rPr/>
            </w:pPr>
            <w:r>
              <w:rPr/>
              <w:t>Notes payable,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398</w:t>
            </w:r>
          </w:p>
        </w:tc>
        <w:tc>
          <w:tcPr>
            <w:tcW w:w="110" w:type="dxa"/>
            <w:tcBorders/>
            <w:shd w:fill="CCEEFF" w:val="clear"/>
            <w:vAlign w:val="center"/>
          </w:tcPr>
          <w:p>
            <w:pPr>
              <w:pStyle w:val="TableContents"/>
              <w:bidi w:val="0"/>
              <w:spacing w:before="0" w:after="283"/>
              <w:jc w:val="left"/>
              <w:rPr/>
            </w:pPr>
            <w:r>
              <w:rPr/>
              <w:t> </w:t>
            </w:r>
            <w:bookmarkStart w:id="845" w:name="xdx_405_eus-gaap--NotesPayableCurrent_i0"/>
            <w:bookmarkEnd w:id="845"/>
          </w:p>
        </w:tc>
      </w:tr>
      <w:tr>
        <w:trPr/>
        <w:tc>
          <w:tcPr>
            <w:tcW w:w="7850" w:type="dxa"/>
            <w:tcBorders/>
            <w:shd w:fill="FFFFFF" w:val="clear"/>
            <w:vAlign w:val="center"/>
          </w:tcPr>
          <w:p>
            <w:pPr>
              <w:pStyle w:val="TableContents"/>
              <w:bidi w:val="0"/>
              <w:spacing w:before="0" w:after="283"/>
              <w:jc w:val="left"/>
              <w:rPr/>
            </w:pPr>
            <w:r>
              <w:rPr/>
              <w:t>Notes payable – related parties,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1,743</w:t>
            </w:r>
          </w:p>
        </w:tc>
        <w:tc>
          <w:tcPr>
            <w:tcW w:w="110" w:type="dxa"/>
            <w:tcBorders/>
            <w:shd w:fill="FFFFFF" w:val="clear"/>
            <w:vAlign w:val="center"/>
          </w:tcPr>
          <w:p>
            <w:pPr>
              <w:pStyle w:val="TableContents"/>
              <w:bidi w:val="0"/>
              <w:spacing w:before="0" w:after="283"/>
              <w:jc w:val="left"/>
              <w:rPr/>
            </w:pPr>
            <w:r>
              <w:rPr/>
              <w:t> </w:t>
            </w:r>
            <w:bookmarkStart w:id="846" w:name="xdx_40F_eus-gaap--NotesPayableCurrent_i0"/>
            <w:bookmarkEnd w:id="846"/>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1,743</w:t>
            </w:r>
          </w:p>
        </w:tc>
        <w:tc>
          <w:tcPr>
            <w:tcW w:w="110" w:type="dxa"/>
            <w:tcBorders/>
            <w:shd w:fill="FFFFFF" w:val="clear"/>
            <w:vAlign w:val="center"/>
          </w:tcPr>
          <w:p>
            <w:pPr>
              <w:pStyle w:val="TableContents"/>
              <w:bidi w:val="0"/>
              <w:spacing w:before="0" w:after="283"/>
              <w:jc w:val="left"/>
              <w:rPr/>
            </w:pPr>
            <w:r>
              <w:rPr/>
              <w:t> </w:t>
            </w:r>
            <w:bookmarkStart w:id="847" w:name="xdx_40D_eus-gaap--OperatingLeaseLiabilit"/>
            <w:bookmarkEnd w:id="847"/>
          </w:p>
        </w:tc>
      </w:tr>
      <w:tr>
        <w:trPr/>
        <w:tc>
          <w:tcPr>
            <w:tcW w:w="7850"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428</w:t>
            </w:r>
          </w:p>
        </w:tc>
        <w:tc>
          <w:tcPr>
            <w:tcW w:w="110" w:type="dxa"/>
            <w:tcBorders/>
            <w:shd w:fill="CCEEFF" w:val="clear"/>
            <w:vAlign w:val="center"/>
          </w:tcPr>
          <w:p>
            <w:pPr>
              <w:pStyle w:val="TableContents"/>
              <w:bidi w:val="0"/>
              <w:spacing w:before="0" w:after="283"/>
              <w:jc w:val="left"/>
              <w:rPr/>
            </w:pPr>
            <w:r>
              <w:rPr/>
              <w:t> </w:t>
            </w:r>
            <w:bookmarkStart w:id="848" w:name="xdx_40A_eus-gaap--LiabilitiesCurrent_i02"/>
            <w:bookmarkEnd w:id="848"/>
          </w:p>
        </w:tc>
      </w:tr>
      <w:tr>
        <w:trPr/>
        <w:tc>
          <w:tcPr>
            <w:tcW w:w="785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27,786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26,107</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49" w:name="xdx_409_eus-gaap--LongTermNotesPayable_i"/>
            <w:bookmarkEnd w:id="849"/>
          </w:p>
        </w:tc>
      </w:tr>
      <w:tr>
        <w:trPr/>
        <w:tc>
          <w:tcPr>
            <w:tcW w:w="7850" w:type="dxa"/>
            <w:tcBorders/>
            <w:shd w:fill="FFFFFF" w:val="clear"/>
            <w:vAlign w:val="center"/>
          </w:tcPr>
          <w:p>
            <w:pPr>
              <w:pStyle w:val="TableContents"/>
              <w:bidi w:val="0"/>
              <w:spacing w:before="0" w:after="283"/>
              <w:jc w:val="left"/>
              <w:rPr/>
            </w:pPr>
            <w:r>
              <w:rPr/>
              <w:t>Notes payable,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200</w:t>
            </w:r>
          </w:p>
        </w:tc>
        <w:tc>
          <w:tcPr>
            <w:tcW w:w="110" w:type="dxa"/>
            <w:tcBorders/>
            <w:shd w:fill="FFFFFF" w:val="clear"/>
            <w:vAlign w:val="center"/>
          </w:tcPr>
          <w:p>
            <w:pPr>
              <w:pStyle w:val="TableContents"/>
              <w:bidi w:val="0"/>
              <w:spacing w:before="0" w:after="283"/>
              <w:jc w:val="left"/>
              <w:rPr/>
            </w:pPr>
            <w:r>
              <w:rPr/>
              <w:t> </w:t>
            </w:r>
            <w:bookmarkStart w:id="850" w:name="xdx_40D_eus-gaap--LongTermNotesPayable_i"/>
            <w:bookmarkEnd w:id="850"/>
          </w:p>
        </w:tc>
      </w:tr>
      <w:tr>
        <w:trPr/>
        <w:tc>
          <w:tcPr>
            <w:tcW w:w="7850" w:type="dxa"/>
            <w:tcBorders/>
            <w:shd w:fill="CCEEFF" w:val="clear"/>
            <w:vAlign w:val="center"/>
          </w:tcPr>
          <w:p>
            <w:pPr>
              <w:pStyle w:val="TableContents"/>
              <w:bidi w:val="0"/>
              <w:spacing w:before="0" w:after="283"/>
              <w:jc w:val="left"/>
              <w:rPr/>
            </w:pPr>
            <w:r>
              <w:rPr/>
              <w:t>Notes payable – related parties,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1,082</w:t>
            </w:r>
          </w:p>
        </w:tc>
        <w:tc>
          <w:tcPr>
            <w:tcW w:w="110" w:type="dxa"/>
            <w:tcBorders/>
            <w:shd w:fill="CCEEFF" w:val="clear"/>
            <w:vAlign w:val="center"/>
          </w:tcPr>
          <w:p>
            <w:pPr>
              <w:pStyle w:val="TableContents"/>
              <w:bidi w:val="0"/>
              <w:spacing w:before="0" w:after="283"/>
              <w:jc w:val="left"/>
              <w:rPr/>
            </w:pPr>
            <w:r>
              <w:rPr/>
              <w:t> </w:t>
            </w:r>
            <w:bookmarkStart w:id="851" w:name="xdx_40D_eus-gaap--LongTermNotesPayable_i"/>
            <w:bookmarkEnd w:id="851"/>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1,082</w:t>
            </w:r>
          </w:p>
        </w:tc>
        <w:tc>
          <w:tcPr>
            <w:tcW w:w="110" w:type="dxa"/>
            <w:tcBorders/>
            <w:shd w:fill="CCEEFF" w:val="clear"/>
            <w:vAlign w:val="center"/>
          </w:tcPr>
          <w:p>
            <w:pPr>
              <w:pStyle w:val="TableContents"/>
              <w:bidi w:val="0"/>
              <w:spacing w:before="0" w:after="283"/>
              <w:jc w:val="left"/>
              <w:rPr/>
            </w:pPr>
            <w:r>
              <w:rPr/>
              <w:t> </w:t>
            </w:r>
            <w:bookmarkStart w:id="852" w:name="xdx_409_ecustom--EarnoutLiability_i01I_z"/>
            <w:bookmarkEnd w:id="852"/>
          </w:p>
        </w:tc>
      </w:tr>
      <w:tr>
        <w:trPr/>
        <w:tc>
          <w:tcPr>
            <w:tcW w:w="7850"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1,680</w:t>
            </w:r>
          </w:p>
        </w:tc>
        <w:tc>
          <w:tcPr>
            <w:tcW w:w="110" w:type="dxa"/>
            <w:tcBorders/>
            <w:shd w:fill="FFFFFF" w:val="clear"/>
            <w:vAlign w:val="center"/>
          </w:tcPr>
          <w:p>
            <w:pPr>
              <w:pStyle w:val="TableContents"/>
              <w:bidi w:val="0"/>
              <w:spacing w:before="0" w:after="283"/>
              <w:jc w:val="left"/>
              <w:rPr/>
            </w:pPr>
            <w:r>
              <w:rPr/>
              <w:t> </w:t>
            </w:r>
            <w:bookmarkStart w:id="853" w:name="xdx_406_eus-gaap--DeferredIncomeTaxLiabi"/>
            <w:bookmarkEnd w:id="853"/>
          </w:p>
        </w:tc>
      </w:tr>
      <w:tr>
        <w:trPr/>
        <w:tc>
          <w:tcPr>
            <w:tcW w:w="7850"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320</w:t>
            </w:r>
          </w:p>
        </w:tc>
        <w:tc>
          <w:tcPr>
            <w:tcW w:w="110" w:type="dxa"/>
            <w:tcBorders/>
            <w:shd w:fill="CCEEFF" w:val="clear"/>
            <w:vAlign w:val="center"/>
          </w:tcPr>
          <w:p>
            <w:pPr>
              <w:pStyle w:val="TableContents"/>
              <w:bidi w:val="0"/>
              <w:spacing w:before="0" w:after="283"/>
              <w:jc w:val="left"/>
              <w:rPr/>
            </w:pPr>
            <w:r>
              <w:rPr/>
              <w:t> </w:t>
            </w:r>
            <w:bookmarkStart w:id="854" w:name="xdx_40F_eus-gaap--OperatingLeaseLiabilit"/>
            <w:bookmarkEnd w:id="854"/>
          </w:p>
        </w:tc>
      </w:tr>
      <w:tr>
        <w:trPr/>
        <w:tc>
          <w:tcPr>
            <w:tcW w:w="7850"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1,024</w:t>
            </w:r>
          </w:p>
        </w:tc>
        <w:tc>
          <w:tcPr>
            <w:tcW w:w="110" w:type="dxa"/>
            <w:tcBorders/>
            <w:shd w:fill="FFFFFF" w:val="clear"/>
            <w:vAlign w:val="center"/>
          </w:tcPr>
          <w:p>
            <w:pPr>
              <w:pStyle w:val="TableContents"/>
              <w:bidi w:val="0"/>
              <w:spacing w:before="0" w:after="283"/>
              <w:jc w:val="left"/>
              <w:rPr/>
            </w:pPr>
            <w:r>
              <w:rPr/>
              <w:t> </w:t>
            </w:r>
            <w:bookmarkStart w:id="855" w:name="xdx_404_ecustom--WarrantLiabilityNoncurr"/>
            <w:bookmarkEnd w:id="855"/>
          </w:p>
        </w:tc>
      </w:tr>
      <w:tr>
        <w:trPr/>
        <w:tc>
          <w:tcPr>
            <w:tcW w:w="7850" w:type="dxa"/>
            <w:tcBorders/>
            <w:shd w:fill="CCEEFF" w:val="clear"/>
            <w:vAlign w:val="center"/>
          </w:tcPr>
          <w:p>
            <w:pPr>
              <w:pStyle w:val="TableContents"/>
              <w:bidi w:val="0"/>
              <w:spacing w:before="0" w:after="283"/>
              <w:jc w:val="left"/>
              <w:rPr/>
            </w:pPr>
            <w:r>
              <w:rPr/>
              <w:t>Liability-classified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2,139</w:t>
            </w:r>
          </w:p>
        </w:tc>
        <w:tc>
          <w:tcPr>
            <w:tcW w:w="110" w:type="dxa"/>
            <w:tcBorders/>
            <w:shd w:fill="CCEEFF" w:val="clear"/>
            <w:vAlign w:val="center"/>
          </w:tcPr>
          <w:p>
            <w:pPr>
              <w:pStyle w:val="TableContents"/>
              <w:bidi w:val="0"/>
              <w:spacing w:before="0" w:after="283"/>
              <w:jc w:val="left"/>
              <w:rPr/>
            </w:pPr>
            <w:r>
              <w:rPr/>
              <w:t> </w:t>
            </w:r>
            <w:bookmarkStart w:id="856" w:name="xdx_40C_eus-gaap--OtherLiabilitiesNoncur"/>
            <w:bookmarkEnd w:id="856"/>
          </w:p>
        </w:tc>
      </w:tr>
      <w:tr>
        <w:trPr/>
        <w:tc>
          <w:tcPr>
            <w:tcW w:w="7850"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1,006</w:t>
            </w:r>
          </w:p>
        </w:tc>
        <w:tc>
          <w:tcPr>
            <w:tcW w:w="110" w:type="dxa"/>
            <w:tcBorders/>
            <w:shd w:fill="FFFFFF" w:val="clear"/>
            <w:vAlign w:val="center"/>
          </w:tcPr>
          <w:p>
            <w:pPr>
              <w:pStyle w:val="TableContents"/>
              <w:bidi w:val="0"/>
              <w:spacing w:before="0" w:after="283"/>
              <w:jc w:val="left"/>
              <w:rPr/>
            </w:pPr>
            <w:r>
              <w:rPr/>
              <w:t> </w:t>
            </w:r>
            <w:bookmarkStart w:id="857" w:name="xdx_403_eus-gaap--Liabilities_i01TI_zxN2"/>
            <w:bookmarkEnd w:id="857"/>
          </w:p>
        </w:tc>
      </w:tr>
      <w:tr>
        <w:trPr/>
        <w:tc>
          <w:tcPr>
            <w:tcW w:w="785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33,558</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58" w:name="xdx_400_eus-gaap--CommitmentsAndContinge"/>
            <w:bookmarkEnd w:id="858"/>
          </w:p>
        </w:tc>
      </w:tr>
      <w:tr>
        <w:trPr/>
        <w:tc>
          <w:tcPr>
            <w:tcW w:w="7850" w:type="dxa"/>
            <w:tcBorders/>
            <w:shd w:fill="CCEEFF" w:val="clear"/>
            <w:vAlign w:val="center"/>
          </w:tcPr>
          <w:p>
            <w:pPr>
              <w:pStyle w:val="TableContents"/>
              <w:bidi w:val="0"/>
              <w:spacing w:before="0" w:after="283"/>
              <w:jc w:val="left"/>
              <w:rPr/>
            </w:pPr>
            <w:r>
              <w:rPr/>
              <w:t>Commitments and contingencies (Note 13)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59" w:name="xdx_407_eus-gaap--TemporaryEquityAbstrac"/>
            <w:bookmarkEnd w:id="859"/>
          </w:p>
        </w:tc>
      </w:tr>
      <w:tr>
        <w:trPr/>
        <w:tc>
          <w:tcPr>
            <w:tcW w:w="7850" w:type="dxa"/>
            <w:tcBorders/>
            <w:shd w:fill="CCEEFF" w:val="clear"/>
            <w:vAlign w:val="center"/>
          </w:tcPr>
          <w:p>
            <w:pPr>
              <w:pStyle w:val="TableContents"/>
              <w:bidi w:val="0"/>
              <w:spacing w:before="0" w:after="283"/>
              <w:jc w:val="left"/>
              <w:rPr>
                <w:b/>
              </w:rPr>
            </w:pPr>
            <w:r>
              <w:rPr>
                <w:b/>
              </w:rPr>
              <w:t>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60" w:name="xdx_405_eus-gaap--CommonStockValue_i02I_"/>
            <w:bookmarkEnd w:id="860"/>
          </w:p>
        </w:tc>
      </w:tr>
      <w:tr>
        <w:trPr/>
        <w:tc>
          <w:tcPr>
            <w:tcW w:w="7850" w:type="dxa"/>
            <w:tcBorders/>
            <w:shd w:fill="FFFFFF" w:val="clear"/>
            <w:vAlign w:val="center"/>
          </w:tcPr>
          <w:p>
            <w:pPr>
              <w:pStyle w:val="TableContents"/>
              <w:bidi w:val="0"/>
              <w:spacing w:before="0" w:after="283"/>
              <w:jc w:val="left"/>
              <w:rPr/>
            </w:pPr>
            <w:r>
              <w:rPr/>
              <w:t>Class A Common Stock, $</w:t>
            </w:r>
            <w:bookmarkStart w:id="861" w:name="xdx_901_eus-gaap--CommonStockParOrStated"/>
            <w:bookmarkStart w:id="862" w:name="xdx_90B_eus-gaap--CommonStockParOrStated"/>
            <w:bookmarkEnd w:id="861"/>
            <w:bookmarkEnd w:id="862"/>
            <w:r>
              <w:rPr/>
              <w:t xml:space="preserve">0.00001 par value, </w:t>
            </w:r>
            <w:bookmarkStart w:id="863" w:name="xdx_903_eus-gaap--CommonStockSharesAutho"/>
            <w:bookmarkStart w:id="864" w:name="xdx_909_eus-gaap--CommonStockSharesAutho"/>
            <w:bookmarkEnd w:id="863"/>
            <w:bookmarkEnd w:id="864"/>
            <w:r>
              <w:rPr/>
              <w:t xml:space="preserve">285,000,000 shares authorized; </w:t>
            </w:r>
            <w:bookmarkStart w:id="865" w:name="xdx_903_eus-gaap--CommonStockSharesOutst"/>
            <w:bookmarkStart w:id="866" w:name="xdx_90E_eus-gaap--CommonStockSharesIssue"/>
            <w:bookmarkEnd w:id="865"/>
            <w:bookmarkEnd w:id="866"/>
            <w:r>
              <w:rPr/>
              <w:t xml:space="preserve">5,883,842 and </w:t>
            </w:r>
            <w:bookmarkStart w:id="867" w:name="xdx_904_eus-gaap--CommonStockSharesOutst"/>
            <w:bookmarkStart w:id="868" w:name="xdx_90C_eus-gaap--CommonStockSharesIssue"/>
            <w:bookmarkEnd w:id="867"/>
            <w:bookmarkEnd w:id="868"/>
            <w:r>
              <w:rPr/>
              <w:t>3,282,423 shares issued and outstanding at September 30, 2025 and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69" w:name="xdx_40C_eus-gaap--CommonStockValue_i02I_"/>
            <w:bookmarkEnd w:id="869"/>
          </w:p>
        </w:tc>
      </w:tr>
      <w:tr>
        <w:trPr/>
        <w:tc>
          <w:tcPr>
            <w:tcW w:w="7850" w:type="dxa"/>
            <w:tcBorders/>
            <w:shd w:fill="CCEEFF" w:val="clear"/>
            <w:vAlign w:val="center"/>
          </w:tcPr>
          <w:p>
            <w:pPr>
              <w:pStyle w:val="TableContents"/>
              <w:bidi w:val="0"/>
              <w:spacing w:before="0" w:after="283"/>
              <w:jc w:val="left"/>
              <w:rPr/>
            </w:pPr>
            <w:r>
              <w:rPr/>
              <w:t>Class B Common Stock, $</w:t>
            </w:r>
            <w:bookmarkStart w:id="870" w:name="xdx_900_eus-gaap--CommonStockParOrStated"/>
            <w:bookmarkStart w:id="871" w:name="xdx_90A_eus-gaap--CommonStockParOrStated"/>
            <w:bookmarkEnd w:id="870"/>
            <w:bookmarkEnd w:id="871"/>
            <w:r>
              <w:rPr/>
              <w:t xml:space="preserve">0.00001 par value, </w:t>
            </w:r>
            <w:bookmarkStart w:id="872" w:name="xdx_903_eus-gaap--CommonStockSharesAutho"/>
            <w:bookmarkStart w:id="873" w:name="xdx_903_eus-gaap--CommonStockSharesAutho"/>
            <w:bookmarkEnd w:id="872"/>
            <w:bookmarkEnd w:id="873"/>
            <w:r>
              <w:rPr/>
              <w:t xml:space="preserve">5,000,000 shares authorized; </w:t>
            </w:r>
            <w:bookmarkStart w:id="874" w:name="xdx_90F_eus-gaap--CommonStockSharesOutst"/>
            <w:bookmarkStart w:id="875" w:name="xdx_90D_eus-gaap--CommonStockSharesIssue"/>
            <w:bookmarkEnd w:id="874"/>
            <w:bookmarkEnd w:id="875"/>
            <w:r>
              <w:rPr/>
              <w:t xml:space="preserve">200,491 and </w:t>
            </w:r>
            <w:bookmarkStart w:id="876" w:name="xdx_909_eus-gaap--CommonStockSharesOutst"/>
            <w:bookmarkStart w:id="877" w:name="xdx_904_eus-gaap--CommonStockSharesIssue"/>
            <w:bookmarkEnd w:id="876"/>
            <w:bookmarkEnd w:id="877"/>
            <w:r>
              <w:rPr/>
              <w:t>212,991 shares issued and outstanding at September 30, 2025 and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878" w:name="xdx_40F_eus-gaap--CommonStockValue_i02I_"/>
            <w:bookmarkEnd w:id="878"/>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879" w:name="xdx_40B_eus-gaap--AdditionalPaidInCapita"/>
            <w:bookmarkEnd w:id="879"/>
          </w:p>
        </w:tc>
      </w:tr>
      <w:tr>
        <w:trPr/>
        <w:tc>
          <w:tcPr>
            <w:tcW w:w="785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150,252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109,987</w:t>
            </w:r>
          </w:p>
        </w:tc>
        <w:tc>
          <w:tcPr>
            <w:tcW w:w="110" w:type="dxa"/>
            <w:tcBorders/>
            <w:shd w:fill="FFFFFF" w:val="clear"/>
            <w:vAlign w:val="center"/>
          </w:tcPr>
          <w:p>
            <w:pPr>
              <w:pStyle w:val="TableContents"/>
              <w:bidi w:val="0"/>
              <w:spacing w:before="0" w:after="283"/>
              <w:jc w:val="left"/>
              <w:rPr/>
            </w:pPr>
            <w:r>
              <w:rPr/>
              <w:t> </w:t>
            </w:r>
            <w:bookmarkStart w:id="880" w:name="xdx_400_eus-gaap--RetainedEarningsAccumu"/>
            <w:bookmarkEnd w:id="880"/>
          </w:p>
        </w:tc>
      </w:tr>
      <w:tr>
        <w:trPr/>
        <w:tc>
          <w:tcPr>
            <w:tcW w:w="785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(150,588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(104,457</w:t>
            </w:r>
          </w:p>
        </w:tc>
        <w:tc>
          <w:tcPr>
            <w:tcW w:w="110" w:type="dxa"/>
            <w:tcBorders/>
            <w:shd w:fill="CCEEFF" w:val="clear"/>
            <w:vAlign w:val="center"/>
          </w:tcPr>
          <w:p>
            <w:pPr>
              <w:pStyle w:val="TableContents"/>
              <w:bidi w:val="0"/>
              <w:spacing w:before="0" w:after="283"/>
              <w:jc w:val="left"/>
              <w:rPr/>
            </w:pPr>
            <w:r>
              <w:rPr/>
              <w:t>)</w:t>
            </w:r>
            <w:bookmarkStart w:id="881" w:name="xdx_40A_eus-gaap--StockholdersEquity_i02"/>
            <w:bookmarkEnd w:id="881"/>
          </w:p>
        </w:tc>
      </w:tr>
      <w:tr>
        <w:trPr/>
        <w:tc>
          <w:tcPr>
            <w:tcW w:w="7850"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5,530</w:t>
            </w:r>
          </w:p>
        </w:tc>
        <w:tc>
          <w:tcPr>
            <w:tcW w:w="110" w:type="dxa"/>
            <w:tcBorders/>
            <w:shd w:fill="FFFFFF" w:val="clear"/>
            <w:vAlign w:val="center"/>
          </w:tcPr>
          <w:p>
            <w:pPr>
              <w:pStyle w:val="TableContents"/>
              <w:bidi w:val="0"/>
              <w:spacing w:before="0" w:after="283"/>
              <w:jc w:val="left"/>
              <w:rPr/>
            </w:pPr>
            <w:r>
              <w:rPr/>
              <w:t> </w:t>
            </w:r>
            <w:bookmarkStart w:id="882" w:name="xdx_402_eus-gaap--LiabilitiesAndStockhol"/>
            <w:bookmarkEnd w:id="882"/>
          </w:p>
        </w:tc>
      </w:tr>
      <w:tr>
        <w:trPr/>
        <w:tc>
          <w:tcPr>
            <w:tcW w:w="7850" w:type="dxa"/>
            <w:tcBorders/>
            <w:shd w:fill="CCEEFF" w:val="clear"/>
            <w:vAlign w:val="center"/>
          </w:tcPr>
          <w:p>
            <w:pPr>
              <w:pStyle w:val="TableContents"/>
              <w:bidi w:val="0"/>
              <w:spacing w:before="0" w:after="283"/>
              <w:jc w:val="left"/>
              <w:rPr/>
            </w:pPr>
            <w:r>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37,113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39,088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83" w:name="sd_003"/>
      <w:bookmarkEnd w:id="883"/>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84" w:name="xdx_309_113_pn3n3_zBKMOr979SF9"/>
      <w:bookmarkStart w:id="885" w:name="xdx_309_113_pn3n3_zBKMOr979SF9"/>
      <w:bookmarkEnd w:id="885"/>
    </w:p>
    <w:tbl>
      <w:tblPr>
        <w:tblW w:w="8150" w:type="dxa"/>
        <w:jc w:val="left"/>
        <w:tblInd w:w="0" w:type="dxa"/>
        <w:tblLayout w:type="fixed"/>
        <w:tblCellMar>
          <w:top w:w="0" w:type="dxa"/>
          <w:left w:w="0" w:type="dxa"/>
          <w:bottom w:w="0" w:type="dxa"/>
          <w:right w:w="0" w:type="dxa"/>
        </w:tblCellMar>
      </w:tblPr>
      <w:tblGrid>
        <w:gridCol w:w="5585"/>
        <w:gridCol w:w="60"/>
        <w:gridCol w:w="140"/>
        <w:gridCol w:w="980"/>
        <w:gridCol w:w="95"/>
        <w:gridCol w:w="60"/>
        <w:gridCol w:w="140"/>
        <w:gridCol w:w="980"/>
        <w:gridCol w:w="110"/>
      </w:tblGrid>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86" w:name="xdx_495_20241001__20250930_zbb939pzD6Bh"/>
            <w:bookmarkEnd w:id="886"/>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87" w:name="xdx_496_20231001__20240930_zrC4uStH6B7k"/>
            <w:bookmarkEnd w:id="887"/>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r>
      <w:tr>
        <w:trPr/>
        <w:tc>
          <w:tcPr>
            <w:tcW w:w="5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888" w:name="xdx_40C_eus-gaap--RevenuesAbstract_iB_ze"/>
            <w:bookmarkEnd w:id="888"/>
          </w:p>
        </w:tc>
      </w:tr>
      <w:tr>
        <w:trPr/>
        <w:tc>
          <w:tcPr>
            <w:tcW w:w="5585"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89" w:name="xdx_40B_eus-gaap--RevenueFromContractWit"/>
            <w:bookmarkEnd w:id="889"/>
          </w:p>
        </w:tc>
      </w:tr>
      <w:tr>
        <w:trPr/>
        <w:tc>
          <w:tcPr>
            <w:tcW w:w="5585"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5,890</w:t>
            </w:r>
          </w:p>
        </w:tc>
        <w:tc>
          <w:tcPr>
            <w:tcW w:w="110" w:type="dxa"/>
            <w:tcBorders/>
            <w:shd w:fill="FFFFFF" w:val="clear"/>
            <w:vAlign w:val="center"/>
          </w:tcPr>
          <w:p>
            <w:pPr>
              <w:pStyle w:val="TableContents"/>
              <w:bidi w:val="0"/>
              <w:spacing w:before="0" w:after="283"/>
              <w:jc w:val="left"/>
              <w:rPr/>
            </w:pPr>
            <w:r>
              <w:rPr/>
              <w:t> </w:t>
            </w:r>
            <w:bookmarkStart w:id="890" w:name="xdx_40A_eus-gaap--RevenueFromContractWit"/>
            <w:bookmarkEnd w:id="890"/>
          </w:p>
        </w:tc>
      </w:tr>
      <w:tr>
        <w:trPr/>
        <w:tc>
          <w:tcPr>
            <w:tcW w:w="5585"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552</w:t>
            </w:r>
          </w:p>
        </w:tc>
        <w:tc>
          <w:tcPr>
            <w:tcW w:w="110" w:type="dxa"/>
            <w:tcBorders/>
            <w:shd w:fill="CCEEFF" w:val="clear"/>
            <w:vAlign w:val="center"/>
          </w:tcPr>
          <w:p>
            <w:pPr>
              <w:pStyle w:val="TableContents"/>
              <w:bidi w:val="0"/>
              <w:spacing w:before="0" w:after="283"/>
              <w:jc w:val="left"/>
              <w:rPr/>
            </w:pPr>
            <w:r>
              <w:rPr/>
              <w:t> </w:t>
            </w:r>
            <w:bookmarkStart w:id="891" w:name="xdx_40F_eus-gaap--RevenueFromContractWit"/>
            <w:bookmarkEnd w:id="891"/>
          </w:p>
        </w:tc>
      </w:tr>
      <w:tr>
        <w:trPr/>
        <w:tc>
          <w:tcPr>
            <w:tcW w:w="5585" w:type="dxa"/>
            <w:tcBorders/>
            <w:shd w:fill="FFFFFF" w:val="clear"/>
            <w:vAlign w:val="center"/>
          </w:tcPr>
          <w:p>
            <w:pPr>
              <w:pStyle w:val="TableContents"/>
              <w:bidi w:val="0"/>
              <w:spacing w:before="0" w:after="283"/>
              <w:jc w:val="left"/>
              <w:rPr/>
            </w:pPr>
            <w:r>
              <w:rPr/>
              <w:t>Total 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6,442</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92" w:name="xdx_400_eus-gaap--CostOfRevenueAbstract_"/>
            <w:bookmarkEnd w:id="892"/>
          </w:p>
        </w:tc>
      </w:tr>
      <w:tr>
        <w:trPr/>
        <w:tc>
          <w:tcPr>
            <w:tcW w:w="5585"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93" w:name="xdx_403_eus-gaap--CostOfRevenue_i01_hsrt"/>
            <w:bookmarkEnd w:id="893"/>
          </w:p>
        </w:tc>
      </w:tr>
      <w:tr>
        <w:trPr/>
        <w:tc>
          <w:tcPr>
            <w:tcW w:w="5585" w:type="dxa"/>
            <w:tcBorders/>
            <w:shd w:fill="CCEEFF" w:val="clear"/>
            <w:vAlign w:val="center"/>
          </w:tcPr>
          <w:p>
            <w:pPr>
              <w:pStyle w:val="TableContents"/>
              <w:bidi w:val="0"/>
              <w:spacing w:before="0" w:after="283"/>
              <w:jc w:val="left"/>
              <w:rPr/>
            </w:pPr>
            <w:r>
              <w:rPr/>
              <w:t>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3,752</w:t>
            </w:r>
          </w:p>
        </w:tc>
        <w:tc>
          <w:tcPr>
            <w:tcW w:w="110" w:type="dxa"/>
            <w:tcBorders/>
            <w:shd w:fill="CCEEFF" w:val="clear"/>
            <w:vAlign w:val="center"/>
          </w:tcPr>
          <w:p>
            <w:pPr>
              <w:pStyle w:val="TableContents"/>
              <w:bidi w:val="0"/>
              <w:spacing w:before="0" w:after="283"/>
              <w:jc w:val="left"/>
              <w:rPr/>
            </w:pPr>
            <w:r>
              <w:rPr/>
              <w:t> </w:t>
            </w:r>
            <w:bookmarkStart w:id="894" w:name="xdx_40C_eus-gaap--CostOfRevenue_i01_hsrt"/>
            <w:bookmarkEnd w:id="894"/>
          </w:p>
        </w:tc>
      </w:tr>
      <w:tr>
        <w:trPr/>
        <w:tc>
          <w:tcPr>
            <w:tcW w:w="5585"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138</w:t>
            </w:r>
          </w:p>
        </w:tc>
        <w:tc>
          <w:tcPr>
            <w:tcW w:w="110" w:type="dxa"/>
            <w:tcBorders/>
            <w:shd w:fill="FFFFFF" w:val="clear"/>
            <w:vAlign w:val="center"/>
          </w:tcPr>
          <w:p>
            <w:pPr>
              <w:pStyle w:val="TableContents"/>
              <w:bidi w:val="0"/>
              <w:spacing w:before="0" w:after="283"/>
              <w:jc w:val="left"/>
              <w:rPr/>
            </w:pPr>
            <w:r>
              <w:rPr/>
              <w:t> </w:t>
            </w:r>
            <w:bookmarkStart w:id="895" w:name="xdx_401_eus-gaap--CostOfRevenue_i01_z7Zs"/>
            <w:bookmarkEnd w:id="895"/>
          </w:p>
        </w:tc>
      </w:tr>
      <w:tr>
        <w:trPr/>
        <w:tc>
          <w:tcPr>
            <w:tcW w:w="5585" w:type="dxa"/>
            <w:tcBorders/>
            <w:shd w:fill="CCEEFF" w:val="clear"/>
            <w:vAlign w:val="center"/>
          </w:tcPr>
          <w:p>
            <w:pPr>
              <w:pStyle w:val="TableContents"/>
              <w:bidi w:val="0"/>
              <w:spacing w:before="0" w:after="283"/>
              <w:jc w:val="left"/>
              <w:rPr/>
            </w:pPr>
            <w:r>
              <w:rPr/>
              <w:t>Total 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3,890</w:t>
            </w:r>
          </w:p>
        </w:tc>
        <w:tc>
          <w:tcPr>
            <w:tcW w:w="110" w:type="dxa"/>
            <w:tcBorders/>
            <w:shd w:fill="CCEEFF" w:val="clear"/>
            <w:vAlign w:val="center"/>
          </w:tcPr>
          <w:p>
            <w:pPr>
              <w:pStyle w:val="TableContents"/>
              <w:bidi w:val="0"/>
              <w:spacing w:before="0" w:after="283"/>
              <w:jc w:val="left"/>
              <w:rPr/>
            </w:pPr>
            <w:r>
              <w:rPr/>
              <w:t> </w:t>
            </w:r>
            <w:bookmarkStart w:id="896" w:name="xdx_402_eus-gaap--GrossProfit_i01T_zwyLy"/>
            <w:bookmarkEnd w:id="896"/>
          </w:p>
        </w:tc>
      </w:tr>
      <w:tr>
        <w:trPr/>
        <w:tc>
          <w:tcPr>
            <w:tcW w:w="558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2,552</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97" w:name="xdx_404_eus-gaap--OperatingExpensesAbstr"/>
            <w:bookmarkEnd w:id="897"/>
          </w:p>
        </w:tc>
      </w:tr>
      <w:tr>
        <w:trPr/>
        <w:tc>
          <w:tcPr>
            <w:tcW w:w="558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98" w:name="xdx_40C_eus-gaap--ResearchAndDevelopment"/>
            <w:bookmarkEnd w:id="898"/>
          </w:p>
        </w:tc>
      </w:tr>
      <w:tr>
        <w:trPr/>
        <w:tc>
          <w:tcPr>
            <w:tcW w:w="5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5,779</w:t>
            </w:r>
          </w:p>
        </w:tc>
        <w:tc>
          <w:tcPr>
            <w:tcW w:w="110" w:type="dxa"/>
            <w:tcBorders/>
            <w:shd w:fill="CCEEFF" w:val="clear"/>
            <w:vAlign w:val="center"/>
          </w:tcPr>
          <w:p>
            <w:pPr>
              <w:pStyle w:val="TableContents"/>
              <w:bidi w:val="0"/>
              <w:spacing w:before="0" w:after="283"/>
              <w:jc w:val="left"/>
              <w:rPr/>
            </w:pPr>
            <w:r>
              <w:rPr/>
              <w:t> </w:t>
            </w:r>
            <w:bookmarkStart w:id="899" w:name="xdx_402_eus-gaap--SellingGeneralAndAdmin"/>
            <w:bookmarkEnd w:id="899"/>
          </w:p>
        </w:tc>
      </w:tr>
      <w:tr>
        <w:trPr/>
        <w:tc>
          <w:tcPr>
            <w:tcW w:w="5585"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39,556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41,835</w:t>
            </w:r>
          </w:p>
        </w:tc>
        <w:tc>
          <w:tcPr>
            <w:tcW w:w="110" w:type="dxa"/>
            <w:tcBorders/>
            <w:shd w:fill="FFFFFF" w:val="clear"/>
            <w:vAlign w:val="center"/>
          </w:tcPr>
          <w:p>
            <w:pPr>
              <w:pStyle w:val="TableContents"/>
              <w:bidi w:val="0"/>
              <w:spacing w:before="0" w:after="283"/>
              <w:jc w:val="left"/>
              <w:rPr/>
            </w:pPr>
            <w:r>
              <w:rPr/>
              <w:t> </w:t>
            </w:r>
            <w:bookmarkStart w:id="900" w:name="xdx_401_eus-gaap--ImpairmentOfLongLivedA"/>
            <w:bookmarkEnd w:id="900"/>
          </w:p>
        </w:tc>
      </w:tr>
      <w:tr>
        <w:trPr/>
        <w:tc>
          <w:tcPr>
            <w:tcW w:w="5585" w:type="dxa"/>
            <w:tcBorders/>
            <w:shd w:fill="CCEEFF" w:val="clear"/>
            <w:vAlign w:val="center"/>
          </w:tcPr>
          <w:p>
            <w:pPr>
              <w:pStyle w:val="TableContents"/>
              <w:bidi w:val="0"/>
              <w:spacing w:before="0" w:after="283"/>
              <w:jc w:val="left"/>
              <w:rPr/>
            </w:pPr>
            <w:r>
              <w:rPr/>
              <w:t>Impairment of long-lived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1,333</w:t>
            </w:r>
          </w:p>
        </w:tc>
        <w:tc>
          <w:tcPr>
            <w:tcW w:w="110" w:type="dxa"/>
            <w:tcBorders/>
            <w:shd w:fill="CCEEFF" w:val="clear"/>
            <w:vAlign w:val="center"/>
          </w:tcPr>
          <w:p>
            <w:pPr>
              <w:pStyle w:val="TableContents"/>
              <w:bidi w:val="0"/>
              <w:spacing w:before="0" w:after="283"/>
              <w:jc w:val="left"/>
              <w:rPr/>
            </w:pPr>
            <w:r>
              <w:rPr/>
              <w:t> </w:t>
            </w:r>
            <w:bookmarkStart w:id="901" w:name="xdx_40B_eus-gaap--OperatingIncomeLoss_i0"/>
            <w:bookmarkEnd w:id="901"/>
          </w:p>
        </w:tc>
      </w:tr>
      <w:tr>
        <w:trPr/>
        <w:tc>
          <w:tcPr>
            <w:tcW w:w="558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(37,693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(46,395</w:t>
            </w:r>
          </w:p>
        </w:tc>
        <w:tc>
          <w:tcPr>
            <w:tcW w:w="110"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02" w:name="xdx_407_eus-gaap--InterestExpenseNonoper"/>
            <w:bookmarkEnd w:id="902"/>
          </w:p>
        </w:tc>
      </w:tr>
      <w:tr>
        <w:trPr/>
        <w:tc>
          <w:tcPr>
            <w:tcW w:w="55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1,582</w:t>
            </w:r>
          </w:p>
        </w:tc>
        <w:tc>
          <w:tcPr>
            <w:tcW w:w="110" w:type="dxa"/>
            <w:tcBorders/>
            <w:shd w:fill="FFFFFF" w:val="clear"/>
            <w:vAlign w:val="center"/>
          </w:tcPr>
          <w:p>
            <w:pPr>
              <w:pStyle w:val="TableContents"/>
              <w:bidi w:val="0"/>
              <w:spacing w:before="0" w:after="283"/>
              <w:jc w:val="left"/>
              <w:rPr/>
            </w:pPr>
            <w:r>
              <w:rPr/>
              <w:t> </w:t>
            </w:r>
            <w:bookmarkStart w:id="903" w:name="xdx_402_ecustom--ChangeInFairValueOfEarn"/>
            <w:bookmarkEnd w:id="903"/>
          </w:p>
        </w:tc>
      </w:tr>
      <w:tr>
        <w:trPr/>
        <w:tc>
          <w:tcPr>
            <w:tcW w:w="5585" w:type="dxa"/>
            <w:tcBorders/>
            <w:shd w:fill="CCEEFF" w:val="clear"/>
            <w:vAlign w:val="center"/>
          </w:tcPr>
          <w:p>
            <w:pPr>
              <w:pStyle w:val="TableContents"/>
              <w:bidi w:val="0"/>
              <w:spacing w:before="0" w:after="283"/>
              <w:jc w:val="left"/>
              <w:rPr/>
            </w:pPr>
            <w:r>
              <w:rPr/>
              <w:t>Change in fair value of 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(31,879</w:t>
            </w:r>
          </w:p>
        </w:tc>
        <w:tc>
          <w:tcPr>
            <w:tcW w:w="110" w:type="dxa"/>
            <w:tcBorders/>
            <w:shd w:fill="CCEEFF" w:val="clear"/>
            <w:vAlign w:val="center"/>
          </w:tcPr>
          <w:p>
            <w:pPr>
              <w:pStyle w:val="TableContents"/>
              <w:bidi w:val="0"/>
              <w:spacing w:before="0" w:after="283"/>
              <w:jc w:val="left"/>
              <w:rPr/>
            </w:pPr>
            <w:r>
              <w:rPr/>
              <w:t>)</w:t>
            </w:r>
            <w:bookmarkStart w:id="904" w:name="xdx_40F_eus-gaap--FairValueAdjustmentOfW"/>
            <w:bookmarkEnd w:id="904"/>
          </w:p>
        </w:tc>
      </w:tr>
      <w:tr>
        <w:trPr/>
        <w:tc>
          <w:tcPr>
            <w:tcW w:w="5585" w:type="dxa"/>
            <w:tcBorders/>
            <w:shd w:fill="FFFFFF" w:val="clear"/>
            <w:vAlign w:val="center"/>
          </w:tcPr>
          <w:p>
            <w:pPr>
              <w:pStyle w:val="TableContents"/>
              <w:bidi w:val="0"/>
              <w:spacing w:before="0" w:after="283"/>
              <w:jc w:val="left"/>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(1,415</w:t>
            </w:r>
          </w:p>
        </w:tc>
        <w:tc>
          <w:tcPr>
            <w:tcW w:w="110" w:type="dxa"/>
            <w:tcBorders/>
            <w:shd w:fill="FFFFFF" w:val="clear"/>
            <w:vAlign w:val="center"/>
          </w:tcPr>
          <w:p>
            <w:pPr>
              <w:pStyle w:val="TableContents"/>
              <w:bidi w:val="0"/>
              <w:spacing w:before="0" w:after="283"/>
              <w:jc w:val="left"/>
              <w:rPr/>
            </w:pPr>
            <w:r>
              <w:rPr/>
              <w:t>)</w:t>
            </w:r>
            <w:bookmarkStart w:id="905" w:name="xdx_406_ecustom--ChangeInFairValueOfPIPE"/>
            <w:bookmarkEnd w:id="905"/>
          </w:p>
        </w:tc>
      </w:tr>
      <w:tr>
        <w:trPr/>
        <w:tc>
          <w:tcPr>
            <w:tcW w:w="5585" w:type="dxa"/>
            <w:tcBorders/>
            <w:shd w:fill="CCEEFF" w:val="clear"/>
            <w:vAlign w:val="center"/>
          </w:tcPr>
          <w:p>
            <w:pPr>
              <w:pStyle w:val="TableContents"/>
              <w:bidi w:val="0"/>
              <w:spacing w:before="0" w:after="283"/>
              <w:jc w:val="left"/>
              <w:rPr/>
            </w:pPr>
            <w:r>
              <w:rPr/>
              <w:t>Change in fair value of PIPE make-whole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(830</w:t>
            </w:r>
          </w:p>
        </w:tc>
        <w:tc>
          <w:tcPr>
            <w:tcW w:w="110" w:type="dxa"/>
            <w:tcBorders/>
            <w:shd w:fill="CCEEFF" w:val="clear"/>
            <w:vAlign w:val="center"/>
          </w:tcPr>
          <w:p>
            <w:pPr>
              <w:pStyle w:val="TableContents"/>
              <w:bidi w:val="0"/>
              <w:spacing w:before="0" w:after="283"/>
              <w:jc w:val="left"/>
              <w:rPr/>
            </w:pPr>
            <w:r>
              <w:rPr/>
              <w:t>)</w:t>
            </w:r>
            <w:bookmarkStart w:id="906" w:name="xdx_40D_eus-gaap--NoncashMergerRelatedCo"/>
            <w:bookmarkEnd w:id="906"/>
          </w:p>
        </w:tc>
      </w:tr>
      <w:tr>
        <w:trPr/>
        <w:tc>
          <w:tcPr>
            <w:tcW w:w="5585" w:type="dxa"/>
            <w:tcBorders/>
            <w:shd w:fill="FFFFFF" w:val="clear"/>
            <w:vAlign w:val="center"/>
          </w:tcPr>
          <w:p>
            <w:pPr>
              <w:pStyle w:val="TableContents"/>
              <w:bidi w:val="0"/>
              <w:spacing w:before="0" w:after="283"/>
              <w:jc w:val="left"/>
              <w:rPr/>
            </w:pPr>
            <w:r>
              <w:rPr/>
              <w:t>Merger-related transaction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4,009</w:t>
            </w:r>
          </w:p>
        </w:tc>
        <w:tc>
          <w:tcPr>
            <w:tcW w:w="110" w:type="dxa"/>
            <w:tcBorders/>
            <w:shd w:fill="FFFFFF" w:val="clear"/>
            <w:vAlign w:val="center"/>
          </w:tcPr>
          <w:p>
            <w:pPr>
              <w:pStyle w:val="TableContents"/>
              <w:bidi w:val="0"/>
              <w:spacing w:before="0" w:after="283"/>
              <w:jc w:val="left"/>
              <w:rPr/>
            </w:pPr>
            <w:r>
              <w:rPr/>
              <w:t> </w:t>
            </w:r>
            <w:bookmarkStart w:id="907" w:name="xdx_401_ecustom--FinancingCostsExpensed_"/>
            <w:bookmarkEnd w:id="907"/>
          </w:p>
        </w:tc>
      </w:tr>
      <w:tr>
        <w:trPr/>
        <w:tc>
          <w:tcPr>
            <w:tcW w:w="5585" w:type="dxa"/>
            <w:tcBorders/>
            <w:shd w:fill="CCEEFF" w:val="clear"/>
            <w:vAlign w:val="center"/>
          </w:tcPr>
          <w:p>
            <w:pPr>
              <w:pStyle w:val="TableContents"/>
              <w:bidi w:val="0"/>
              <w:spacing w:before="0" w:after="283"/>
              <w:jc w:val="left"/>
              <w:rPr/>
            </w:pPr>
            <w:r>
              <w:rPr/>
              <w:t>Financing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2,894</w:t>
            </w:r>
          </w:p>
        </w:tc>
        <w:tc>
          <w:tcPr>
            <w:tcW w:w="110" w:type="dxa"/>
            <w:tcBorders/>
            <w:shd w:fill="CCEEFF" w:val="clear"/>
            <w:vAlign w:val="center"/>
          </w:tcPr>
          <w:p>
            <w:pPr>
              <w:pStyle w:val="TableContents"/>
              <w:bidi w:val="0"/>
              <w:spacing w:before="0" w:after="283"/>
              <w:jc w:val="left"/>
              <w:rPr/>
            </w:pPr>
            <w:r>
              <w:rPr/>
              <w:t> </w:t>
            </w:r>
            <w:bookmarkStart w:id="908" w:name="xdx_40E_eus-gaap--OtherNonoperatingGains"/>
            <w:bookmarkEnd w:id="908"/>
          </w:p>
        </w:tc>
      </w:tr>
      <w:tr>
        <w:trPr/>
        <w:tc>
          <w:tcPr>
            <w:tcW w:w="5585" w:type="dxa"/>
            <w:tcBorders/>
            <w:shd w:fill="FFFFFF" w:val="clear"/>
            <w:vAlign w:val="center"/>
          </w:tcPr>
          <w:p>
            <w:pPr>
              <w:pStyle w:val="TableContents"/>
              <w:bidi w:val="0"/>
              <w:spacing w:before="0" w:after="283"/>
              <w:jc w:val="left"/>
              <w:rPr/>
            </w:pPr>
            <w:r>
              <w:rPr/>
              <w:t>Other non-operating losses,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1,707</w:t>
            </w:r>
          </w:p>
        </w:tc>
        <w:tc>
          <w:tcPr>
            <w:tcW w:w="110" w:type="dxa"/>
            <w:tcBorders/>
            <w:shd w:fill="FFFFFF" w:val="clear"/>
            <w:vAlign w:val="center"/>
          </w:tcPr>
          <w:p>
            <w:pPr>
              <w:pStyle w:val="TableContents"/>
              <w:bidi w:val="0"/>
              <w:spacing w:before="0" w:after="283"/>
              <w:jc w:val="left"/>
              <w:rPr/>
            </w:pPr>
            <w:r>
              <w:rPr/>
              <w:t> </w:t>
            </w:r>
            <w:bookmarkStart w:id="909" w:name="xdx_40B_eus-gaap--IncomeLossFromContinui"/>
            <w:bookmarkEnd w:id="909"/>
          </w:p>
        </w:tc>
      </w:tr>
      <w:tr>
        <w:trPr/>
        <w:tc>
          <w:tcPr>
            <w:tcW w:w="5585"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(46,124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(22,463</w:t>
            </w:r>
          </w:p>
        </w:tc>
        <w:tc>
          <w:tcPr>
            <w:tcW w:w="110" w:type="dxa"/>
            <w:tcBorders/>
            <w:shd w:fill="CCEEFF" w:val="clear"/>
            <w:vAlign w:val="center"/>
          </w:tcPr>
          <w:p>
            <w:pPr>
              <w:pStyle w:val="TableContents"/>
              <w:bidi w:val="0"/>
              <w:spacing w:before="0" w:after="283"/>
              <w:jc w:val="left"/>
              <w:rPr/>
            </w:pPr>
            <w:r>
              <w:rPr/>
              <w:t>)</w:t>
            </w:r>
            <w:bookmarkStart w:id="910" w:name="xdx_407_eus-gaap--IncomeTaxExpenseBenefi"/>
            <w:bookmarkEnd w:id="910"/>
          </w:p>
        </w:tc>
      </w:tr>
      <w:tr>
        <w:trPr/>
        <w:tc>
          <w:tcPr>
            <w:tcW w:w="5585"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(2,429</w:t>
            </w:r>
          </w:p>
        </w:tc>
        <w:tc>
          <w:tcPr>
            <w:tcW w:w="110" w:type="dxa"/>
            <w:tcBorders/>
            <w:shd w:fill="FFFFFF" w:val="clear"/>
            <w:vAlign w:val="center"/>
          </w:tcPr>
          <w:p>
            <w:pPr>
              <w:pStyle w:val="TableContents"/>
              <w:bidi w:val="0"/>
              <w:spacing w:before="0" w:after="283"/>
              <w:jc w:val="left"/>
              <w:rPr/>
            </w:pPr>
            <w:r>
              <w:rPr/>
              <w:t>)</w:t>
            </w:r>
            <w:bookmarkStart w:id="911" w:name="xdx_400_eus-gaap--NetIncomeLoss_iT_zd7Ds"/>
            <w:bookmarkEnd w:id="911"/>
          </w:p>
        </w:tc>
      </w:tr>
      <w:tr>
        <w:trPr/>
        <w:tc>
          <w:tcPr>
            <w:tcW w:w="5585"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(20,034</w:t>
            </w:r>
          </w:p>
        </w:tc>
        <w:tc>
          <w:tcPr>
            <w:tcW w:w="110" w:type="dxa"/>
            <w:tcBorders/>
            <w:shd w:fill="CCEEFF" w:val="clear"/>
            <w:vAlign w:val="center"/>
          </w:tcPr>
          <w:p>
            <w:pPr>
              <w:pStyle w:val="TableContents"/>
              <w:bidi w:val="0"/>
              <w:spacing w:before="0" w:after="283"/>
              <w:jc w:val="left"/>
              <w:rPr/>
            </w:pPr>
            <w:r>
              <w:rPr/>
              <w:t>)</w:t>
            </w:r>
            <w:bookmarkStart w:id="912" w:name="xdx_402_ecustom--DeemedDividendFromWarra"/>
            <w:bookmarkEnd w:id="912"/>
          </w:p>
        </w:tc>
      </w:tr>
      <w:tr>
        <w:trPr/>
        <w:tc>
          <w:tcPr>
            <w:tcW w:w="5585" w:type="dxa"/>
            <w:tcBorders/>
            <w:shd w:fill="FFFFFF" w:val="clear"/>
            <w:vAlign w:val="center"/>
          </w:tcPr>
          <w:p>
            <w:pPr>
              <w:pStyle w:val="TableContents"/>
              <w:bidi w:val="0"/>
              <w:spacing w:before="0" w:after="283"/>
              <w:jc w:val="left"/>
              <w:rPr/>
            </w:pPr>
            <w:r>
              <w:rPr/>
              <w:t>Deemed dividend from warrant price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661</w:t>
            </w:r>
          </w:p>
        </w:tc>
        <w:tc>
          <w:tcPr>
            <w:tcW w:w="110" w:type="dxa"/>
            <w:tcBorders/>
            <w:shd w:fill="FFFFFF" w:val="clear"/>
            <w:vAlign w:val="center"/>
          </w:tcPr>
          <w:p>
            <w:pPr>
              <w:pStyle w:val="TableContents"/>
              <w:bidi w:val="0"/>
              <w:spacing w:before="0" w:after="283"/>
              <w:jc w:val="left"/>
              <w:rPr/>
            </w:pPr>
            <w:r>
              <w:rPr/>
              <w:t> </w:t>
            </w:r>
            <w:bookmarkStart w:id="913" w:name="xdx_40B_eus-gaap--NetIncomeLossAvailable"/>
            <w:bookmarkEnd w:id="913"/>
          </w:p>
        </w:tc>
      </w:tr>
      <w:tr>
        <w:trPr/>
        <w:tc>
          <w:tcPr>
            <w:tcW w:w="5585" w:type="dxa"/>
            <w:tcBorders/>
            <w:shd w:fill="CCEEFF" w:val="clear"/>
            <w:vAlign w:val="center"/>
          </w:tcPr>
          <w:p>
            <w:pPr>
              <w:pStyle w:val="TableContents"/>
              <w:bidi w:val="0"/>
              <w:spacing w:before="0" w:after="283"/>
              <w:jc w:val="left"/>
              <w:rPr/>
            </w:pPr>
            <w:r>
              <w:rPr/>
              <w:t>Net loss available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(46,131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(20,695</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14" w:name="xdx_406_eus-gaap--EarningsPerShareBasicA"/>
            <w:bookmarkEnd w:id="914"/>
          </w:p>
        </w:tc>
      </w:tr>
      <w:tr>
        <w:trPr/>
        <w:tc>
          <w:tcPr>
            <w:tcW w:w="5585" w:type="dxa"/>
            <w:tcBorders/>
            <w:shd w:fill="CCEEFF" w:val="clear"/>
            <w:vAlign w:val="center"/>
          </w:tcPr>
          <w:p>
            <w:pPr>
              <w:pStyle w:val="TableContents"/>
              <w:bidi w:val="0"/>
              <w:spacing w:before="0" w:after="283"/>
              <w:jc w:val="left"/>
              <w:rPr/>
            </w:pPr>
            <w:r>
              <w:rPr/>
              <w:t>Net loss per share of Class A and Class B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15" w:name="xdx_40A_eus-gaap--EarningsPerShareBasic_"/>
            <w:bookmarkEnd w:id="915"/>
          </w:p>
        </w:tc>
      </w:tr>
      <w:tr>
        <w:trPr/>
        <w:tc>
          <w:tcPr>
            <w:tcW w:w="558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(7.28</w:t>
            </w:r>
          </w:p>
        </w:tc>
        <w:tc>
          <w:tcPr>
            <w:tcW w:w="110" w:type="dxa"/>
            <w:tcBorders/>
            <w:shd w:fill="FFFFFF" w:val="clear"/>
            <w:vAlign w:val="center"/>
          </w:tcPr>
          <w:p>
            <w:pPr>
              <w:pStyle w:val="TableContents"/>
              <w:bidi w:val="0"/>
              <w:spacing w:before="0" w:after="283"/>
              <w:jc w:val="left"/>
              <w:rPr/>
            </w:pPr>
            <w:r>
              <w:rPr/>
              <w:t>)</w:t>
            </w:r>
            <w:bookmarkStart w:id="916" w:name="xdx_40E_eus-gaap--EarningsPerShareDilute"/>
            <w:bookmarkEnd w:id="916"/>
          </w:p>
        </w:tc>
      </w:tr>
      <w:tr>
        <w:trPr/>
        <w:tc>
          <w:tcPr>
            <w:tcW w:w="558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(7.53</w:t>
            </w:r>
          </w:p>
        </w:tc>
        <w:tc>
          <w:tcPr>
            <w:tcW w:w="110" w:type="dxa"/>
            <w:tcBorders/>
            <w:shd w:fill="CCEEFF" w:val="clear"/>
            <w:vAlign w:val="center"/>
          </w:tcPr>
          <w:p>
            <w:pPr>
              <w:pStyle w:val="TableContents"/>
              <w:bidi w:val="0"/>
              <w:spacing w:before="0" w:after="283"/>
              <w:jc w:val="left"/>
              <w:rPr/>
            </w:pPr>
            <w:r>
              <w:rPr/>
              <w:t>)</w:t>
            </w:r>
            <w:bookmarkStart w:id="917" w:name="xdx_402_eus-gaap--WeightedAverageNumberO"/>
            <w:bookmarkEnd w:id="917"/>
          </w:p>
        </w:tc>
      </w:tr>
      <w:tr>
        <w:trPr/>
        <w:tc>
          <w:tcPr>
            <w:tcW w:w="5585" w:type="dxa"/>
            <w:tcBorders/>
            <w:shd w:fill="FFFFFF" w:val="clear"/>
            <w:vAlign w:val="center"/>
          </w:tcPr>
          <w:p>
            <w:pPr>
              <w:pStyle w:val="TableContents"/>
              <w:bidi w:val="0"/>
              <w:spacing w:before="0" w:after="283"/>
              <w:jc w:val="left"/>
              <w:rPr/>
            </w:pPr>
            <w:r>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18" w:name="xdx_409_eus-gaap--WeightedAverageNumberO"/>
            <w:bookmarkEnd w:id="918"/>
          </w:p>
        </w:tc>
      </w:tr>
      <w:tr>
        <w:trPr/>
        <w:tc>
          <w:tcPr>
            <w:tcW w:w="558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4,546,509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2,841,958</w:t>
            </w:r>
          </w:p>
        </w:tc>
        <w:tc>
          <w:tcPr>
            <w:tcW w:w="110" w:type="dxa"/>
            <w:tcBorders/>
            <w:shd w:fill="CCEEFF" w:val="clear"/>
            <w:vAlign w:val="center"/>
          </w:tcPr>
          <w:p>
            <w:pPr>
              <w:pStyle w:val="TableContents"/>
              <w:bidi w:val="0"/>
              <w:spacing w:before="0" w:after="283"/>
              <w:jc w:val="left"/>
              <w:rPr/>
            </w:pPr>
            <w:r>
              <w:rPr/>
              <w:t> </w:t>
            </w:r>
            <w:bookmarkStart w:id="919" w:name="xdx_407_eus-gaap--WeightedAverageNumberO"/>
            <w:bookmarkEnd w:id="919"/>
          </w:p>
        </w:tc>
      </w:tr>
      <w:tr>
        <w:trPr/>
        <w:tc>
          <w:tcPr>
            <w:tcW w:w="558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4,546,509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2,948,302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20" w:name="sd_004"/>
      <w:bookmarkEnd w:id="920"/>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REDEEMABLE CONVERTIBLE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 AND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921" w:name="xdx_30E_114_pn3n3_zaPUPiLKEP8b"/>
      <w:bookmarkStart w:id="922" w:name="xdx_30E_114_pn3n3_zaPUPiLKEP8b"/>
      <w:bookmarkEnd w:id="922"/>
    </w:p>
    <w:tbl>
      <w:tblPr>
        <w:tblW w:w="15310" w:type="dxa"/>
        <w:jc w:val="left"/>
        <w:tblInd w:w="0" w:type="dxa"/>
        <w:tblLayout w:type="fixed"/>
        <w:tblCellMar>
          <w:top w:w="0" w:type="dxa"/>
          <w:left w:w="0" w:type="dxa"/>
          <w:bottom w:w="0" w:type="dxa"/>
          <w:right w:w="0" w:type="dxa"/>
        </w:tblCellMar>
      </w:tblPr>
      <w:tblGrid>
        <w:gridCol w:w="1085"/>
        <w:gridCol w:w="60"/>
        <w:gridCol w:w="60"/>
        <w:gridCol w:w="575"/>
        <w:gridCol w:w="80"/>
        <w:gridCol w:w="60"/>
        <w:gridCol w:w="110"/>
        <w:gridCol w:w="665"/>
        <w:gridCol w:w="60"/>
        <w:gridCol w:w="60"/>
        <w:gridCol w:w="60"/>
        <w:gridCol w:w="665"/>
        <w:gridCol w:w="80"/>
        <w:gridCol w:w="60"/>
        <w:gridCol w:w="110"/>
        <w:gridCol w:w="665"/>
        <w:gridCol w:w="80"/>
        <w:gridCol w:w="60"/>
        <w:gridCol w:w="60"/>
        <w:gridCol w:w="575"/>
        <w:gridCol w:w="80"/>
        <w:gridCol w:w="60"/>
        <w:gridCol w:w="110"/>
        <w:gridCol w:w="665"/>
        <w:gridCol w:w="80"/>
        <w:gridCol w:w="60"/>
        <w:gridCol w:w="60"/>
        <w:gridCol w:w="800"/>
        <w:gridCol w:w="80"/>
        <w:gridCol w:w="60"/>
        <w:gridCol w:w="110"/>
        <w:gridCol w:w="665"/>
        <w:gridCol w:w="60"/>
        <w:gridCol w:w="60"/>
        <w:gridCol w:w="60"/>
        <w:gridCol w:w="740"/>
        <w:gridCol w:w="60"/>
        <w:gridCol w:w="60"/>
        <w:gridCol w:w="110"/>
        <w:gridCol w:w="665"/>
        <w:gridCol w:w="60"/>
        <w:gridCol w:w="60"/>
        <w:gridCol w:w="60"/>
        <w:gridCol w:w="605"/>
        <w:gridCol w:w="80"/>
        <w:gridCol w:w="60"/>
        <w:gridCol w:w="110"/>
        <w:gridCol w:w="665"/>
        <w:gridCol w:w="60"/>
        <w:gridCol w:w="60"/>
        <w:gridCol w:w="110"/>
        <w:gridCol w:w="845"/>
        <w:gridCol w:w="80"/>
        <w:gridCol w:w="60"/>
        <w:gridCol w:w="110"/>
        <w:gridCol w:w="1040"/>
        <w:gridCol w:w="80"/>
        <w:gridCol w:w="60"/>
        <w:gridCol w:w="110"/>
        <w:gridCol w:w="1025"/>
        <w:gridCol w:w="95"/>
      </w:tblGrid>
      <w:tr>
        <w:trPr/>
        <w:tc>
          <w:tcPr>
            <w:tcW w:w="10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923" w:name="xdx_4B3_us-gaap--StatementClassOfStockAx"/>
            <w:bookmarkEnd w:id="923"/>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924" w:name="xdx_4BC_us-gaap--StatementClassOfStockAx"/>
            <w:bookmarkEnd w:id="924"/>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925" w:name="xdx_4BF_us-gaap--StatementClassOfStockAx"/>
            <w:bookmarkEnd w:id="925"/>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926" w:name="xdx_4B7_us-gaap--StatementClassOfStockAx"/>
            <w:bookmarkEnd w:id="926"/>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927" w:name="xdx_4BA_us-gaap--StatementClassOfStockAx"/>
            <w:bookmarkEnd w:id="927"/>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928" w:name="xdx_4BC_us-gaap--StatementClassOfStockAx"/>
            <w:bookmarkEnd w:id="928"/>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929" w:name="xdx_4BE_us-gaap--StatementEquityComponen"/>
            <w:bookmarkEnd w:id="929"/>
          </w:p>
        </w:tc>
        <w:tc>
          <w:tcPr>
            <w:tcW w:w="8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Capital</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930" w:name="xdx_4BF_us-gaap--StatementEquityComponen"/>
            <w:bookmarkEnd w:id="930"/>
          </w:p>
        </w:tc>
        <w:tc>
          <w:tcPr>
            <w:tcW w:w="10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931" w:name="xdx_4BB_zUneEDhwjGRd"/>
            <w:bookmarkEnd w:id="931"/>
          </w:p>
        </w:tc>
        <w:tc>
          <w:tcPr>
            <w:tcW w:w="10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49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Founders</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Redeemable</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Convertible</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Preferred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8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Series A</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Redeemable</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Convertible</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Preferred Stock</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49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Contingently</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Redeemable</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715"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Legacy</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635"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Class A</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2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Class B</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FFFFFF" w:val="cle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Additional</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Paid-in</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Accumulated</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25" w:type="dxa"/>
            <w:tcBorders/>
            <w:shd w:fill="FFFFFF" w:val="cle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Stockholders’</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Equity</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Capital</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32" w:name="xdx_43F_c20231001__20240930_eus-gaap--St"/>
            <w:bookmarkEnd w:id="932"/>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September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33" w:name="xdx_98C_eus-gaap--SharesOutstanding_iS_p"/>
            <w:bookmarkEnd w:id="933"/>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58,823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34" w:name="xdx_984_eus-gaap--SharesOutstanding_iS_p"/>
            <w:bookmarkEnd w:id="934"/>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166,666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2,300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35" w:name="xdx_98F_eus-gaap--SharesOutstanding_iS_p"/>
            <w:bookmarkEnd w:id="935"/>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36" w:name="xdx_980_eus-gaap--SharesOutstanding_iS_p"/>
            <w:bookmarkEnd w:id="936"/>
          </w:p>
        </w:tc>
        <w:tc>
          <w:tcPr>
            <w:tcW w:w="8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1,669,217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37" w:name="xdx_98D_eus-gaap--SharesOutstanding_iS_p"/>
            <w:bookmarkEnd w:id="937"/>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38" w:name="xdx_987_eus-gaap--SharesOutstanding_iS_p"/>
            <w:bookmarkEnd w:id="938"/>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78,421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(83,762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(5,341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bookmarkStart w:id="939" w:name="xdx_406_eus-gaap--StockIssuedDuringPerio"/>
            <w:bookmarkEnd w:id="939"/>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40" w:name="xdx_981_eus-gaap--StockIssuedDuringPerio"/>
            <w:bookmarkEnd w:id="940"/>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48,217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41" w:name="xdx_987_eus-gaap--StockIssuedDuringPerio"/>
            <w:bookmarkEnd w:id="941"/>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43,783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42" w:name="xdx_40B_eus-gaap--StockIssuedDuringPerio"/>
            <w:bookmarkEnd w:id="942"/>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contingently redeemable common stock for acquisition of EMI Solutions,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43" w:name="xdx_981_eus-gaap--StockIssuedDuringPerio"/>
            <w:bookmarkEnd w:id="943"/>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96,491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44" w:name="xdx_409_ecustom--LapseOfRedemptionFeatur"/>
            <w:bookmarkEnd w:id="944"/>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Lapse of redemption feature on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45" w:name="xdx_98E_ecustom--LapseOfRedemptionFeatur"/>
            <w:bookmarkEnd w:id="945"/>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(96,491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46" w:name="xdx_984_ecustom--LapseOfRedemptionFeatur"/>
            <w:bookmarkEnd w:id="946"/>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96,491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47" w:name="xdx_405_ecustom--StockIssuedDuringPeriod"/>
            <w:bookmarkEnd w:id="947"/>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Reverse recapitalization transactions, net (Note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48" w:name="xdx_980_ecustom--StockIssuedDuringPeriod"/>
            <w:bookmarkEnd w:id="948"/>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(58,823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49" w:name="xdx_985_ecustom--StockIssuedDuringPeriod"/>
            <w:bookmarkEnd w:id="949"/>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(166,666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50" w:name="xdx_98F_ecustom--StockIssuedDuringPeriod"/>
            <w:bookmarkEnd w:id="950"/>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(1,813,925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51" w:name="xdx_982_ecustom--StockIssuedDuringPeriod"/>
            <w:bookmarkEnd w:id="951"/>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2,290,180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52" w:name="xdx_989_ecustom--StockIssuedDuringPeriod"/>
            <w:bookmarkEnd w:id="952"/>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225,490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(16,083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(16,083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bookmarkStart w:id="953" w:name="xdx_400_ecustom--IssuanceOfCommonStockFo"/>
            <w:bookmarkEnd w:id="953"/>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for acquisition of RaGE Systems,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54" w:name="xdx_981_ecustom--IssuanceOfCommonStockSh"/>
            <w:bookmarkEnd w:id="954"/>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321,404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55" w:name="xdx_405_eus-gaap--AdjustmentsToAdditiona"/>
            <w:bookmarkEnd w:id="955"/>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warrants in connection with notes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56" w:name="xdx_406_ecustom--AdjustmentsToAdditional"/>
            <w:bookmarkEnd w:id="956"/>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placement agent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57" w:name="xdx_400_eus-gaap--StockIssuedDuringPerio"/>
            <w:bookmarkEnd w:id="957"/>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exercise of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58" w:name="xdx_988_eus-gaap--StockIssuedDuringPerio"/>
            <w:bookmarkEnd w:id="958"/>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152,163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59" w:name="xdx_40B_ecustom--IssuanceOfCommonStockUp"/>
            <w:bookmarkEnd w:id="959"/>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exercise of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60" w:name="xdx_987_ecustom--IssuanceOfCommonStockUp"/>
            <w:bookmarkEnd w:id="960"/>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341,035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61" w:name="xdx_40C_eus-gaap--StockIssuedDuringPerio"/>
            <w:bookmarkEnd w:id="961"/>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vesting of RSUs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62" w:name="xdx_98C_eus-gaap--StockIssuedDuringPerio"/>
            <w:bookmarkEnd w:id="962"/>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16,146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63" w:name="xdx_406_ecustom--StockIssuedDuringPeriod"/>
            <w:bookmarkEnd w:id="963"/>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PIPE make-whole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64" w:name="xdx_98A_ecustom--StockIssuedDuringPeriod"/>
            <w:bookmarkEnd w:id="964"/>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105,202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65" w:name="xdx_406_eus-gaap--StockIssuedDuringPerio"/>
            <w:bookmarkEnd w:id="965"/>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Conversion of Class B Common Stock to Class A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66" w:name="xdx_98E_eus-gaap--StockIssuedDuringPerio"/>
            <w:bookmarkEnd w:id="966"/>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67" w:name="xdx_98C_eus-gaap--StockIssuedDuringPerio"/>
            <w:bookmarkEnd w:id="967"/>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68" w:name="xdx_40B_eus-gaap--AdjustmentsToAdditiona"/>
            <w:bookmarkEnd w:id="968"/>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Deemed dividend from warrant price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69" w:name="xdx_407_eus-gaap--AdjustmentsToAdditiona"/>
            <w:bookmarkEnd w:id="969"/>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21,383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21,383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70" w:name="xdx_40F_eus-gaap--NetIncomeLoss_zzCu3xPD"/>
            <w:bookmarkEnd w:id="970"/>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(20,034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(20,034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bookmarkStart w:id="971" w:name="xdx_439_c20241001__20250930_eus-gaap--St"/>
            <w:bookmarkEnd w:id="971"/>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September 30,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72" w:name="xdx_987_eus-gaap--SharesOutstanding_iS_p"/>
            <w:bookmarkEnd w:id="972"/>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73" w:name="xdx_981_eus-gaap--SharesOutstanding_iS_p"/>
            <w:bookmarkEnd w:id="973"/>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74" w:name="xdx_981_eus-gaap--SharesOutstanding_iS_p"/>
            <w:bookmarkEnd w:id="974"/>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75" w:name="xdx_98A_eus-gaap--SharesOutstanding_iS_p"/>
            <w:bookmarkEnd w:id="975"/>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76" w:name="xdx_989_eus-gaap--SharesOutstanding_iS_p"/>
            <w:bookmarkEnd w:id="976"/>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3,282,423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77" w:name="xdx_98F_eus-gaap--SharesOutstanding_iS_p"/>
            <w:bookmarkEnd w:id="977"/>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212,991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109,987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(104,457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5,530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78" w:name="xdx_43D_c20241001__20250930_eus-gaap--St"/>
            <w:bookmarkEnd w:id="978"/>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Balance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79" w:name="xdx_987_eus-gaap--SharesOutstanding_iS_p"/>
            <w:bookmarkEnd w:id="979"/>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80" w:name="xdx_989_eus-gaap--SharesOutstanding_iS_p"/>
            <w:bookmarkEnd w:id="980"/>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81" w:name="xdx_984_eus-gaap--SharesOutstanding_iS_p"/>
            <w:bookmarkEnd w:id="981"/>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82" w:name="xdx_982_eus-gaap--SharesOutstanding_iS_p"/>
            <w:bookmarkEnd w:id="982"/>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83" w:name="xdx_98E_eus-gaap--SharesOutstanding_iS_p"/>
            <w:bookmarkEnd w:id="983"/>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3,282,423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84" w:name="xdx_98A_eus-gaap--SharesOutstanding_iS_p"/>
            <w:bookmarkEnd w:id="984"/>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212,991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109,987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(104,457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5,530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85" w:name="xdx_406_ecustom--StockIssuedDuringPeriod"/>
            <w:bookmarkEnd w:id="985"/>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Class A Common Stock and warrants in private placement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86" w:name="xdx_980_ecustom--StockIssuedDuringPeriod"/>
            <w:bookmarkEnd w:id="986"/>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87" w:name="xdx_403_eus-gaap--StockIssuedDuringPerio"/>
            <w:bookmarkEnd w:id="987"/>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88" w:name="xdx_98E_eus-gaap--StockIssuedDuringPerio"/>
            <w:bookmarkEnd w:id="988"/>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205,821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89" w:name="xdx_406_ecustom--StockIssuedDuringPeriod"/>
            <w:bookmarkEnd w:id="989"/>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Class A Common Stock for RaGE earnout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90" w:name="xdx_98C_ecustom--StockIssuedDuringPeriod"/>
            <w:bookmarkEnd w:id="990"/>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64,280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91" w:name="xdx_40F_ecustom--StockIssuedDuringPeriod"/>
            <w:bookmarkEnd w:id="991"/>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Class A Common Stock in settlement of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92" w:name="xdx_981_ecustom--StockIssuedDuringPeriod"/>
            <w:bookmarkEnd w:id="992"/>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143,540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93" w:name="xdx_40B_ecustom--IssuanceOfCommonStockUp"/>
            <w:bookmarkEnd w:id="993"/>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exercise of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94" w:name="xdx_986_ecustom--IssuanceOfCommonStockUp"/>
            <w:bookmarkEnd w:id="994"/>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903,852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95" w:name="xdx_407_eus-gaap--StockIssuedDuringPerio"/>
            <w:bookmarkEnd w:id="995"/>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vesting of RSUs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96" w:name="xdx_98B_eus-gaap--StockIssuedDuringPerio"/>
            <w:bookmarkEnd w:id="996"/>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226,425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97" w:name="xdx_40C_eus-gaap--StockIssuedDuringPerio"/>
            <w:bookmarkEnd w:id="997"/>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restricted stock awards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98" w:name="xdx_983_eus-gaap--StockIssuedDuringPerio"/>
            <w:bookmarkEnd w:id="998"/>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99" w:name="xdx_404_ecustom--StockIssuedDuringPeriod"/>
            <w:bookmarkEnd w:id="999"/>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stock pledged as collateral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00" w:name="xdx_98C_ecustom--CommonStockPledgedAsCol"/>
            <w:bookmarkEnd w:id="1000"/>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01" w:name="xdx_406_eus-gaap--StockIssuedDuringPerio"/>
            <w:bookmarkEnd w:id="1001"/>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Conversion of Class B Common Stock to Class A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02" w:name="xdx_988_eus-gaap--StockIssuedDuringPerio"/>
            <w:bookmarkEnd w:id="1002"/>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03" w:name="xdx_985_eus-gaap--StockIssuedDuringPerio"/>
            <w:bookmarkEnd w:id="1003"/>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04" w:name="xdx_407_eus-gaap--AdjustmentsToAdditiona"/>
            <w:bookmarkEnd w:id="1004"/>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25,619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25,619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05" w:name="xdx_40F_eus-gaap--NetIncomeLoss_zhT4JnwJ"/>
            <w:bookmarkEnd w:id="1005"/>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(46,131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(46,131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bookmarkStart w:id="1006" w:name="xdx_435_c20241001__20250930_eus-gaap--St"/>
            <w:bookmarkEnd w:id="1006"/>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September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007" w:name="xdx_981_eus-gaap--SharesOutstanding_iE_p"/>
            <w:bookmarkEnd w:id="1007"/>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008" w:name="xdx_98C_eus-gaap--SharesOutstanding_iE_p"/>
            <w:bookmarkEnd w:id="1008"/>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009" w:name="xdx_989_eus-gaap--SharesOutstanding_iE_p"/>
            <w:bookmarkEnd w:id="1009"/>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010" w:name="xdx_980_eus-gaap--SharesOutstanding_iE_p"/>
            <w:bookmarkEnd w:id="1010"/>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5,883,842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011" w:name="xdx_98C_eus-gaap--SharesOutstanding_iE_p"/>
            <w:bookmarkEnd w:id="1011"/>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200,491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150,252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(150,588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(336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bookmarkStart w:id="1012" w:name="xdx_434_c20241001__20250930_eus-gaap--St"/>
            <w:bookmarkEnd w:id="1012"/>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Balance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013" w:name="xdx_98B_eus-gaap--SharesOutstanding_iE_p"/>
            <w:bookmarkEnd w:id="1013"/>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014" w:name="xdx_987_eus-gaap--SharesOutstanding_iE_p"/>
            <w:bookmarkEnd w:id="1014"/>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015" w:name="xdx_98D_eus-gaap--SharesOutstanding_iE_p"/>
            <w:bookmarkEnd w:id="1015"/>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016" w:name="xdx_98F_eus-gaap--SharesOutstanding_iE_p"/>
            <w:bookmarkEnd w:id="1016"/>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017" w:name="xdx_985_eus-gaap--SharesOutstanding_iE_p"/>
            <w:bookmarkEnd w:id="1017"/>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5,883,842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018" w:name="xdx_98B_eus-gaap--SharesOutstanding_iE_p"/>
            <w:bookmarkEnd w:id="1018"/>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200,491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150,252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(150,588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(336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19" w:name="sd_005"/>
      <w:bookmarkEnd w:id="1019"/>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020" w:name="xdx_30A_112_pn3n3_zcafBWOFGWFd"/>
      <w:bookmarkStart w:id="1021" w:name="xdx_30A_112_pn3n3_zcafBWOFGWFd"/>
      <w:bookmarkEnd w:id="1021"/>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22" w:name="xdx_498_20241001__20250930_zYJzBJzirEb3"/>
            <w:bookmarkEnd w:id="1022"/>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23" w:name="xdx_490_20231001__20240930_zQtPjFk4a0mi"/>
            <w:bookmarkEnd w:id="1023"/>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110" w:type="dxa"/>
            <w:tcBorders/>
            <w:vAlign w:val="center"/>
          </w:tcPr>
          <w:p>
            <w:pPr>
              <w:pStyle w:val="TableContents"/>
              <w:bidi w:val="0"/>
              <w:spacing w:before="0" w:after="283"/>
              <w:jc w:val="center"/>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1024" w:name="xdx_40F_eus-gaap--NetCashProvidedByUsedI"/>
            <w:bookmarkEnd w:id="1024"/>
          </w:p>
        </w:tc>
      </w:tr>
      <w:tr>
        <w:trPr/>
        <w:tc>
          <w:tcPr>
            <w:tcW w:w="8090"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25" w:name="xdx_401_eus-gaap--NetIncomeLoss_i01_za3t"/>
            <w:bookmarkEnd w:id="1025"/>
          </w:p>
        </w:tc>
      </w:tr>
      <w:tr>
        <w:trPr/>
        <w:tc>
          <w:tcPr>
            <w:tcW w:w="80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(46,131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(20,034</w:t>
            </w:r>
          </w:p>
        </w:tc>
        <w:tc>
          <w:tcPr>
            <w:tcW w:w="110" w:type="dxa"/>
            <w:tcBorders/>
            <w:shd w:fill="FFFFFF" w:val="clear"/>
            <w:vAlign w:val="center"/>
          </w:tcPr>
          <w:p>
            <w:pPr>
              <w:pStyle w:val="TableContents"/>
              <w:bidi w:val="0"/>
              <w:spacing w:before="0" w:after="283"/>
              <w:jc w:val="left"/>
              <w:rPr/>
            </w:pPr>
            <w:r>
              <w:rPr/>
              <w:t>)</w:t>
            </w:r>
            <w:bookmarkStart w:id="1026" w:name="xdx_40E_eus-gaap--AdjustmentsNoncashItem"/>
            <w:bookmarkEnd w:id="1026"/>
          </w:p>
        </w:tc>
      </w:tr>
      <w:tr>
        <w:trPr/>
        <w:tc>
          <w:tcPr>
            <w:tcW w:w="809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27" w:name="xdx_408_eus-gaap--Depreciation_i02_zGRBW"/>
            <w:bookmarkEnd w:id="1027"/>
          </w:p>
        </w:tc>
      </w:tr>
      <w:tr>
        <w:trPr/>
        <w:tc>
          <w:tcPr>
            <w:tcW w:w="809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472</w:t>
            </w:r>
          </w:p>
        </w:tc>
        <w:tc>
          <w:tcPr>
            <w:tcW w:w="110" w:type="dxa"/>
            <w:tcBorders/>
            <w:shd w:fill="FFFFFF" w:val="clear"/>
            <w:vAlign w:val="center"/>
          </w:tcPr>
          <w:p>
            <w:pPr>
              <w:pStyle w:val="TableContents"/>
              <w:bidi w:val="0"/>
              <w:spacing w:before="0" w:after="283"/>
              <w:jc w:val="left"/>
              <w:rPr/>
            </w:pPr>
            <w:r>
              <w:rPr/>
              <w:t> </w:t>
            </w:r>
            <w:bookmarkStart w:id="1028" w:name="xdx_408_eus-gaap--AmortizationOfIntangib"/>
            <w:bookmarkEnd w:id="1028"/>
          </w:p>
        </w:tc>
      </w:tr>
      <w:tr>
        <w:trPr/>
        <w:tc>
          <w:tcPr>
            <w:tcW w:w="809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1,543</w:t>
            </w:r>
          </w:p>
        </w:tc>
        <w:tc>
          <w:tcPr>
            <w:tcW w:w="110" w:type="dxa"/>
            <w:tcBorders/>
            <w:shd w:fill="CCEEFF" w:val="clear"/>
            <w:vAlign w:val="center"/>
          </w:tcPr>
          <w:p>
            <w:pPr>
              <w:pStyle w:val="TableContents"/>
              <w:bidi w:val="0"/>
              <w:spacing w:before="0" w:after="283"/>
              <w:jc w:val="left"/>
              <w:rPr/>
            </w:pPr>
            <w:r>
              <w:rPr/>
              <w:t> </w:t>
            </w:r>
            <w:bookmarkStart w:id="1029" w:name="xdx_40F_eus-gaap--ImpairmentOfLongLivedA"/>
            <w:bookmarkEnd w:id="1029"/>
          </w:p>
        </w:tc>
      </w:tr>
      <w:tr>
        <w:trPr/>
        <w:tc>
          <w:tcPr>
            <w:tcW w:w="8090"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1,333</w:t>
            </w:r>
          </w:p>
        </w:tc>
        <w:tc>
          <w:tcPr>
            <w:tcW w:w="110" w:type="dxa"/>
            <w:tcBorders/>
            <w:shd w:fill="FFFFFF" w:val="clear"/>
            <w:vAlign w:val="center"/>
          </w:tcPr>
          <w:p>
            <w:pPr>
              <w:pStyle w:val="TableContents"/>
              <w:bidi w:val="0"/>
              <w:spacing w:before="0" w:after="283"/>
              <w:jc w:val="left"/>
              <w:rPr/>
            </w:pPr>
            <w:r>
              <w:rPr/>
              <w:t> </w:t>
            </w:r>
            <w:bookmarkStart w:id="1030" w:name="xdx_40C_eus-gaap--IssuanceOfStockAndWarr"/>
            <w:bookmarkEnd w:id="1030"/>
          </w:p>
        </w:tc>
      </w:tr>
      <w:tr>
        <w:trPr/>
        <w:tc>
          <w:tcPr>
            <w:tcW w:w="8090" w:type="dxa"/>
            <w:tcBorders/>
            <w:shd w:fill="CCEEFF" w:val="clear"/>
            <w:vAlign w:val="center"/>
          </w:tcPr>
          <w:p>
            <w:pPr>
              <w:pStyle w:val="TableContents"/>
              <w:bidi w:val="0"/>
              <w:spacing w:before="0" w:after="283"/>
              <w:jc w:val="left"/>
              <w:rPr/>
            </w:pPr>
            <w:r>
              <w:rPr/>
              <w:t>Issuance of warrants in connection with financing activities, charged to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1,023</w:t>
            </w:r>
          </w:p>
        </w:tc>
        <w:tc>
          <w:tcPr>
            <w:tcW w:w="110" w:type="dxa"/>
            <w:tcBorders/>
            <w:shd w:fill="CCEEFF" w:val="clear"/>
            <w:vAlign w:val="center"/>
          </w:tcPr>
          <w:p>
            <w:pPr>
              <w:pStyle w:val="TableContents"/>
              <w:bidi w:val="0"/>
              <w:spacing w:before="0" w:after="283"/>
              <w:jc w:val="left"/>
              <w:rPr/>
            </w:pPr>
            <w:r>
              <w:rPr/>
              <w:t> </w:t>
            </w:r>
            <w:bookmarkStart w:id="1031" w:name="xdx_40D_ecustom--ChangeInFairValueOfEarn"/>
            <w:bookmarkEnd w:id="1031"/>
          </w:p>
        </w:tc>
      </w:tr>
      <w:tr>
        <w:trPr/>
        <w:tc>
          <w:tcPr>
            <w:tcW w:w="8090" w:type="dxa"/>
            <w:tcBorders/>
            <w:shd w:fill="FFFFFF" w:val="clear"/>
            <w:vAlign w:val="center"/>
          </w:tcPr>
          <w:p>
            <w:pPr>
              <w:pStyle w:val="TableContents"/>
              <w:bidi w:val="0"/>
              <w:spacing w:before="0" w:after="283"/>
              <w:jc w:val="left"/>
              <w:rPr/>
            </w:pPr>
            <w:r>
              <w:rPr/>
              <w:t>Change in fair value of 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(31,879</w:t>
            </w:r>
          </w:p>
        </w:tc>
        <w:tc>
          <w:tcPr>
            <w:tcW w:w="110" w:type="dxa"/>
            <w:tcBorders/>
            <w:shd w:fill="FFFFFF" w:val="clear"/>
            <w:vAlign w:val="center"/>
          </w:tcPr>
          <w:p>
            <w:pPr>
              <w:pStyle w:val="TableContents"/>
              <w:bidi w:val="0"/>
              <w:spacing w:before="0" w:after="283"/>
              <w:jc w:val="left"/>
              <w:rPr/>
            </w:pPr>
            <w:r>
              <w:rPr/>
              <w:t>)</w:t>
            </w:r>
            <w:bookmarkStart w:id="1032" w:name="xdx_406_eus-gaap--FairValueAdjustmentOfW"/>
            <w:bookmarkEnd w:id="1032"/>
          </w:p>
        </w:tc>
      </w:tr>
      <w:tr>
        <w:trPr/>
        <w:tc>
          <w:tcPr>
            <w:tcW w:w="8090" w:type="dxa"/>
            <w:tcBorders/>
            <w:shd w:fill="CCEEFF" w:val="clear"/>
            <w:vAlign w:val="center"/>
          </w:tcPr>
          <w:p>
            <w:pPr>
              <w:pStyle w:val="TableContents"/>
              <w:bidi w:val="0"/>
              <w:spacing w:before="0" w:after="283"/>
              <w:jc w:val="left"/>
              <w:rPr/>
            </w:pPr>
            <w:r>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(1,415</w:t>
            </w:r>
          </w:p>
        </w:tc>
        <w:tc>
          <w:tcPr>
            <w:tcW w:w="110" w:type="dxa"/>
            <w:tcBorders/>
            <w:shd w:fill="CCEEFF" w:val="clear"/>
            <w:vAlign w:val="center"/>
          </w:tcPr>
          <w:p>
            <w:pPr>
              <w:pStyle w:val="TableContents"/>
              <w:bidi w:val="0"/>
              <w:spacing w:before="0" w:after="283"/>
              <w:jc w:val="left"/>
              <w:rPr/>
            </w:pPr>
            <w:r>
              <w:rPr/>
              <w:t>)</w:t>
            </w:r>
            <w:bookmarkStart w:id="1033" w:name="xdx_401_ecustom--ChangeInFairValueOfPIPE"/>
            <w:bookmarkEnd w:id="1033"/>
          </w:p>
        </w:tc>
      </w:tr>
      <w:tr>
        <w:trPr/>
        <w:tc>
          <w:tcPr>
            <w:tcW w:w="8090" w:type="dxa"/>
            <w:tcBorders/>
            <w:shd w:fill="FFFFFF" w:val="clear"/>
            <w:vAlign w:val="center"/>
          </w:tcPr>
          <w:p>
            <w:pPr>
              <w:pStyle w:val="TableContents"/>
              <w:bidi w:val="0"/>
              <w:spacing w:before="0" w:after="283"/>
              <w:jc w:val="left"/>
              <w:rPr/>
            </w:pPr>
            <w:r>
              <w:rPr/>
              <w:t>Change in fair value of PIPE make-whole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(830</w:t>
            </w:r>
          </w:p>
        </w:tc>
        <w:tc>
          <w:tcPr>
            <w:tcW w:w="110" w:type="dxa"/>
            <w:tcBorders/>
            <w:shd w:fill="FFFFFF" w:val="clear"/>
            <w:vAlign w:val="center"/>
          </w:tcPr>
          <w:p>
            <w:pPr>
              <w:pStyle w:val="TableContents"/>
              <w:bidi w:val="0"/>
              <w:spacing w:before="0" w:after="283"/>
              <w:jc w:val="left"/>
              <w:rPr/>
            </w:pPr>
            <w:r>
              <w:rPr/>
              <w:t>)</w:t>
            </w:r>
            <w:bookmarkStart w:id="1034" w:name="xdx_407_eus-gaap--NoncashMergerRelatedCo"/>
            <w:bookmarkEnd w:id="1034"/>
          </w:p>
        </w:tc>
      </w:tr>
      <w:tr>
        <w:trPr/>
        <w:tc>
          <w:tcPr>
            <w:tcW w:w="8090" w:type="dxa"/>
            <w:tcBorders/>
            <w:shd w:fill="CCEEFF" w:val="clear"/>
            <w:vAlign w:val="center"/>
          </w:tcPr>
          <w:p>
            <w:pPr>
              <w:pStyle w:val="TableContents"/>
              <w:bidi w:val="0"/>
              <w:spacing w:before="0" w:after="283"/>
              <w:jc w:val="left"/>
              <w:rPr/>
            </w:pPr>
            <w:r>
              <w:rPr/>
              <w:t>Merger-related transaction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4,009</w:t>
            </w:r>
          </w:p>
        </w:tc>
        <w:tc>
          <w:tcPr>
            <w:tcW w:w="110" w:type="dxa"/>
            <w:tcBorders/>
            <w:shd w:fill="CCEEFF" w:val="clear"/>
            <w:vAlign w:val="center"/>
          </w:tcPr>
          <w:p>
            <w:pPr>
              <w:pStyle w:val="TableContents"/>
              <w:bidi w:val="0"/>
              <w:spacing w:before="0" w:after="283"/>
              <w:jc w:val="left"/>
              <w:rPr/>
            </w:pPr>
            <w:r>
              <w:rPr/>
              <w:t> </w:t>
            </w:r>
            <w:bookmarkStart w:id="1035" w:name="xdx_409_ecustom--PrivatePlacementCosts_i"/>
            <w:bookmarkEnd w:id="1035"/>
          </w:p>
        </w:tc>
      </w:tr>
      <w:tr>
        <w:trPr/>
        <w:tc>
          <w:tcPr>
            <w:tcW w:w="8090" w:type="dxa"/>
            <w:tcBorders/>
            <w:shd w:fill="FFFFFF" w:val="clear"/>
            <w:vAlign w:val="center"/>
          </w:tcPr>
          <w:p>
            <w:pPr>
              <w:pStyle w:val="TableContents"/>
              <w:bidi w:val="0"/>
              <w:spacing w:before="0" w:after="283"/>
              <w:jc w:val="left"/>
              <w:rPr/>
            </w:pPr>
            <w:r>
              <w:rPr/>
              <w:t>Private placement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2,894</w:t>
            </w:r>
          </w:p>
        </w:tc>
        <w:tc>
          <w:tcPr>
            <w:tcW w:w="110" w:type="dxa"/>
            <w:tcBorders/>
            <w:shd w:fill="FFFFFF" w:val="clear"/>
            <w:vAlign w:val="center"/>
          </w:tcPr>
          <w:p>
            <w:pPr>
              <w:pStyle w:val="TableContents"/>
              <w:bidi w:val="0"/>
              <w:spacing w:before="0" w:after="283"/>
              <w:jc w:val="left"/>
              <w:rPr/>
            </w:pPr>
            <w:r>
              <w:rPr/>
              <w:t> </w:t>
            </w:r>
            <w:bookmarkStart w:id="1036" w:name="xdx_409_eus-gaap--ShareBasedCompensation"/>
            <w:bookmarkEnd w:id="1036"/>
          </w:p>
        </w:tc>
      </w:tr>
      <w:tr>
        <w:trPr/>
        <w:tc>
          <w:tcPr>
            <w:tcW w:w="809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21,383</w:t>
            </w:r>
          </w:p>
        </w:tc>
        <w:tc>
          <w:tcPr>
            <w:tcW w:w="110" w:type="dxa"/>
            <w:tcBorders/>
            <w:shd w:fill="CCEEFF" w:val="clear"/>
            <w:vAlign w:val="center"/>
          </w:tcPr>
          <w:p>
            <w:pPr>
              <w:pStyle w:val="TableContents"/>
              <w:bidi w:val="0"/>
              <w:spacing w:before="0" w:after="283"/>
              <w:jc w:val="left"/>
              <w:rPr/>
            </w:pPr>
            <w:r>
              <w:rPr/>
              <w:t> </w:t>
            </w:r>
            <w:bookmarkStart w:id="1037" w:name="xdx_401_eus-gaap--DeferredIncomeTaxExpen"/>
            <w:bookmarkEnd w:id="1037"/>
          </w:p>
        </w:tc>
      </w:tr>
      <w:tr>
        <w:trPr/>
        <w:tc>
          <w:tcPr>
            <w:tcW w:w="8090"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(2,432</w:t>
            </w:r>
          </w:p>
        </w:tc>
        <w:tc>
          <w:tcPr>
            <w:tcW w:w="110" w:type="dxa"/>
            <w:tcBorders/>
            <w:shd w:fill="FFFFFF" w:val="clear"/>
            <w:vAlign w:val="center"/>
          </w:tcPr>
          <w:p>
            <w:pPr>
              <w:pStyle w:val="TableContents"/>
              <w:bidi w:val="0"/>
              <w:spacing w:before="0" w:after="283"/>
              <w:jc w:val="left"/>
              <w:rPr/>
            </w:pPr>
            <w:r>
              <w:rPr/>
              <w:t>)</w:t>
            </w:r>
            <w:bookmarkStart w:id="1038" w:name="xdx_402_eus-gaap--OtherNoncashIncomeExpe"/>
            <w:bookmarkEnd w:id="1038"/>
          </w:p>
        </w:tc>
      </w:tr>
      <w:tr>
        <w:trPr/>
        <w:tc>
          <w:tcPr>
            <w:tcW w:w="8090" w:type="dxa"/>
            <w:tcBorders/>
            <w:shd w:fill="CCEEFF" w:val="clear"/>
            <w:vAlign w:val="center"/>
          </w:tcPr>
          <w:p>
            <w:pPr>
              <w:pStyle w:val="TableContents"/>
              <w:bidi w:val="0"/>
              <w:spacing w:before="0" w:after="283"/>
              <w:jc w:val="left"/>
              <w:rPr/>
            </w:pPr>
            <w:r>
              <w:rPr/>
              <w:t>Other non-cash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693</w:t>
            </w:r>
          </w:p>
        </w:tc>
        <w:tc>
          <w:tcPr>
            <w:tcW w:w="110" w:type="dxa"/>
            <w:tcBorders/>
            <w:shd w:fill="CCEEFF" w:val="clear"/>
            <w:vAlign w:val="center"/>
          </w:tcPr>
          <w:p>
            <w:pPr>
              <w:pStyle w:val="TableContents"/>
              <w:bidi w:val="0"/>
              <w:spacing w:before="0" w:after="283"/>
              <w:jc w:val="left"/>
              <w:rPr/>
            </w:pPr>
            <w:r>
              <w:rPr/>
              <w:t> </w:t>
            </w:r>
            <w:bookmarkStart w:id="1039" w:name="xdx_40D_eus-gaap--IncreaseDecreaseInOper"/>
            <w:bookmarkEnd w:id="1039"/>
          </w:p>
        </w:tc>
      </w:tr>
      <w:tr>
        <w:trPr/>
        <w:tc>
          <w:tcPr>
            <w:tcW w:w="8090" w:type="dxa"/>
            <w:tcBorders/>
            <w:shd w:fill="FFFFFF" w:val="clear"/>
            <w:vAlign w:val="center"/>
          </w:tcPr>
          <w:p>
            <w:pPr>
              <w:pStyle w:val="TableContents"/>
              <w:bidi w:val="0"/>
              <w:spacing w:before="0" w:after="283"/>
              <w:jc w:val="left"/>
              <w:rPr/>
            </w:pPr>
            <w:r>
              <w:rPr/>
              <w:t>Changes in operating assets and liabilities, net of acquisitions of businesses: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40" w:name="xdx_407_eus-gaap--IncreaseDecreaseInAcco"/>
            <w:bookmarkEnd w:id="1040"/>
          </w:p>
        </w:tc>
      </w:tr>
      <w:tr>
        <w:trPr/>
        <w:tc>
          <w:tcPr>
            <w:tcW w:w="809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(1,817</w:t>
            </w:r>
          </w:p>
        </w:tc>
        <w:tc>
          <w:tcPr>
            <w:tcW w:w="110" w:type="dxa"/>
            <w:tcBorders/>
            <w:shd w:fill="CCEEFF" w:val="clear"/>
            <w:vAlign w:val="center"/>
          </w:tcPr>
          <w:p>
            <w:pPr>
              <w:pStyle w:val="TableContents"/>
              <w:bidi w:val="0"/>
              <w:spacing w:before="0" w:after="283"/>
              <w:jc w:val="left"/>
              <w:rPr/>
            </w:pPr>
            <w:r>
              <w:rPr/>
              <w:t>)</w:t>
            </w:r>
            <w:bookmarkStart w:id="1041" w:name="xdx_406_eus-gaap--IncreaseDecreaseInInve"/>
            <w:bookmarkEnd w:id="1041"/>
          </w:p>
        </w:tc>
      </w:tr>
      <w:tr>
        <w:trPr/>
        <w:tc>
          <w:tcPr>
            <w:tcW w:w="809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w:t>
            </w:r>
          </w:p>
        </w:tc>
        <w:tc>
          <w:tcPr>
            <w:tcW w:w="110" w:type="dxa"/>
            <w:tcBorders/>
            <w:shd w:fill="FFFFFF" w:val="clear"/>
            <w:vAlign w:val="center"/>
          </w:tcPr>
          <w:p>
            <w:pPr>
              <w:pStyle w:val="TableContents"/>
              <w:bidi w:val="0"/>
              <w:spacing w:before="0" w:after="283"/>
              <w:jc w:val="left"/>
              <w:rPr/>
            </w:pPr>
            <w:r>
              <w:rPr/>
              <w:t>)</w:t>
            </w:r>
            <w:bookmarkStart w:id="1042" w:name="xdx_400_eus-gaap--IncreaseDecreaseInPrep"/>
            <w:bookmarkEnd w:id="1042"/>
          </w:p>
        </w:tc>
      </w:tr>
      <w:tr>
        <w:trPr/>
        <w:tc>
          <w:tcPr>
            <w:tcW w:w="8090"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w:t>
            </w:r>
          </w:p>
        </w:tc>
        <w:tc>
          <w:tcPr>
            <w:tcW w:w="110" w:type="dxa"/>
            <w:tcBorders/>
            <w:shd w:fill="CCEEFF" w:val="clear"/>
            <w:vAlign w:val="center"/>
          </w:tcPr>
          <w:p>
            <w:pPr>
              <w:pStyle w:val="TableContents"/>
              <w:bidi w:val="0"/>
              <w:spacing w:before="0" w:after="283"/>
              <w:jc w:val="left"/>
              <w:rPr/>
            </w:pPr>
            <w:r>
              <w:rPr/>
              <w:t> </w:t>
            </w:r>
            <w:bookmarkStart w:id="1043" w:name="xdx_405_eus-gaap--IncreaseDecreaseInAcco"/>
            <w:bookmarkEnd w:id="1043"/>
          </w:p>
        </w:tc>
      </w:tr>
      <w:tr>
        <w:trPr/>
        <w:tc>
          <w:tcPr>
            <w:tcW w:w="809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3,862</w:t>
            </w:r>
          </w:p>
        </w:tc>
        <w:tc>
          <w:tcPr>
            <w:tcW w:w="110" w:type="dxa"/>
            <w:tcBorders/>
            <w:shd w:fill="FFFFFF" w:val="clear"/>
            <w:vAlign w:val="center"/>
          </w:tcPr>
          <w:p>
            <w:pPr>
              <w:pStyle w:val="TableContents"/>
              <w:bidi w:val="0"/>
              <w:spacing w:before="0" w:after="283"/>
              <w:jc w:val="left"/>
              <w:rPr/>
            </w:pPr>
            <w:r>
              <w:rPr/>
              <w:t> </w:t>
            </w:r>
            <w:bookmarkStart w:id="1044" w:name="xdx_40D_eus-gaap--IncreaseDecreaseInAccr"/>
            <w:bookmarkEnd w:id="1044"/>
          </w:p>
        </w:tc>
      </w:tr>
      <w:tr>
        <w:trPr/>
        <w:tc>
          <w:tcPr>
            <w:tcW w:w="809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2,852</w:t>
            </w:r>
          </w:p>
        </w:tc>
        <w:tc>
          <w:tcPr>
            <w:tcW w:w="110" w:type="dxa"/>
            <w:tcBorders/>
            <w:shd w:fill="CCEEFF" w:val="clear"/>
            <w:vAlign w:val="center"/>
          </w:tcPr>
          <w:p>
            <w:pPr>
              <w:pStyle w:val="TableContents"/>
              <w:bidi w:val="0"/>
              <w:spacing w:before="0" w:after="283"/>
              <w:jc w:val="left"/>
              <w:rPr/>
            </w:pPr>
            <w:r>
              <w:rPr/>
              <w:t> </w:t>
            </w:r>
            <w:bookmarkStart w:id="1045" w:name="xdx_408_eus-gaap--NetCashProvidedByUsedI"/>
            <w:bookmarkEnd w:id="1045"/>
          </w:p>
        </w:tc>
      </w:tr>
      <w:tr>
        <w:trPr/>
        <w:tc>
          <w:tcPr>
            <w:tcW w:w="80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(10,113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(18,388</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46" w:name="xdx_40C_eus-gaap--NetCashProvidedByUsedI"/>
            <w:bookmarkEnd w:id="1046"/>
          </w:p>
        </w:tc>
      </w:tr>
      <w:tr>
        <w:trPr/>
        <w:tc>
          <w:tcPr>
            <w:tcW w:w="8090"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47" w:name="xdx_406_eus-gaap--ProceedsFromSaleOfProp"/>
            <w:bookmarkEnd w:id="1047"/>
          </w:p>
        </w:tc>
      </w:tr>
      <w:tr>
        <w:trPr/>
        <w:tc>
          <w:tcPr>
            <w:tcW w:w="8090" w:type="dxa"/>
            <w:tcBorders/>
            <w:shd w:fill="CCEEFF" w:val="clear"/>
            <w:vAlign w:val="center"/>
          </w:tcPr>
          <w:p>
            <w:pPr>
              <w:pStyle w:val="TableContents"/>
              <w:bidi w:val="0"/>
              <w:spacing w:before="0" w:after="283"/>
              <w:jc w:val="left"/>
              <w:rPr/>
            </w:pPr>
            <w:r>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048" w:name="xdx_404_eus-gaap--PaymentsToAcquirePrope"/>
            <w:bookmarkEnd w:id="1048"/>
          </w:p>
        </w:tc>
      </w:tr>
      <w:tr>
        <w:trPr/>
        <w:tc>
          <w:tcPr>
            <w:tcW w:w="8090" w:type="dxa"/>
            <w:tcBorders/>
            <w:shd w:fill="FFFFFF" w:val="clear"/>
            <w:vAlign w:val="center"/>
          </w:tcPr>
          <w:p>
            <w:pPr>
              <w:pStyle w:val="TableContents"/>
              <w:bidi w:val="0"/>
              <w:spacing w:before="0" w:after="283"/>
              <w:jc w:val="left"/>
              <w:rPr/>
            </w:pPr>
            <w:r>
              <w:rPr/>
              <w:t>Acquisition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w:t>
            </w:r>
          </w:p>
        </w:tc>
        <w:tc>
          <w:tcPr>
            <w:tcW w:w="110" w:type="dxa"/>
            <w:tcBorders/>
            <w:shd w:fill="FFFFFF" w:val="clear"/>
            <w:vAlign w:val="center"/>
          </w:tcPr>
          <w:p>
            <w:pPr>
              <w:pStyle w:val="TableContents"/>
              <w:bidi w:val="0"/>
              <w:spacing w:before="0" w:after="283"/>
              <w:jc w:val="left"/>
              <w:rPr/>
            </w:pPr>
            <w:r>
              <w:rPr/>
              <w:t>)</w:t>
            </w:r>
            <w:bookmarkStart w:id="1049" w:name="xdx_40F_eus-gaap--PaymentsToAcquireBusin"/>
            <w:bookmarkEnd w:id="1049"/>
          </w:p>
        </w:tc>
      </w:tr>
      <w:tr>
        <w:trPr/>
        <w:tc>
          <w:tcPr>
            <w:tcW w:w="8090" w:type="dxa"/>
            <w:tcBorders/>
            <w:shd w:fill="CCEEFF" w:val="clear"/>
            <w:vAlign w:val="center"/>
          </w:tcPr>
          <w:p>
            <w:pPr>
              <w:pStyle w:val="TableContents"/>
              <w:bidi w:val="0"/>
              <w:spacing w:before="0" w:after="283"/>
              <w:jc w:val="left"/>
              <w:rPr/>
            </w:pPr>
            <w:r>
              <w:rPr/>
              <w:t>Acquisitions of businesses, net of cash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(1,064</w:t>
            </w:r>
          </w:p>
        </w:tc>
        <w:tc>
          <w:tcPr>
            <w:tcW w:w="110" w:type="dxa"/>
            <w:tcBorders/>
            <w:shd w:fill="CCEEFF" w:val="clear"/>
            <w:vAlign w:val="center"/>
          </w:tcPr>
          <w:p>
            <w:pPr>
              <w:pStyle w:val="TableContents"/>
              <w:bidi w:val="0"/>
              <w:spacing w:before="0" w:after="283"/>
              <w:jc w:val="left"/>
              <w:rPr/>
            </w:pPr>
            <w:r>
              <w:rPr/>
              <w:t>)</w:t>
            </w:r>
            <w:bookmarkStart w:id="1050" w:name="xdx_40E_eus-gaap--NetCashProvidedByUsedI"/>
            <w:bookmarkEnd w:id="1050"/>
          </w:p>
        </w:tc>
      </w:tr>
      <w:tr>
        <w:trPr/>
        <w:tc>
          <w:tcPr>
            <w:tcW w:w="8090"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(1,108</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51" w:name="xdx_408_eus-gaap--NetCashProvidedByUsedI"/>
            <w:bookmarkEnd w:id="1051"/>
          </w:p>
        </w:tc>
      </w:tr>
      <w:tr>
        <w:trPr/>
        <w:tc>
          <w:tcPr>
            <w:tcW w:w="8090" w:type="dxa"/>
            <w:tcBorders/>
            <w:shd w:fill="FFFFFF" w:val="clear"/>
            <w:vAlign w:val="center"/>
          </w:tcPr>
          <w:p>
            <w:pPr>
              <w:pStyle w:val="TableContents"/>
              <w:bidi w:val="0"/>
              <w:spacing w:before="0" w:after="283"/>
              <w:jc w:val="left"/>
              <w:rPr>
                <w:b/>
              </w:rPr>
            </w:pPr>
            <w:r>
              <w:rPr>
                <w:b/>
              </w:rPr>
              <w:t>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52" w:name="xdx_404_eus-gaap--ProceedsFromIssuanceOf"/>
            <w:bookmarkEnd w:id="1052"/>
          </w:p>
        </w:tc>
      </w:tr>
      <w:tr>
        <w:trPr/>
        <w:tc>
          <w:tcPr>
            <w:tcW w:w="8090" w:type="dxa"/>
            <w:tcBorders/>
            <w:shd w:fill="CCEEFF" w:val="clear"/>
            <w:vAlign w:val="center"/>
          </w:tcPr>
          <w:p>
            <w:pPr>
              <w:pStyle w:val="TableContents"/>
              <w:bidi w:val="0"/>
              <w:spacing w:before="0" w:after="283"/>
              <w:jc w:val="left"/>
              <w:rPr/>
            </w:pPr>
            <w:r>
              <w:rPr/>
              <w:t>Proceeds from sale of common stock and warrants in private placements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3,585</w:t>
            </w:r>
          </w:p>
        </w:tc>
        <w:tc>
          <w:tcPr>
            <w:tcW w:w="110" w:type="dxa"/>
            <w:tcBorders/>
            <w:shd w:fill="CCEEFF" w:val="clear"/>
            <w:vAlign w:val="center"/>
          </w:tcPr>
          <w:p>
            <w:pPr>
              <w:pStyle w:val="TableContents"/>
              <w:bidi w:val="0"/>
              <w:spacing w:before="0" w:after="283"/>
              <w:jc w:val="left"/>
              <w:rPr/>
            </w:pPr>
            <w:r>
              <w:rPr/>
              <w:t> </w:t>
            </w:r>
            <w:bookmarkStart w:id="1053" w:name="xdx_40E_eus-gaap--ProceedsFromIssuanceOf"/>
            <w:bookmarkEnd w:id="1053"/>
          </w:p>
        </w:tc>
      </w:tr>
      <w:tr>
        <w:trPr/>
        <w:tc>
          <w:tcPr>
            <w:tcW w:w="8090" w:type="dxa"/>
            <w:tcBorders/>
            <w:shd w:fill="FFFFFF" w:val="clear"/>
            <w:vAlign w:val="center"/>
          </w:tcPr>
          <w:p>
            <w:pPr>
              <w:pStyle w:val="TableContents"/>
              <w:bidi w:val="0"/>
              <w:spacing w:before="0" w:after="283"/>
              <w:jc w:val="left"/>
              <w:rPr/>
            </w:pPr>
            <w:r>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3,529</w:t>
            </w:r>
          </w:p>
        </w:tc>
        <w:tc>
          <w:tcPr>
            <w:tcW w:w="110" w:type="dxa"/>
            <w:tcBorders/>
            <w:shd w:fill="FFFFFF" w:val="clear"/>
            <w:vAlign w:val="center"/>
          </w:tcPr>
          <w:p>
            <w:pPr>
              <w:pStyle w:val="TableContents"/>
              <w:bidi w:val="0"/>
              <w:spacing w:before="0" w:after="283"/>
              <w:jc w:val="left"/>
              <w:rPr/>
            </w:pPr>
            <w:r>
              <w:rPr/>
              <w:t> </w:t>
            </w:r>
            <w:bookmarkStart w:id="1054" w:name="xdx_407_eus-gaap--ProceedsFromWarrantExe"/>
            <w:bookmarkEnd w:id="1054"/>
          </w:p>
        </w:tc>
      </w:tr>
      <w:tr>
        <w:trPr/>
        <w:tc>
          <w:tcPr>
            <w:tcW w:w="8090" w:type="dxa"/>
            <w:tcBorders/>
            <w:shd w:fill="CCEEFF" w:val="clear"/>
            <w:vAlign w:val="center"/>
          </w:tcPr>
          <w:p>
            <w:pPr>
              <w:pStyle w:val="TableContents"/>
              <w:bidi w:val="0"/>
              <w:spacing w:before="0" w:after="283"/>
              <w:jc w:val="left"/>
              <w:rPr/>
            </w:pPr>
            <w:r>
              <w:rPr/>
              <w:t>Proceeds from exercise of common stock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bookmarkStart w:id="1055" w:name="xdx_40D_eus-gaap--ProceedsFromStockOptio"/>
            <w:bookmarkEnd w:id="1055"/>
          </w:p>
        </w:tc>
      </w:tr>
      <w:tr>
        <w:trPr/>
        <w:tc>
          <w:tcPr>
            <w:tcW w:w="8090" w:type="dxa"/>
            <w:tcBorders/>
            <w:shd w:fill="FFFFFF" w:val="clear"/>
            <w:vAlign w:val="center"/>
          </w:tcPr>
          <w:p>
            <w:pPr>
              <w:pStyle w:val="TableContents"/>
              <w:bidi w:val="0"/>
              <w:spacing w:before="0" w:after="283"/>
              <w:jc w:val="left"/>
              <w:rPr/>
            </w:pPr>
            <w:r>
              <w:rPr/>
              <w:t>Proceeds from exercise of stock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225</w:t>
            </w:r>
          </w:p>
        </w:tc>
        <w:tc>
          <w:tcPr>
            <w:tcW w:w="110" w:type="dxa"/>
            <w:tcBorders/>
            <w:shd w:fill="FFFFFF" w:val="clear"/>
            <w:vAlign w:val="center"/>
          </w:tcPr>
          <w:p>
            <w:pPr>
              <w:pStyle w:val="TableContents"/>
              <w:bidi w:val="0"/>
              <w:spacing w:before="0" w:after="283"/>
              <w:jc w:val="left"/>
              <w:rPr/>
            </w:pPr>
            <w:r>
              <w:rPr/>
              <w:t> </w:t>
            </w:r>
            <w:bookmarkStart w:id="1056" w:name="xdx_40B_eus-gaap--ProceedsFromNotesPayab"/>
            <w:bookmarkEnd w:id="1056"/>
          </w:p>
        </w:tc>
      </w:tr>
      <w:tr>
        <w:trPr/>
        <w:tc>
          <w:tcPr>
            <w:tcW w:w="8090" w:type="dxa"/>
            <w:tcBorders/>
            <w:shd w:fill="CCEEFF" w:val="clear"/>
            <w:vAlign w:val="center"/>
          </w:tcPr>
          <w:p>
            <w:pPr>
              <w:pStyle w:val="TableContents"/>
              <w:bidi w:val="0"/>
              <w:spacing w:before="0" w:after="283"/>
              <w:jc w:val="left"/>
              <w:rPr/>
            </w:pPr>
            <w:r>
              <w:rPr/>
              <w:t>Proceeds from issuance of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1,198</w:t>
            </w:r>
          </w:p>
        </w:tc>
        <w:tc>
          <w:tcPr>
            <w:tcW w:w="110" w:type="dxa"/>
            <w:tcBorders/>
            <w:shd w:fill="CCEEFF" w:val="clear"/>
            <w:vAlign w:val="center"/>
          </w:tcPr>
          <w:p>
            <w:pPr>
              <w:pStyle w:val="TableContents"/>
              <w:bidi w:val="0"/>
              <w:spacing w:before="0" w:after="283"/>
              <w:jc w:val="left"/>
              <w:rPr/>
            </w:pPr>
            <w:r>
              <w:rPr/>
              <w:t> </w:t>
            </w:r>
            <w:bookmarkStart w:id="1057" w:name="xdx_403_eus-gaap--ProceedsFromNotesPayab"/>
            <w:bookmarkEnd w:id="1057"/>
          </w:p>
        </w:tc>
      </w:tr>
      <w:tr>
        <w:trPr/>
        <w:tc>
          <w:tcPr>
            <w:tcW w:w="8090" w:type="dxa"/>
            <w:tcBorders/>
            <w:shd w:fill="FFFFFF" w:val="clear"/>
            <w:vAlign w:val="center"/>
          </w:tcPr>
          <w:p>
            <w:pPr>
              <w:pStyle w:val="TableContents"/>
              <w:bidi w:val="0"/>
              <w:spacing w:before="0" w:after="283"/>
              <w:jc w:val="left"/>
              <w:rPr/>
            </w:pPr>
            <w:r>
              <w:rPr/>
              <w:t>Proceeds from issuance of 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450</w:t>
            </w:r>
          </w:p>
        </w:tc>
        <w:tc>
          <w:tcPr>
            <w:tcW w:w="110" w:type="dxa"/>
            <w:tcBorders/>
            <w:shd w:fill="FFFFFF" w:val="clear"/>
            <w:vAlign w:val="center"/>
          </w:tcPr>
          <w:p>
            <w:pPr>
              <w:pStyle w:val="TableContents"/>
              <w:bidi w:val="0"/>
              <w:spacing w:before="0" w:after="283"/>
              <w:jc w:val="left"/>
              <w:rPr/>
            </w:pPr>
            <w:r>
              <w:rPr/>
              <w:t> </w:t>
            </w:r>
            <w:bookmarkStart w:id="1058" w:name="xdx_403_eus-gaap--ProceedsFromNotesPayab"/>
            <w:bookmarkEnd w:id="1058"/>
          </w:p>
        </w:tc>
      </w:tr>
      <w:tr>
        <w:trPr/>
        <w:tc>
          <w:tcPr>
            <w:tcW w:w="8090" w:type="dxa"/>
            <w:tcBorders/>
            <w:shd w:fill="FFFFFF" w:val="clear"/>
            <w:vAlign w:val="center"/>
          </w:tcPr>
          <w:p>
            <w:pPr>
              <w:pStyle w:val="TableContents"/>
              <w:bidi w:val="0"/>
              <w:spacing w:before="0" w:after="283"/>
              <w:jc w:val="left"/>
              <w:rPr/>
            </w:pPr>
            <w:r>
              <w:rPr/>
              <w:t xml:space="preserve">Proceeds from issuance of notes payable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450</w:t>
            </w:r>
          </w:p>
        </w:tc>
        <w:tc>
          <w:tcPr>
            <w:tcW w:w="110" w:type="dxa"/>
            <w:tcBorders/>
            <w:shd w:fill="FFFFFF" w:val="clear"/>
            <w:vAlign w:val="center"/>
          </w:tcPr>
          <w:p>
            <w:pPr>
              <w:pStyle w:val="TableContents"/>
              <w:bidi w:val="0"/>
              <w:spacing w:before="0" w:after="283"/>
              <w:jc w:val="left"/>
              <w:rPr/>
            </w:pPr>
            <w:r>
              <w:rPr/>
              <w:t> </w:t>
            </w:r>
            <w:bookmarkStart w:id="1059" w:name="xdx_409_eus-gaap--RepaymentsOfNotesPayab"/>
            <w:bookmarkEnd w:id="1059"/>
          </w:p>
        </w:tc>
      </w:tr>
      <w:tr>
        <w:trPr/>
        <w:tc>
          <w:tcPr>
            <w:tcW w:w="8090" w:type="dxa"/>
            <w:tcBorders/>
            <w:shd w:fill="CCEEFF" w:val="clear"/>
            <w:vAlign w:val="center"/>
          </w:tcPr>
          <w:p>
            <w:pPr>
              <w:pStyle w:val="TableContents"/>
              <w:bidi w:val="0"/>
              <w:spacing w:before="0" w:after="283"/>
              <w:jc w:val="left"/>
              <w:rPr/>
            </w:pPr>
            <w:r>
              <w:rPr/>
              <w:t>Principal payments on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(1,749</w:t>
            </w:r>
          </w:p>
        </w:tc>
        <w:tc>
          <w:tcPr>
            <w:tcW w:w="110" w:type="dxa"/>
            <w:tcBorders/>
            <w:shd w:fill="CCEEFF" w:val="clear"/>
            <w:vAlign w:val="center"/>
          </w:tcPr>
          <w:p>
            <w:pPr>
              <w:pStyle w:val="TableContents"/>
              <w:bidi w:val="0"/>
              <w:spacing w:before="0" w:after="283"/>
              <w:jc w:val="left"/>
              <w:rPr/>
            </w:pPr>
            <w:r>
              <w:rPr/>
              <w:t>)</w:t>
            </w:r>
            <w:bookmarkStart w:id="1060" w:name="xdx_40F_eus-gaap--RepaymentsOfRelatedPar"/>
            <w:bookmarkEnd w:id="1060"/>
          </w:p>
        </w:tc>
      </w:tr>
      <w:tr>
        <w:trPr/>
        <w:tc>
          <w:tcPr>
            <w:tcW w:w="8090" w:type="dxa"/>
            <w:tcBorders/>
            <w:shd w:fill="FFFFFF" w:val="clear"/>
            <w:vAlign w:val="center"/>
          </w:tcPr>
          <w:p>
            <w:pPr>
              <w:pStyle w:val="TableContents"/>
              <w:bidi w:val="0"/>
              <w:spacing w:before="0" w:after="283"/>
              <w:jc w:val="left"/>
              <w:rPr/>
            </w:pPr>
            <w:r>
              <w:rPr/>
              <w:t>Principal payments on 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(1,463</w:t>
            </w:r>
          </w:p>
        </w:tc>
        <w:tc>
          <w:tcPr>
            <w:tcW w:w="110" w:type="dxa"/>
            <w:tcBorders/>
            <w:shd w:fill="FFFFFF" w:val="clear"/>
            <w:vAlign w:val="center"/>
          </w:tcPr>
          <w:p>
            <w:pPr>
              <w:pStyle w:val="TableContents"/>
              <w:bidi w:val="0"/>
              <w:spacing w:before="0" w:after="283"/>
              <w:jc w:val="left"/>
              <w:rPr/>
            </w:pPr>
            <w:r>
              <w:rPr/>
              <w:t>)</w:t>
            </w:r>
            <w:bookmarkStart w:id="1061" w:name="xdx_405_ecustom--DeferredConsiderationPa"/>
            <w:bookmarkEnd w:id="1061"/>
          </w:p>
        </w:tc>
      </w:tr>
      <w:tr>
        <w:trPr/>
        <w:tc>
          <w:tcPr>
            <w:tcW w:w="8090" w:type="dxa"/>
            <w:tcBorders/>
            <w:shd w:fill="CCEEFF" w:val="clear"/>
            <w:vAlign w:val="center"/>
          </w:tcPr>
          <w:p>
            <w:pPr>
              <w:pStyle w:val="TableContents"/>
              <w:bidi w:val="0"/>
              <w:spacing w:before="0" w:after="283"/>
              <w:jc w:val="left"/>
              <w:rPr/>
            </w:pPr>
            <w:r>
              <w:rPr/>
              <w:t>Deferred consideration paid for acquisitions of businesses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w:t>
            </w:r>
          </w:p>
        </w:tc>
        <w:tc>
          <w:tcPr>
            <w:tcW w:w="110" w:type="dxa"/>
            <w:tcBorders/>
            <w:shd w:fill="CCEEFF" w:val="clear"/>
            <w:vAlign w:val="center"/>
          </w:tcPr>
          <w:p>
            <w:pPr>
              <w:pStyle w:val="TableContents"/>
              <w:bidi w:val="0"/>
              <w:spacing w:before="0" w:after="283"/>
              <w:jc w:val="left"/>
              <w:rPr/>
            </w:pPr>
            <w:r>
              <w:rPr/>
              <w:t>)</w:t>
            </w:r>
            <w:bookmarkStart w:id="1062" w:name="xdx_403_ecustom--ProceedsFromTheMergerAn"/>
            <w:bookmarkEnd w:id="1062"/>
          </w:p>
        </w:tc>
      </w:tr>
      <w:tr>
        <w:trPr/>
        <w:tc>
          <w:tcPr>
            <w:tcW w:w="8090" w:type="dxa"/>
            <w:tcBorders/>
            <w:shd w:fill="FFFFFF" w:val="clear"/>
            <w:vAlign w:val="center"/>
          </w:tcPr>
          <w:p>
            <w:pPr>
              <w:pStyle w:val="TableContents"/>
              <w:bidi w:val="0"/>
              <w:spacing w:before="0" w:after="283"/>
              <w:jc w:val="left"/>
              <w:rPr/>
            </w:pPr>
            <w:r>
              <w:rPr/>
              <w:t>Proceeds from the Merger and PIPE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21,014</w:t>
            </w:r>
          </w:p>
        </w:tc>
        <w:tc>
          <w:tcPr>
            <w:tcW w:w="110" w:type="dxa"/>
            <w:tcBorders/>
            <w:shd w:fill="FFFFFF" w:val="clear"/>
            <w:vAlign w:val="center"/>
          </w:tcPr>
          <w:p>
            <w:pPr>
              <w:pStyle w:val="TableContents"/>
              <w:bidi w:val="0"/>
              <w:spacing w:before="0" w:after="283"/>
              <w:jc w:val="left"/>
              <w:rPr/>
            </w:pPr>
            <w:r>
              <w:rPr/>
              <w:t> </w:t>
            </w:r>
            <w:bookmarkStart w:id="1063" w:name="xdx_406_eus-gaap--PaymentsOfStockIssuanc"/>
            <w:bookmarkEnd w:id="1063"/>
          </w:p>
        </w:tc>
      </w:tr>
      <w:tr>
        <w:trPr/>
        <w:tc>
          <w:tcPr>
            <w:tcW w:w="8090" w:type="dxa"/>
            <w:tcBorders/>
            <w:shd w:fill="CCEEFF" w:val="clear"/>
            <w:vAlign w:val="center"/>
          </w:tcPr>
          <w:p>
            <w:pPr>
              <w:pStyle w:val="TableContents"/>
              <w:bidi w:val="0"/>
              <w:spacing w:before="0" w:after="283"/>
              <w:jc w:val="left"/>
              <w:rPr/>
            </w:pPr>
            <w:r>
              <w:rPr/>
              <w:t>Merger-related transaction costs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(6,946</w:t>
            </w:r>
          </w:p>
        </w:tc>
        <w:tc>
          <w:tcPr>
            <w:tcW w:w="110" w:type="dxa"/>
            <w:tcBorders/>
            <w:shd w:fill="CCEEFF" w:val="clear"/>
            <w:vAlign w:val="center"/>
          </w:tcPr>
          <w:p>
            <w:pPr>
              <w:pStyle w:val="TableContents"/>
              <w:bidi w:val="0"/>
              <w:spacing w:before="0" w:after="283"/>
              <w:jc w:val="left"/>
              <w:rPr/>
            </w:pPr>
            <w:r>
              <w:rPr/>
              <w:t>)</w:t>
            </w:r>
            <w:bookmarkStart w:id="1064" w:name="xdx_406_eus-gaap--NetCashProvidedByUsedI"/>
            <w:bookmarkEnd w:id="1064"/>
          </w:p>
        </w:tc>
      </w:tr>
      <w:tr>
        <w:trPr/>
        <w:tc>
          <w:tcPr>
            <w:tcW w:w="809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13,119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19,673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65" w:name="xdx_409_eus-gaap--CashCashEquivalentsRes"/>
            <w:bookmarkEnd w:id="1065"/>
          </w:p>
        </w:tc>
      </w:tr>
      <w:tr>
        <w:trPr/>
        <w:tc>
          <w:tcPr>
            <w:tcW w:w="8090" w:type="dxa"/>
            <w:tcBorders/>
            <w:shd w:fill="FFFFFF" w:val="clear"/>
            <w:vAlign w:val="center"/>
          </w:tcPr>
          <w:p>
            <w:pPr>
              <w:pStyle w:val="TableContents"/>
              <w:bidi w:val="0"/>
              <w:spacing w:before="0" w:after="283"/>
              <w:jc w:val="left"/>
              <w:rPr/>
            </w:pPr>
            <w:r>
              <w:rPr/>
              <w:t>Net increase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177</w:t>
            </w:r>
          </w:p>
        </w:tc>
        <w:tc>
          <w:tcPr>
            <w:tcW w:w="110" w:type="dxa"/>
            <w:tcBorders/>
            <w:shd w:fill="FFFFFF" w:val="clear"/>
            <w:vAlign w:val="center"/>
          </w:tcPr>
          <w:p>
            <w:pPr>
              <w:pStyle w:val="TableContents"/>
              <w:bidi w:val="0"/>
              <w:spacing w:before="0" w:after="283"/>
              <w:jc w:val="left"/>
              <w:rPr/>
            </w:pPr>
            <w:r>
              <w:rPr/>
              <w:t> </w:t>
            </w:r>
            <w:bookmarkStart w:id="1066" w:name="xdx_40F_eus-gaap--CashCashEquivalentsRes"/>
            <w:bookmarkEnd w:id="1066"/>
          </w:p>
        </w:tc>
      </w:tr>
      <w:tr>
        <w:trPr/>
        <w:tc>
          <w:tcPr>
            <w:tcW w:w="8090" w:type="dxa"/>
            <w:tcBorders/>
            <w:shd w:fill="CCEEFF" w:val="clear"/>
            <w:vAlign w:val="center"/>
          </w:tcPr>
          <w:p>
            <w:pPr>
              <w:pStyle w:val="TableContents"/>
              <w:bidi w:val="0"/>
              <w:spacing w:before="0" w:after="283"/>
              <w:jc w:val="left"/>
              <w:rPr/>
            </w:pPr>
            <w:r>
              <w:rPr/>
              <w:t>Cash,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89</w:t>
            </w:r>
          </w:p>
        </w:tc>
        <w:tc>
          <w:tcPr>
            <w:tcW w:w="110" w:type="dxa"/>
            <w:tcBorders/>
            <w:shd w:fill="CCEEFF" w:val="clear"/>
            <w:vAlign w:val="center"/>
          </w:tcPr>
          <w:p>
            <w:pPr>
              <w:pStyle w:val="TableContents"/>
              <w:bidi w:val="0"/>
              <w:spacing w:before="0" w:after="283"/>
              <w:jc w:val="left"/>
              <w:rPr/>
            </w:pPr>
            <w:r>
              <w:rPr/>
              <w:t> </w:t>
            </w:r>
            <w:bookmarkStart w:id="1067" w:name="xdx_40D_eus-gaap--CashCashEquivalentsRes"/>
            <w:bookmarkEnd w:id="1067"/>
          </w:p>
        </w:tc>
      </w:tr>
      <w:tr>
        <w:trPr/>
        <w:tc>
          <w:tcPr>
            <w:tcW w:w="8090" w:type="dxa"/>
            <w:tcBorders/>
            <w:shd w:fill="FFFFFF" w:val="clear"/>
            <w:vAlign w:val="center"/>
          </w:tcPr>
          <w:p>
            <w:pPr>
              <w:pStyle w:val="TableContents"/>
              <w:bidi w:val="0"/>
              <w:spacing w:before="0" w:after="283"/>
              <w:jc w:val="left"/>
              <w:rPr/>
            </w:pPr>
            <w:r>
              <w:rPr/>
              <w:t>Cash,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3,273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266</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68" w:name="xdx_403_eus-gaap--SupplementalCashFlowIn"/>
            <w:bookmarkEnd w:id="1068"/>
          </w:p>
        </w:tc>
      </w:tr>
      <w:tr>
        <w:trPr/>
        <w:tc>
          <w:tcPr>
            <w:tcW w:w="8090"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69" w:name="xdx_402_eus-gaap--InterestPaidNet_i01_zZ"/>
            <w:bookmarkEnd w:id="1069"/>
          </w:p>
        </w:tc>
      </w:tr>
      <w:tr>
        <w:trPr/>
        <w:tc>
          <w:tcPr>
            <w:tcW w:w="809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521</w:t>
            </w:r>
          </w:p>
        </w:tc>
        <w:tc>
          <w:tcPr>
            <w:tcW w:w="110" w:type="dxa"/>
            <w:tcBorders/>
            <w:shd w:fill="CCEEFF" w:val="clear"/>
            <w:vAlign w:val="center"/>
          </w:tcPr>
          <w:p>
            <w:pPr>
              <w:pStyle w:val="TableContents"/>
              <w:bidi w:val="0"/>
              <w:spacing w:before="0" w:after="283"/>
              <w:jc w:val="left"/>
              <w:rPr/>
            </w:pPr>
            <w:r>
              <w:rPr/>
              <w:t> </w:t>
            </w:r>
            <w:bookmarkStart w:id="1070" w:name="xdx_404_eus-gaap--IncomeTaxesPaid_i01_zr"/>
            <w:bookmarkEnd w:id="1070"/>
          </w:p>
        </w:tc>
      </w:tr>
      <w:tr>
        <w:trPr/>
        <w:tc>
          <w:tcPr>
            <w:tcW w:w="809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71" w:name="xdx_405_eus-gaap--CashFlowNoncashInvesti"/>
            <w:bookmarkEnd w:id="1071"/>
          </w:p>
        </w:tc>
      </w:tr>
      <w:tr>
        <w:trPr/>
        <w:tc>
          <w:tcPr>
            <w:tcW w:w="8090" w:type="dxa"/>
            <w:tcBorders/>
            <w:shd w:fill="FFFFFF" w:val="clear"/>
            <w:vAlign w:val="center"/>
          </w:tcPr>
          <w:p>
            <w:pPr>
              <w:pStyle w:val="TableContents"/>
              <w:bidi w:val="0"/>
              <w:spacing w:before="0" w:after="283"/>
              <w:jc w:val="left"/>
              <w:rPr/>
            </w:pPr>
            <w:r>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72" w:name="xdx_402_ecustom--SettlementOfNotesPayabl"/>
            <w:bookmarkEnd w:id="1072"/>
          </w:p>
        </w:tc>
      </w:tr>
      <w:tr>
        <w:trPr/>
        <w:tc>
          <w:tcPr>
            <w:tcW w:w="8090" w:type="dxa"/>
            <w:tcBorders/>
            <w:shd w:fill="CCEEFF" w:val="clear"/>
            <w:vAlign w:val="center"/>
          </w:tcPr>
          <w:p>
            <w:pPr>
              <w:pStyle w:val="TableContents"/>
              <w:bidi w:val="0"/>
              <w:spacing w:before="0" w:after="283"/>
              <w:jc w:val="left"/>
              <w:rPr/>
            </w:pPr>
            <w:r>
              <w:rPr/>
              <w:t>Settlement of notes payable and other liabilities in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073" w:name="xdx_40B_ecustom--ClassCommonStockIssuedF"/>
            <w:bookmarkEnd w:id="1073"/>
          </w:p>
        </w:tc>
      </w:tr>
      <w:tr>
        <w:trPr/>
        <w:tc>
          <w:tcPr>
            <w:tcW w:w="8090" w:type="dxa"/>
            <w:tcBorders/>
            <w:shd w:fill="FFFFFF" w:val="clear"/>
            <w:vAlign w:val="center"/>
          </w:tcPr>
          <w:p>
            <w:pPr>
              <w:pStyle w:val="TableContents"/>
              <w:bidi w:val="0"/>
              <w:spacing w:before="0" w:after="283"/>
              <w:jc w:val="left"/>
              <w:rPr/>
            </w:pPr>
            <w:r>
              <w:rPr/>
              <w:t>Class A Common Stock issued for RaGE earnout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74" w:name="xdx_403_ecustom--UnpaidMergerrelatedTran"/>
            <w:bookmarkEnd w:id="1074"/>
          </w:p>
        </w:tc>
      </w:tr>
      <w:tr>
        <w:trPr/>
        <w:tc>
          <w:tcPr>
            <w:tcW w:w="8090" w:type="dxa"/>
            <w:tcBorders/>
            <w:shd w:fill="CCEEFF" w:val="clear"/>
            <w:vAlign w:val="center"/>
          </w:tcPr>
          <w:p>
            <w:pPr>
              <w:pStyle w:val="TableContents"/>
              <w:bidi w:val="0"/>
              <w:spacing w:before="0" w:after="283"/>
              <w:jc w:val="left"/>
              <w:rPr/>
            </w:pPr>
            <w:r>
              <w:rPr/>
              <w:t>Unpaid Merger-related transaction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1,423</w:t>
            </w:r>
          </w:p>
        </w:tc>
        <w:tc>
          <w:tcPr>
            <w:tcW w:w="110" w:type="dxa"/>
            <w:tcBorders/>
            <w:shd w:fill="CCEEFF" w:val="clear"/>
            <w:vAlign w:val="center"/>
          </w:tcPr>
          <w:p>
            <w:pPr>
              <w:pStyle w:val="TableContents"/>
              <w:bidi w:val="0"/>
              <w:spacing w:before="0" w:after="283"/>
              <w:jc w:val="left"/>
              <w:rPr/>
            </w:pPr>
            <w:r>
              <w:rPr/>
              <w:t> </w:t>
            </w:r>
            <w:bookmarkStart w:id="1075" w:name="xdx_40C_ecustom--ContingentlyRedeemableC"/>
            <w:bookmarkEnd w:id="1075"/>
          </w:p>
        </w:tc>
      </w:tr>
      <w:tr>
        <w:trPr/>
        <w:tc>
          <w:tcPr>
            <w:tcW w:w="8090" w:type="dxa"/>
            <w:tcBorders/>
            <w:shd w:fill="FFFFFF" w:val="clear"/>
            <w:vAlign w:val="center"/>
          </w:tcPr>
          <w:p>
            <w:pPr>
              <w:pStyle w:val="TableContents"/>
              <w:bidi w:val="0"/>
              <w:spacing w:before="0" w:after="283"/>
              <w:jc w:val="left"/>
              <w:rPr/>
            </w:pPr>
            <w:r>
              <w:rPr/>
              <w:t>Contingently redeemable convertible stock issued for acquisition of EMI Solutions, Inc.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8,856</w:t>
            </w:r>
          </w:p>
        </w:tc>
        <w:tc>
          <w:tcPr>
            <w:tcW w:w="110" w:type="dxa"/>
            <w:tcBorders/>
            <w:shd w:fill="FFFFFF" w:val="clear"/>
            <w:vAlign w:val="center"/>
          </w:tcPr>
          <w:p>
            <w:pPr>
              <w:pStyle w:val="TableContents"/>
              <w:bidi w:val="0"/>
              <w:spacing w:before="0" w:after="283"/>
              <w:jc w:val="left"/>
              <w:rPr/>
            </w:pPr>
            <w:r>
              <w:rPr/>
              <w:t> </w:t>
            </w:r>
            <w:bookmarkStart w:id="1076" w:name="xdx_40A_eus-gaap--StockIssued1_i01_zl5Z6"/>
            <w:bookmarkEnd w:id="1076"/>
          </w:p>
        </w:tc>
      </w:tr>
      <w:tr>
        <w:trPr/>
        <w:tc>
          <w:tcPr>
            <w:tcW w:w="8090" w:type="dxa"/>
            <w:tcBorders/>
            <w:shd w:fill="CCEEFF" w:val="clear"/>
            <w:vAlign w:val="center"/>
          </w:tcPr>
          <w:p>
            <w:pPr>
              <w:pStyle w:val="TableContents"/>
              <w:bidi w:val="0"/>
              <w:spacing w:before="0" w:after="283"/>
              <w:jc w:val="left"/>
              <w:rPr/>
            </w:pPr>
            <w:r>
              <w:rPr/>
              <w:t>Class A Common Stock issued for acquisition of RaGE Systems, Inc.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7,682</w:t>
            </w:r>
          </w:p>
        </w:tc>
        <w:tc>
          <w:tcPr>
            <w:tcW w:w="110" w:type="dxa"/>
            <w:tcBorders/>
            <w:shd w:fill="CCEEFF" w:val="clear"/>
            <w:vAlign w:val="center"/>
          </w:tcPr>
          <w:p>
            <w:pPr>
              <w:pStyle w:val="TableContents"/>
              <w:bidi w:val="0"/>
              <w:spacing w:before="0" w:after="283"/>
              <w:jc w:val="left"/>
              <w:rPr/>
            </w:pPr>
            <w:r>
              <w:rPr/>
              <w:t> </w:t>
            </w:r>
            <w:bookmarkStart w:id="1077" w:name="xdx_409_eus-gaap--NoncashOrPartNoncashAc"/>
            <w:bookmarkEnd w:id="1077"/>
          </w:p>
        </w:tc>
      </w:tr>
      <w:tr>
        <w:trPr/>
        <w:tc>
          <w:tcPr>
            <w:tcW w:w="8090" w:type="dxa"/>
            <w:tcBorders/>
            <w:shd w:fill="FFFFFF" w:val="clear"/>
            <w:vAlign w:val="center"/>
          </w:tcPr>
          <w:p>
            <w:pPr>
              <w:pStyle w:val="TableContents"/>
              <w:bidi w:val="0"/>
              <w:spacing w:before="0" w:after="283"/>
              <w:jc w:val="left"/>
              <w:rPr/>
            </w:pPr>
            <w:r>
              <w:rPr/>
              <w:t>Deferred purchase consideration for acquisitions of businesses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3,522</w:t>
            </w:r>
          </w:p>
        </w:tc>
        <w:tc>
          <w:tcPr>
            <w:tcW w:w="110" w:type="dxa"/>
            <w:tcBorders/>
            <w:shd w:fill="FFFFFF" w:val="clear"/>
            <w:vAlign w:val="center"/>
          </w:tcPr>
          <w:p>
            <w:pPr>
              <w:pStyle w:val="TableContents"/>
              <w:bidi w:val="0"/>
              <w:spacing w:before="0" w:after="283"/>
              <w:jc w:val="left"/>
              <w:rPr/>
            </w:pPr>
            <w:r>
              <w:rPr/>
              <w:t> </w:t>
            </w:r>
            <w:bookmarkStart w:id="1078" w:name="xdx_402_ecustom--ConversionOfSafesToComm"/>
            <w:bookmarkEnd w:id="1078"/>
          </w:p>
        </w:tc>
      </w:tr>
      <w:tr>
        <w:trPr/>
        <w:tc>
          <w:tcPr>
            <w:tcW w:w="8090" w:type="dxa"/>
            <w:tcBorders/>
            <w:shd w:fill="CCEEFF" w:val="clear"/>
            <w:vAlign w:val="center"/>
          </w:tcPr>
          <w:p>
            <w:pPr>
              <w:pStyle w:val="TableContents"/>
              <w:bidi w:val="0"/>
              <w:spacing w:before="0" w:after="283"/>
              <w:jc w:val="left"/>
              <w:rPr/>
            </w:pPr>
            <w:r>
              <w:rPr/>
              <w:t>Conversion of SAFEs to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1,522</w:t>
            </w:r>
          </w:p>
        </w:tc>
        <w:tc>
          <w:tcPr>
            <w:tcW w:w="110" w:type="dxa"/>
            <w:tcBorders/>
            <w:shd w:fill="CCEEFF" w:val="clear"/>
            <w:vAlign w:val="center"/>
          </w:tcPr>
          <w:p>
            <w:pPr>
              <w:pStyle w:val="TableContents"/>
              <w:bidi w:val="0"/>
              <w:spacing w:before="0" w:after="283"/>
              <w:jc w:val="left"/>
              <w:rPr/>
            </w:pPr>
            <w:r>
              <w:rPr/>
              <w:t> </w:t>
            </w:r>
            <w:bookmarkStart w:id="1079" w:name="xdx_407_ecustom--DeemedDividendFromWarra"/>
            <w:bookmarkEnd w:id="1079"/>
          </w:p>
        </w:tc>
      </w:tr>
      <w:tr>
        <w:trPr/>
        <w:tc>
          <w:tcPr>
            <w:tcW w:w="8090" w:type="dxa"/>
            <w:tcBorders/>
            <w:shd w:fill="FFFFFF" w:val="clear"/>
            <w:vAlign w:val="center"/>
          </w:tcPr>
          <w:p>
            <w:pPr>
              <w:pStyle w:val="TableContents"/>
              <w:bidi w:val="0"/>
              <w:spacing w:before="0" w:after="283"/>
              <w:jc w:val="left"/>
              <w:rPr/>
            </w:pPr>
            <w:r>
              <w:rPr/>
              <w:t>Deemed dividend from warrant price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661</w:t>
            </w:r>
          </w:p>
        </w:tc>
        <w:tc>
          <w:tcPr>
            <w:tcW w:w="110" w:type="dxa"/>
            <w:tcBorders/>
            <w:shd w:fill="FFFFFF" w:val="clear"/>
            <w:vAlign w:val="center"/>
          </w:tcPr>
          <w:p>
            <w:pPr>
              <w:pStyle w:val="TableContents"/>
              <w:bidi w:val="0"/>
              <w:spacing w:before="0" w:after="283"/>
              <w:jc w:val="left"/>
              <w:rPr/>
            </w:pPr>
            <w:r>
              <w:rPr/>
              <w:t> </w:t>
            </w:r>
            <w:bookmarkStart w:id="1080" w:name="xdx_402_ecustom--IssuanceOfWarrantsInCon"/>
            <w:bookmarkEnd w:id="1080"/>
          </w:p>
        </w:tc>
      </w:tr>
      <w:tr>
        <w:trPr/>
        <w:tc>
          <w:tcPr>
            <w:tcW w:w="8090" w:type="dxa"/>
            <w:tcBorders/>
            <w:shd w:fill="CCEEFF" w:val="clear"/>
            <w:vAlign w:val="center"/>
          </w:tcPr>
          <w:p>
            <w:pPr>
              <w:pStyle w:val="TableContents"/>
              <w:bidi w:val="0"/>
              <w:spacing w:before="0" w:after="283"/>
              <w:jc w:val="left"/>
              <w:rPr/>
            </w:pPr>
            <w:r>
              <w:rPr/>
              <w:t>Issuance of warrants in connection with notes payable, recorded as debt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81" w:name="sd_006"/>
      <w:bookmarkEnd w:id="1081"/>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82" w:name="xdx_80B_eus-gaap--OrganizationConsolidat"/>
      <w:bookmarkEnd w:id="1082"/>
      <w:r>
        <w:rPr>
          <w:rFonts w:ascii="Times New Roman;Times;Serif" w:hAnsi="Times New Roman;Times;Serif"/>
          <w:b/>
          <w:i w:val="false"/>
          <w:caps w:val="false"/>
          <w:smallCaps w:val="false"/>
          <w:sz w:val="20"/>
        </w:rPr>
        <w:t xml:space="preserve">Note 1 — </w:t>
      </w:r>
      <w:bookmarkStart w:id="1083" w:name="xdx_82F_z5D0H8H4yVsj"/>
      <w:bookmarkEnd w:id="1083"/>
      <w:r>
        <w:rPr>
          <w:rFonts w:ascii="Times New Roman;Times;Serif" w:hAnsi="Times New Roman;Times;Serif"/>
          <w:b/>
          <w:i w:val="false"/>
          <w:caps w:val="false"/>
          <w:smallCaps w:val="false"/>
          <w:sz w:val="20"/>
        </w:rPr>
        <w:t>Company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 (“Mobix Labs” or the “Company”), a Delaware corporation based in Irvine, California, designs, develops and sells components and systems for advanced wireless and wired connectivity, radio frequency (“RF”), switching and electromagnetic interference (“EMI”) filtering technologies used in the defense, aerospace, commercial, industrial and other markets. The Company’s wireless systems solutions include products for advanced RF and millimeter wave (“mmWave”) communications, mmWave imaging, software defined radio and custom RF integrated circuits (“ICs”) targeting the defense, aerospace, commercial and industrial sectors. The Company’s interconnect products, including EMI filter inserts and filtered and non-filtered connectors, are designed for and are currently used in aerospace, military, defense and medical applications. These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(the “Closing Date”), Chavant Capital Acquisition Corp. (“Chavant”) consummated the merger pursuant to the Business Combination Agreement, dated November 15, 2022 (as amended, supplemented or otherwise modified, the “Business Combination Agreement”), by and among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and Legacy Mobix changed its name from “Mobix Labs, Inc.” to “Mobix Labs Operations, Inc.” As a result of the Merger, the Company raised gross proceeds of $</w:t>
      </w:r>
      <w:bookmarkStart w:id="1084" w:name="xdx_906_eus-gaap--ProceedsFromPreviousAc"/>
      <w:bookmarkEnd w:id="1084"/>
      <w:r>
        <w:rPr>
          <w:rFonts w:ascii="Times New Roman;Times;Serif" w:hAnsi="Times New Roman;Times;Serif"/>
          <w:b w:val="false"/>
          <w:i w:val="false"/>
          <w:caps w:val="false"/>
          <w:smallCaps w:val="false"/>
          <w:sz w:val="20"/>
        </w:rPr>
        <w:t>21,014, including the contribution of $</w:t>
      </w:r>
      <w:bookmarkStart w:id="1085" w:name="xdx_901_eus-gaap--AssetsHeldInTrust_iI_p"/>
      <w:bookmarkEnd w:id="1085"/>
      <w:r>
        <w:rPr>
          <w:rFonts w:ascii="Times New Roman;Times;Serif" w:hAnsi="Times New Roman;Times;Serif"/>
          <w:b w:val="false"/>
          <w:i w:val="false"/>
          <w:caps w:val="false"/>
          <w:smallCaps w:val="false"/>
          <w:sz w:val="20"/>
        </w:rPr>
        <w:t>1,264 of cash held in Chavant’s trust account and the $</w:t>
      </w:r>
      <w:bookmarkStart w:id="1086" w:name="xdx_909_eus-gaap--ProceedsFromOtherEquit"/>
      <w:bookmarkEnd w:id="1086"/>
      <w:r>
        <w:rPr>
          <w:rFonts w:ascii="Times New Roman;Times;Serif" w:hAnsi="Times New Roman;Times;Serif"/>
          <w:b w:val="false"/>
          <w:i w:val="false"/>
          <w:caps w:val="false"/>
          <w:smallCaps w:val="false"/>
          <w:sz w:val="20"/>
        </w:rPr>
        <w:t>19,750 private investment in public equity (“PIPE”) at $</w:t>
      </w:r>
      <w:bookmarkStart w:id="1087" w:name="xdx_90D_eus-gaap--SharesIssuedPricePerSh"/>
      <w:bookmarkEnd w:id="1087"/>
      <w:r>
        <w:rPr>
          <w:rFonts w:ascii="Times New Roman;Times;Serif" w:hAnsi="Times New Roman;Times;Serif"/>
          <w:b w:val="false"/>
          <w:i w:val="false"/>
          <w:caps w:val="false"/>
          <w:smallCaps w:val="false"/>
          <w:sz w:val="20"/>
        </w:rPr>
        <w:t>10.00 per share of Chavant’s Class A Common Stock. The common stock and public warrants of the combined company began trading on The Nasdaq Stock Market LLC under the symbols “MOBX” and “MOBXW,” respectively, on December 22,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Throughout the notes to the consolidated financial statements, unless otherwise noted or otherwise suggested by context, the “Company” refers to Legacy Mobix prior to the consummation of the Merger, and to the Company after the consummation of the Merger.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assuming the Company will continue as a going concern. Since inception, the Company has incurred operating losses and negative cash flows from operations, as a result of its ongoing investment in product development and other operating expenses. For the years ended September 30, 2025 and 2024, the Company incurred losses from operations of $</w:t>
      </w:r>
      <w:bookmarkStart w:id="1088" w:name="xdx_900_eus-gaap--OperatingIncomeLoss_iN"/>
      <w:bookmarkEnd w:id="1088"/>
      <w:r>
        <w:rPr>
          <w:rFonts w:ascii="Times New Roman;Times;Serif" w:hAnsi="Times New Roman;Times;Serif"/>
          <w:b w:val="false"/>
          <w:i w:val="false"/>
          <w:caps w:val="false"/>
          <w:smallCaps w:val="false"/>
          <w:sz w:val="20"/>
        </w:rPr>
        <w:t>37,693 and $</w:t>
      </w:r>
      <w:bookmarkStart w:id="1089" w:name="xdx_90E_eus-gaap--OperatingIncomeLoss_iN"/>
      <w:bookmarkEnd w:id="1089"/>
      <w:r>
        <w:rPr>
          <w:rFonts w:ascii="Times New Roman;Times;Serif" w:hAnsi="Times New Roman;Times;Serif"/>
          <w:b w:val="false"/>
          <w:i w:val="false"/>
          <w:caps w:val="false"/>
          <w:smallCaps w:val="false"/>
          <w:sz w:val="20"/>
        </w:rPr>
        <w:t>46,395, respectively, and as of September 30, 2025, the Company had an accumulated deficit of $</w:t>
      </w:r>
      <w:bookmarkStart w:id="1090" w:name="xdx_900_eus-gaap--RetainedEarningsAccumu"/>
      <w:bookmarkEnd w:id="1090"/>
      <w:r>
        <w:rPr>
          <w:rFonts w:ascii="Times New Roman;Times;Serif" w:hAnsi="Times New Roman;Times;Serif"/>
          <w:b w:val="false"/>
          <w:i w:val="false"/>
          <w:caps w:val="false"/>
          <w:smallCaps w:val="false"/>
          <w:sz w:val="20"/>
        </w:rPr>
        <w:t>150,588. The Company has historically financed its operations through the issuance and sale of equity securities and the issuance of debt. The Company expects to continue to incur operating losses and negative cash flows from operations for the foreseeable future and will need to raise additional debt or equity financing to fund its operations and satisfy its obligations. Management believes that there is substantial doubt concerning the Company’s ability to continue as a going concern as the Company currently does not have adequate liquidity to meet its operating needs and satisfy its obligations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will seek to raise additional capital, there can be no assurance the necessary financing will be available on terms acceptable to the Company, or at all. If the Company raises funds by issuing equity securities, dilution to existing stockholders may result. Any equity securities issued may also provide for rights, preferences or privileges senior to those of holders of common stock. If the Company raises funds by issuing debt securities, such debt securities would have rights, preferences and privileges senior to those of preferred and common stockholders. The terms of debt securities or borrowings may impose significant restrictions on the Company’s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additional financing, or if such transactions are successfully completed but do not provide adequate financing, the Company may be required to reduce its operating expenditures, which could adversely affect its business prospects, or the Company may be unable to continue operations. The consolidated financial statements do not include any adjustments that might result from the outcome of these uncertainties. Accordingly, the consolidated financial statements have been prepared on a basis that assumes the Company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91" w:name="xdx_803_eus-gaap--BasisOfPresentationAnd"/>
      <w:bookmarkEnd w:id="1091"/>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092" w:name="xdx_826_zHTQSUAysmra"/>
      <w:bookmarkEnd w:id="1092"/>
      <w:r>
        <w:rPr>
          <w:rFonts w:ascii="Times New Roman;Times;Serif" w:hAnsi="Times New Roman;Times;Serif"/>
          <w:b w:val="false"/>
          <w:i w:val="false"/>
          <w:caps w:val="false"/>
          <w:smallCaps w:val="false"/>
          <w:sz w:val="20"/>
        </w:rPr>
        <w:t>Basis of Presentation and Significant Accounting Policies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093" w:name="xdx_869_z4NIPrKXYTsd"/>
      <w:bookmarkStart w:id="1094" w:name="xdx_840_eus-gaap--BasisOfAccountingPolic"/>
      <w:bookmarkEnd w:id="1093"/>
      <w:bookmarkEnd w:id="1094"/>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Merger was accounted for as a reverse recapitalization of the Company because Legacy Mobix has been determined to be the accounting acquirer under ASC Topic 805 –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Under this method of accounting, Chavant is treated as the “acquired” company for financial reporting purposes. This determination was primarily based on holders of Legacy Mobix capital stock comprising a relative majority of the voting power of the Company upon consummation of the Merger and having the ability to nominate the majority of the governing body of the Company, Legacy Mobix senior management comprising the senior management of the Company, and Legacy Mobix operations comprising the ongoing operations of the Company. Accordingly, for accounting purposes, the financial statements of the Company represent a continuation of the financial statements of Legacy Mobix with the Merger being treated as the equivalent of Legacy Mobix issuing shares for the net assets of Chavant, accompanied by a recapitalization. The net assets of Chavant were recognized as of the Closing at historical cost, with no goodwill or other intangible assets recorded. Operations prior to the Merger are presented as those of Legacy Mobix and the accumulated deficit of Legacy Mobix has been carried forward after Closing. All issued and outstanding securities of Chavant upon Closing were treated as issuances of securities of the Company upon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in accordance with accounting principles generally accepted in the United States of America (“GAAP”) and include the accounts of Mobix Labs, Inc. and its subsidiaries. The Company’s fiscal year ends on September 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095" w:name="xdx_860_zqAenwLeopRf"/>
      <w:bookmarkStart w:id="1096" w:name="xdx_843_eus-gaap--ConsolidationPolicyTex"/>
      <w:bookmarkEnd w:id="1095"/>
      <w:bookmarkEnd w:id="1096"/>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wholly owned subsidiaries. All intercompany balances and transactions have been eliminated in consolidation. Certain prior year amounts have been reclassified for consistency with the current year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097" w:name="xdx_86F_zXKlmRHpzmF2"/>
      <w:bookmarkStart w:id="1098" w:name="xdx_846_eus-gaap--UseOfEstimates_zp7RI3V"/>
      <w:bookmarkEnd w:id="1097"/>
      <w:bookmarkEnd w:id="1098"/>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requires the Company to make estimates and assumptions that affect the reported amounts of certain assets and liabilities; the reported amounts of net revenue and expenses for the periods covered and certain amounts disclosed in the notes to the consolidated financial statements.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differ materially from those estimates and assumptions. Areas requiring significant estimates and assumptions by the Company include, but are not limited to:</w:t>
      </w:r>
    </w:p>
    <w:p>
      <w:pPr>
        <w:pStyle w:val="TextBody"/>
        <w:bidi w:val="0"/>
        <w:spacing w:before="0" w:after="0"/>
        <w:ind w:left="720" w:right="0" w:hanging="36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stock-based compensation and equity-based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3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common stock for periods prior to the Merger;</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assessments of goodwill and long-lived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measurement of liabilities carried at fair value, including the earnout liability, the PIPE make-whole liability and liability-classified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allocations and valuations of net assets acquired in business combinations;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income taxes and related valuation allowances and tax uncertainties.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099" w:name="xdx_862_zWQs8l3i55v7"/>
      <w:bookmarkStart w:id="1100" w:name="xdx_847_eus-gaap--CashAndCashEquivalents"/>
      <w:bookmarkEnd w:id="1099"/>
      <w:bookmarkEnd w:id="1100"/>
      <w:r>
        <w:rPr>
          <w:rFonts w:ascii="Times New Roman;Times;Serif" w:hAnsi="Times New Roman;Times;Serif"/>
          <w:b w:val="false"/>
          <w:i/>
          <w:caps w:val="false"/>
          <w:smallCaps w:val="false"/>
          <w:sz w:val="20"/>
        </w:rPr>
        <w:t>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and 2024, the Company’s cash balance consisted of demand deposits held at large financial institutions. The Company considers all highly liquid investments with a maturity of three months or less to be cash equivalents. The Company had </w:t>
      </w:r>
      <w:bookmarkStart w:id="1101" w:name="xdx_90D_eus-gaap--CashEquivalentsAtCarry"/>
      <w:bookmarkStart w:id="1102" w:name="xdx_908_eus-gaap--CashEquivalentsAtCarry"/>
      <w:bookmarkEnd w:id="1101"/>
      <w:bookmarkEnd w:id="1102"/>
      <w:r>
        <w:rPr>
          <w:rFonts w:ascii="Times New Roman;Times;Serif" w:hAnsi="Times New Roman;Times;Serif"/>
          <w:b w:val="false"/>
          <w:i w:val="false"/>
          <w:caps w:val="false"/>
          <w:smallCaps w:val="false"/>
          <w:sz w:val="20"/>
        </w:rPr>
        <w:t>no cash equivalents as of September 30, 2025 or 2024. The amount of deposits maintained at any financial institution may exceed federally insured limits. The Company places its cash with high credit quality financial institutions and has not experienced any losses on its deposits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03" w:name="xdx_868_zuQELQZcLgY5"/>
      <w:bookmarkStart w:id="1104" w:name="xdx_84A_eus-gaap--TradeAndOtherAccountsR"/>
      <w:bookmarkEnd w:id="1103"/>
      <w:bookmarkEnd w:id="1104"/>
      <w:r>
        <w:rPr>
          <w:rFonts w:ascii="Times New Roman;Times;Serif" w:hAnsi="Times New Roman;Times;Serif"/>
          <w:b w:val="false"/>
          <w:i/>
          <w:caps w:val="false"/>
          <w:smallCaps w:val="false"/>
          <w:sz w:val="20"/>
        </w:rPr>
        <w:t>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recorded at the invoiced amount and do not bear interest. For trade accounts receivable from customers, the Company performs ongoing credit evaluations of its customers and maintains an allowance for expected credit losses. The allowance for expected credit losses represents the Company’s best estimate based on current and historical information, and reasonable and supportable forecasts of future events and circumstances. Accounts receivable deemed uncollectible are charged against the allowance for expected credit losses when identified. The allowance for expected credit losses as of September 30, 2025 and 2024 and bad debt expense for the years ended September 30, 2025 and 2024 were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05" w:name="xdx_866_zqN9XYIfDQE3"/>
      <w:bookmarkStart w:id="1106" w:name="xdx_842_eus-gaap--InventoryPolicyTextBlo"/>
      <w:bookmarkEnd w:id="1105"/>
      <w:bookmarkEnd w:id="1106"/>
      <w:r>
        <w:rPr>
          <w:rFonts w:ascii="Times New Roman;Times;Serif" w:hAnsi="Times New Roman;Times;Serif"/>
          <w:b w:val="false"/>
          <w:i/>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stated at the lower of cost, determined on a first-in, first-out basis, or net realizable value. Inventory costs consist of purchased materials, outside manufacturing costs, inbound freight and receiving costs, and capitalized overhead. The Company records an inventory reserve for losses associated with excess and obsolete items, based on available information and the Company’s current expectations of future demand, product obsolescence and market conditions. Any provision for excess and obsolete inventory is charged to cost of revenue and is a permanent reduction of the carrying value of inventory. The reserve for excess and obsolete inventory as of September 30, 2025 and 2024 and write-downs of obsolete inventory for the years ended September 30, 2025 and 2024 were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07" w:name="xdx_867_zC0eWPPVzAol"/>
      <w:bookmarkStart w:id="1108" w:name="xdx_845_eus-gaap--PropertyPlantAndEquipm"/>
      <w:bookmarkEnd w:id="1107"/>
      <w:bookmarkEnd w:id="1108"/>
      <w:r>
        <w:rPr>
          <w:rFonts w:ascii="Times New Roman;Times;Serif" w:hAnsi="Times New Roman;Times;Serif"/>
          <w:b w:val="false"/>
          <w:i/>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property and equipment primarily consists of laboratory equipment, computer hardware, equipment, furniture and fixtures and leasehold improvements. Property and equipment are recorded at cost less accumulated depreciation and any accumulated impairment losses. Depreciation and amortization are computed using the straight-line method over the assets’ estimated useful lives. Major improvements are capitalized, while routine maintenance and repairs which do not significantly improve or extend the useful life of an asset are expensed when incurred. Upon the sale or retirement of assets, costs and the related accumulated depreciation and amortization are removed from the accounts and any gain or loss is included in the consolidated statements of operations and comprehensive loss. See Note 6, </w:t>
      </w:r>
      <w:r>
        <w:rPr>
          <w:rFonts w:ascii="Times New Roman;Times;Serif" w:hAnsi="Times New Roman;Times;Serif"/>
          <w:b w:val="false"/>
          <w:i/>
          <w:caps w:val="false"/>
          <w:smallCaps w:val="false"/>
          <w:sz w:val="20"/>
        </w:rPr>
        <w:t>Property and Equipment, net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09" w:name="xdx_861_zpJiIQcujLg6"/>
      <w:bookmarkStart w:id="1110" w:name="xdx_846_eus-gaap--GoodwillAndIntangibleA"/>
      <w:bookmarkEnd w:id="1109"/>
      <w:bookmarkEnd w:id="1110"/>
      <w:r>
        <w:rPr>
          <w:rFonts w:ascii="Times New Roman;Times;Serif" w:hAnsi="Times New Roman;Times;Serif"/>
          <w:b w:val="false"/>
          <w:i/>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intangible assets principally consist of acquired developed technology and customer relationships and have finite lives ranging from </w:t>
      </w:r>
      <w:bookmarkStart w:id="1111" w:name="xdx_902_eus-gaap--FiniteLivedIntangibleA"/>
      <w:bookmarkEnd w:id="1111"/>
      <w:r>
        <w:rPr>
          <w:rFonts w:ascii="Times New Roman;Times;Serif" w:hAnsi="Times New Roman;Times;Serif"/>
          <w:b w:val="false"/>
          <w:i w:val="false"/>
          <w:caps w:val="false"/>
          <w:smallCaps w:val="false"/>
          <w:sz w:val="20"/>
        </w:rPr>
        <w:t xml:space="preserve">1one to </w:t>
      </w:r>
      <w:bookmarkStart w:id="1112" w:name="xdx_907_eus-gaap--FiniteLivedIntangibleA"/>
      <w:bookmarkEnd w:id="1112"/>
      <w:r>
        <w:rPr>
          <w:rFonts w:ascii="Times New Roman;Times;Serif" w:hAnsi="Times New Roman;Times;Serif"/>
          <w:b w:val="false"/>
          <w:i w:val="false"/>
          <w:caps w:val="false"/>
          <w:smallCaps w:val="false"/>
          <w:sz w:val="20"/>
        </w:rPr>
        <w:t>fifteen years. The Company amortizes intangible assets over their useful lives on a straight-line basis, which the Company believes approximates the pattern in which the economic benefits of the intangible assets are expected to be utilized. To the extent that an acquired developed technology is incorporated in, or used to produce, a product the Company currently produces and sells, the related amortization expense is included in cost of revenue in the consolidated statements of operations and comprehensive loss. Amortization expense on other acquisition-related intangible assets is included in operating expenses.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13" w:name="xdx_86F_zwz9YZGnwBx3"/>
      <w:bookmarkStart w:id="1114" w:name="xdx_842_eus-gaap--ImpairmentOrDisposalOf"/>
      <w:bookmarkEnd w:id="1113"/>
      <w:bookmarkEnd w:id="1114"/>
      <w:r>
        <w:rPr>
          <w:rFonts w:ascii="Times New Roman;Times;Serif" w:hAnsi="Times New Roman;Times;Serif"/>
          <w:b w:val="false"/>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its long-lived assets, consisting of property and equipment and intangible assets, for impairment whenever events or changes in circumstances indicate that the carrying amount of such assets may not be recoverable. The Company regularly reviews its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the assets.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fair value. The Company recognized impairment losses on long-lived assets of $</w:t>
      </w:r>
      <w:bookmarkStart w:id="1115" w:name="xdx_900_eus-gaap--ImpairmentOfLongLivedA"/>
      <w:bookmarkEnd w:id="1115"/>
      <w:r>
        <w:rPr>
          <w:rFonts w:ascii="Times New Roman;Times;Serif" w:hAnsi="Times New Roman;Times;Serif"/>
          <w:b w:val="false"/>
          <w:i w:val="false"/>
          <w:caps w:val="false"/>
          <w:smallCaps w:val="false"/>
          <w:sz w:val="20"/>
        </w:rPr>
        <w:t>725 and $</w:t>
      </w:r>
      <w:bookmarkStart w:id="1116" w:name="xdx_904_eus-gaap--ImpairmentOfLongLivedA"/>
      <w:bookmarkEnd w:id="1116"/>
      <w:r>
        <w:rPr>
          <w:rFonts w:ascii="Times New Roman;Times;Serif" w:hAnsi="Times New Roman;Times;Serif"/>
          <w:b w:val="false"/>
          <w:i w:val="false"/>
          <w:caps w:val="false"/>
          <w:smallCaps w:val="false"/>
          <w:sz w:val="20"/>
        </w:rPr>
        <w:t xml:space="preserve">1,333, respectively, for the years ended September 30, 2025 and 2024. See Note 7, </w:t>
      </w:r>
      <w:r>
        <w:rPr>
          <w:rFonts w:ascii="Times New Roman;Times;Serif" w:hAnsi="Times New Roman;Times;Serif"/>
          <w:b w:val="false"/>
          <w:i/>
          <w:caps w:val="false"/>
          <w:smallCaps w:val="false"/>
          <w:sz w:val="20"/>
        </w:rPr>
        <w:t>Intangible Assets, net</w:t>
      </w:r>
      <w:r>
        <w:rPr>
          <w:rFonts w:ascii="Times New Roman;Times;Serif" w:hAnsi="Times New Roman;Times;Serif"/>
          <w:b w:val="false"/>
          <w:i w:val="false"/>
          <w:caps w:val="false"/>
          <w:smallCaps w:val="false"/>
          <w:sz w:val="20"/>
        </w:rPr>
        <w:t xml:space="preserve"> and Note 11, </w:t>
      </w:r>
      <w:r>
        <w:rPr>
          <w:rFonts w:ascii="Times New Roman;Times;Serif" w:hAnsi="Times New Roman;Times;Serif"/>
          <w:b w:val="false"/>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17" w:name="xdx_869_zPT3gNJ7anja"/>
      <w:bookmarkStart w:id="1118" w:name="xdx_84A_eus-gaap--GoodwillAndIntangibleA"/>
      <w:bookmarkEnd w:id="1117"/>
      <w:bookmarkEnd w:id="1118"/>
      <w:r>
        <w:rPr>
          <w:rFonts w:ascii="Times New Roman;Times;Serif" w:hAnsi="Times New Roman;Times;Serif"/>
          <w:b w:val="false"/>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fair value of purchase consideration of an acquired business over the fair value of the identifiable net assets acquired. Goodwill is not amortized but is tested for impairment at a reporting unit level on an annual basis on July 31, or more frequently if circumstances change or an event occurs that would more likely than not reduce the fair value of a reporting unit below its carrying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 may be required when goodwill is assessed for impairment. Qualitative factors may be assessed to determine whether it is more likely than not that the fair value of a reporting unit is less than its carrying amount. If the assessment of all relevant qualitative factors indicates that it is more likely than not that the fair value of a reporting unit is greater than its carrying amount, a quantitative goodwill impairment test is not necessary. If the assessment of all relevant qualitative factors indicates that it is more likely than not that the fair value of a reporting unit is less than its carrying amount, the Company will perform a quantitative goodwill impairment test. The quantitative impairment test for goodwill consists of a comparison of the fair value of a reporting unit with its carrying value, including the goodwill allocated to that reporting unit. If the carrying value of a reporting unit exceeds its fair value, the Company will recognize an impairment loss equal to the amount of the excess, limited to the amount of goodwill allocated to that reporting unit. Application of the impairment test requires judgment, including the identification of reporting units, assignment of assets and liabilities to reporting units and the determination of fair value of each reporting unit. The Company performed its annual qualitative impairment test and determined it was not more likely than not that the fair value of its reporting unit was less than its carrying amount. The Company did not record any goodwill impairment losses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19" w:name="xdx_86B_zIg1UEEsglOa"/>
      <w:bookmarkStart w:id="1120" w:name="xdx_847_eus-gaap--BusinessCombinationsPo"/>
      <w:bookmarkEnd w:id="1119"/>
      <w:bookmarkEnd w:id="1120"/>
      <w:r>
        <w:rPr>
          <w:rFonts w:ascii="Times New Roman;Times;Serif" w:hAnsi="Times New Roman;Times;Serif"/>
          <w:b w:val="false"/>
          <w:i/>
          <w:caps w:val="false"/>
          <w:smallCaps w:val="false"/>
          <w:sz w:val="20"/>
        </w:rPr>
        <w:t>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allocates the purchase price of an acquisition to the tangible assets acquired, liabilities assumed, and intangible assets acquired, based on their estimated fair values. The excess of the purchase price over the fair values of the net assets acquired is recorded as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for business combinations requires that management make significant estimates and assumptions to determine the fair value of assets acquired and liabilities assumed at the acquisition date. Although management believes the assumptions and estimates to be reasonable and appropriate, they are inherently uncertain. Critical estimates in valuing certain acquired assets may include, but are not limited to, expected future cash flows including revenue growth rate assumptions from product sales, customer contracts and acquired technologies, expected costs to develop acquired technology into commercially viable products, estimated cash flows from the projects when completed, including assumptions associated with the technology migration curve and expected selling, general and administrative costs. The discount rates used to discount expected future cash flows to present value are typically derived from a weighted-average cost of capital analysis and are adjusted to reflect inherent risks. Unanticipated events and circumstances may occur that could affect either the accuracy or validity of such assumptions, estimates or actual results.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21" w:name="xdx_863_zp6YlewToo5"/>
      <w:bookmarkStart w:id="1122" w:name="xdx_84E_eus-gaap--FairValueMeasurementPo"/>
      <w:bookmarkEnd w:id="1121"/>
      <w:bookmarkEnd w:id="1122"/>
      <w:r>
        <w:rPr>
          <w:rFonts w:ascii="Times New Roman;Times;Serif" w:hAnsi="Times New Roman;Times;Serif"/>
          <w:b w:val="false"/>
          <w:i/>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(an exit price) in an orderly transaction between market participants at the measurement date. The Company uses a three-tiered hierarchy for inputs used in measuring fair value that emphasizes the use of observable inputs over the use of unobservable inputs by requiring that the most observable inputs be used when available. Observable inputs are market participant assumptions based on market data obtained from sources independent of the Company. Unobservable inputs are the Company’s own assumptions of what market participants would use in pricing an asset or liability based on the best information available in the circumstances. The financial and nonfinancial assets and liabilities are classified based on the lowest level of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basis for considering such assumptions, a three-tier hierarchy is used in management’s determination of fair value based on the reliability and observability of inputs as follows: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Observable inputs that include quoted prices in active markets for identical assets or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pricing inputs that are generally less observable from objective sources, such as discounted cash flow models or valuations.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non-financial assets, including property and equipment, intangible assets and goodwill, are measured at estimated fair value on a nonrecurring basis. These assets are adjusted to fair value only when an impairment is recognized, or in the event an asset is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23" w:name="xdx_862_zM1hsVZuK1U4"/>
      <w:bookmarkStart w:id="1124" w:name="xdx_842_ecustom--FairValueOfCommonStockP"/>
      <w:bookmarkEnd w:id="1123"/>
      <w:bookmarkEnd w:id="1124"/>
      <w:r>
        <w:rPr>
          <w:rFonts w:ascii="Times New Roman;Times;Serif" w:hAnsi="Times New Roman;Times;Serif"/>
          <w:b w:val="false"/>
          <w:i/>
          <w:caps w:val="false"/>
          <w:smallCaps w:val="false"/>
          <w:sz w:val="20"/>
        </w:rPr>
        <w:t>Fair Value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of shares of its common stock by reference to quoted market prices. Prior to the Closing, there was no public market for the Company’s common stock, and the Company determined the fair value of shares of its common stock considering a number of objective and subjective factors, including: third-party valuations of its common stock, the valuation of comparable companies, sales of the Company’s common stock to outside investors in arms-length transactions, the Company’s forecasted financial performance, operational developments and milestones, the lack of marketability, the likelihood of achieving a liquidity event and the general and industry specific economic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25" w:name="xdx_86D_zbGXEXjsqKz6"/>
      <w:bookmarkStart w:id="1126" w:name="xdx_845_ecustom--ClassificationOfWarrant"/>
      <w:bookmarkEnd w:id="1125"/>
      <w:bookmarkEnd w:id="1126"/>
      <w:r>
        <w:rPr>
          <w:rFonts w:ascii="Times New Roman;Times;Serif" w:hAnsi="Times New Roman;Times;Serif"/>
          <w:b w:val="false"/>
          <w:i/>
          <w:caps w:val="false"/>
          <w:smallCaps w:val="false"/>
          <w:sz w:val="20"/>
        </w:rPr>
        <w:t>Classification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warrants to purchase its common stock as either equity-classified or liability-classified instruments based on an assessment of the warrant’s specific terms and applicable authoritative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(“ASC 480”)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The assessment considers whether the warrants are freestanding financial instruments pursuant to ASC 480, meet the liability classification requirements pursuant to ASC 480, and whether the warrants meet all of the requirements for equity classification under ASC 815, including whether the warrants are indexed to the Company’s own stock, among other conditions for equity classification. This assessment, which requires the use of professional judgment, is conducted when warrants are issued or modified and as of each subsequent period end date while the warrants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27" w:name="xdx_860_zDF9IWt7SQK7"/>
      <w:bookmarkStart w:id="1128" w:name="xdx_840_eus-gaap--EarningsPerSharePolicy"/>
      <w:bookmarkEnd w:id="1127"/>
      <w:bookmarkEnd w:id="1128"/>
      <w:r>
        <w:rPr>
          <w:rFonts w:ascii="Times New Roman;Times;Serif" w:hAnsi="Times New Roman;Times;Serif"/>
          <w:b w:val="false"/>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and diluted net loss per share attributable to common stockholders is presented using the two-class method required for participating securities. Under the two-class method, net loss is attributed to the Class A and Class B Common Stock and other participating securities according to dividends declared or accumulated and participation rights in undistributed earnings. Basic net loss per share is computed by dividing the net loss by the weighted-average number of shares of common stock outstanding during the period. Diluted net loss per share is computed using the weighted-average number of shares and the effect of potentially dilutive securities outstanding during the period. For a period in which the Company reports a net loss, diluted net loss per share is similar to basic net loss per share because potentially dilutive common shares are not assumed to have been issued if their effect is antidilutive. See Note 18, </w:t>
      </w:r>
      <w:r>
        <w:rPr>
          <w:rFonts w:ascii="Times New Roman;Times;Serif" w:hAnsi="Times New Roman;Times;Serif"/>
          <w:b w:val="false"/>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29" w:name="xdx_86E_zB4oLcSLSdn9"/>
      <w:bookmarkStart w:id="1130" w:name="xdx_849_eus-gaap--ShareBasedCompensation"/>
      <w:bookmarkEnd w:id="1129"/>
      <w:bookmarkEnd w:id="1130"/>
      <w:r>
        <w:rPr>
          <w:rFonts w:ascii="Times New Roman;Times;Serif" w:hAnsi="Times New Roman;Times;Serif"/>
          <w:b w:val="false"/>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awards principally consist of restricted stock units (“RSUs”) or restricted stock awards (“RSAs”). RSUs entitle the holder to receive a number of shares of the Company’s Class A Common Stock, subject to service-based vesting conditions or, in some cases, other conditions. RSAs consist of shares of the Company’s common stock which are contingently returnable to the Company (i.e., subject to “clawback”) in the event that specified service-based vesting conditions or other conditions are not met. The Company establishes the fair value of each RSU or RSA based on the grant-date fair value of the underlying shares of its common stock. The Company recognizes stock-based compensation expense for RSUs and RSAs over the requisite service period, as applicable, or upon determination that the satisfaction of performance-based conditions is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awards also include stock option awards. The Company estimates the fair value of stock option awards using the Black-Scholes-Merton (“Black-Scholes”) option-pricing model. The fair value of each stock option award is recognized as compensation expense on a straight-line basis over the requisite service period, which is typically four years. The Black-Scholes model considers several variables and assumptions in estimating the fair value of stock-based awards. These variables include:</w:t>
      </w:r>
    </w:p>
    <w:p>
      <w:pPr>
        <w:pStyle w:val="TextBody"/>
        <w:bidi w:val="0"/>
        <w:spacing w:before="0" w:after="0"/>
        <w:ind w:left="720" w:right="0" w:hanging="36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fair value of the underlying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stock price volatility over the expected term;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annual dividend yield.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represents the period over which the stock-based award is expected to remain outstanding and is estimated based on historical experience of similar awards, vesting schedules and expectations of future employee behavior. The risk-free interest rate is based on the yield available on U.S. Treasury zero-coupon issues similar in duration to the expected term of the stock-based award. Because there is a limited trading history for the Class A Common Stock, the Company estimates expected stock price volatility based on the historical price volatility of its common stock as well as the historical stock price volatility of similar publicly traded peer companies. The Company estimates the expected annual dividend yield will be zero because the Company does not currently expect to declare dividends on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account for forfeitures as they occur and initially records stock-based compensation expense assuming all holders of RSUs, RSAs or stock option awards will complete the requisite service period. If the holder forfeits an award because they fail to complete the requisite service period, the Company reverses any previously recognized stock-based compensation expense in the period the award is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31" w:name="xdx_868_zA4zyodOYzUl"/>
      <w:bookmarkStart w:id="1132" w:name="xdx_845_eus-gaap--ComprehensiveIncomePol"/>
      <w:bookmarkEnd w:id="1131"/>
      <w:bookmarkEnd w:id="1132"/>
      <w:r>
        <w:rPr>
          <w:rFonts w:ascii="Times New Roman;Times;Serif" w:hAnsi="Times New Roman;Times;Serif"/>
          <w:b w:val="false"/>
          <w:i/>
          <w:caps w:val="false"/>
          <w:smallCaps w:val="false"/>
          <w:sz w:val="20"/>
        </w:rPr>
        <w:t xml:space="preserve">Comprehensive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includes the Company’s net loss as well as other changes in stockholders’ equity that result from transactions and economic events other than those with stockholders. There were no differences between the Company’s net loss and comprehensive loss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33" w:name="xdx_868_zUb6Oktiw9A1"/>
      <w:bookmarkStart w:id="1134" w:name="xdx_848_eus-gaap--RevenueFromContractWit"/>
      <w:bookmarkEnd w:id="1133"/>
      <w:bookmarkEnd w:id="1134"/>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revenue from contracts with customers in accordance with ASC Topic 606,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(“ASC 606”). The Company derives its revenues primarily from product sales to equipment manufacturers. The Company recognizes product revenue when it satisfies performance obligations under the terms of its contracts and upon transfer of control when title transfers (either upon shipment to or receipt by the customer, as determined by the terms of the contract) net of accruals for estimated sales returns and allowances. Such sales returns and allowances were not material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derives revenue from engineering services. Contracts with customers generally contain a single distinct performance obligation, to provide research or design services for products based on the customer’s specifications. The Company recognizes services revenue over time as the services are delivered on an input basis, using costs incurred as the measure of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material variable consideration, and the Company’s revenue arrangements do not contain significant financing components. Payment terms are principally net 30 days to net 45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generally offers a limited warranty to customers covering a period of twelve months which obligates the Company to repair or replace defective products. The warranty is not sold separately and does not represent a separate performance obligation. Therefore, the Company accounts for such warranties under ASC Topic 460, </w:t>
      </w:r>
      <w:r>
        <w:rPr>
          <w:rFonts w:ascii="Times New Roman;Times;Serif" w:hAnsi="Times New Roman;Times;Serif"/>
          <w:b w:val="false"/>
          <w:i/>
          <w:caps w:val="false"/>
          <w:smallCaps w:val="false"/>
          <w:sz w:val="20"/>
        </w:rPr>
        <w:t>Guarantees</w:t>
      </w:r>
      <w:r>
        <w:rPr>
          <w:rFonts w:ascii="Times New Roman;Times;Serif" w:hAnsi="Times New Roman;Times;Serif"/>
          <w:b w:val="false"/>
          <w:i w:val="false"/>
          <w:caps w:val="false"/>
          <w:smallCaps w:val="false"/>
          <w:sz w:val="20"/>
        </w:rPr>
        <w:t>, and the estimated costs of warranty claims are accrued as cost of revenue in the period the related revenue is recorded. The Company accrues for warranty and indemnification issues if a loss is probable and can be reasonably estimated. Warranty and indemnification expenses have historically been insignificant.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includes shipping and handling fees billed to customers as part of net revenue. The Company includes shipping and handling costs associated with outbound freight in cost of revenue. Sales and other taxes the Company collects, if any, are excluded from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contract assets recorded on the consolidated balance sheets as of September 30, 2025 or 2024. In some instances, the Company receives a partial payment of the sales price from the customer at the time an order is placed. Any such prepayments are recorded as a liability included in “Accrued expenses and other current liabilities” on the consolidated balance sheets and are recognized in net revenue when the Company satisfies the related performance obligations, typically as products are shipped. All incremental customer contract acquisition costs are expensed as incurred as the amortization period of the asset that the Company otherwise would have recognized is one year or less in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35" w:name="xdx_864_zrxWHX806vr"/>
      <w:bookmarkStart w:id="1136" w:name="xdx_84B_eus-gaap--CostOfSalesPolicyTextB"/>
      <w:bookmarkEnd w:id="1135"/>
      <w:bookmarkEnd w:id="1136"/>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 Cost of services revenue principally consists of employee compensation and benefits of employees engaged in the delivery of engineering services, along with any related materials, equipment, supplies or other costs to perform a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37" w:name="xdx_86E_znf1taAKwur3"/>
      <w:bookmarkStart w:id="1138" w:name="xdx_84D_eus-gaap--AdvertisingCostsPolicy"/>
      <w:bookmarkEnd w:id="1137"/>
      <w:bookmarkEnd w:id="1138"/>
      <w:r>
        <w:rPr>
          <w:rFonts w:ascii="Times New Roman;Times;Serif" w:hAnsi="Times New Roman;Times;Serif"/>
          <w:b w:val="false"/>
          <w:i/>
          <w:caps w:val="false"/>
          <w:smallCaps w:val="false"/>
          <w:sz w:val="20"/>
        </w:rPr>
        <w:t>Advertising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include spending for items such as marketing and promotional items, trade shows, sponsorships, and other programs. The Company expenses advertising costs as incurred. Advertising expenses were $</w:t>
      </w:r>
      <w:bookmarkStart w:id="1139" w:name="xdx_908_eus-gaap--AdvertisingExpense_pn3"/>
      <w:bookmarkEnd w:id="1139"/>
      <w:r>
        <w:rPr>
          <w:rFonts w:ascii="Times New Roman;Times;Serif" w:hAnsi="Times New Roman;Times;Serif"/>
          <w:b w:val="false"/>
          <w:i w:val="false"/>
          <w:caps w:val="false"/>
          <w:smallCaps w:val="false"/>
          <w:sz w:val="20"/>
        </w:rPr>
        <w:t>31 and $</w:t>
      </w:r>
      <w:bookmarkStart w:id="1140" w:name="xdx_90B_eus-gaap--AdvertisingExpense_pn3"/>
      <w:bookmarkEnd w:id="1140"/>
      <w:r>
        <w:rPr>
          <w:rFonts w:ascii="Times New Roman;Times;Serif" w:hAnsi="Times New Roman;Times;Serif"/>
          <w:b w:val="false"/>
          <w:i w:val="false"/>
          <w:caps w:val="false"/>
          <w:smallCaps w:val="false"/>
          <w:sz w:val="20"/>
        </w:rPr>
        <w:t>91 for the years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41" w:name="xdx_862_z7qJxwoMZa98"/>
      <w:bookmarkStart w:id="1142" w:name="xdx_849_eus-gaap--ResearchAndDevelopment"/>
      <w:bookmarkEnd w:id="1141"/>
      <w:bookmarkEnd w:id="1142"/>
      <w:r>
        <w:rPr>
          <w:rFonts w:ascii="Times New Roman;Times;Serif" w:hAnsi="Times New Roman;Times;Serif"/>
          <w:b w:val="false"/>
          <w:i/>
          <w:caps w:val="false"/>
          <w:smallCaps w:val="false"/>
          <w:sz w:val="20"/>
        </w:rPr>
        <w:t>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of costs incurred to perform product design and development activities, including employee compensation and benefits (including stock-based compensation), outside services, design tools, supplies, facility costs, depreciation and amortization of acquired developed technology. The Company expenses all research and development costs as incurred.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43" w:name="xdx_863_z48pw1tlhg19"/>
      <w:bookmarkStart w:id="1144" w:name="xdx_848_eus-gaap--SellingGeneralAndAdmin"/>
      <w:bookmarkEnd w:id="1143"/>
      <w:bookmarkEnd w:id="1144"/>
      <w:r>
        <w:rPr>
          <w:rFonts w:ascii="Times New Roman;Times;Serif" w:hAnsi="Times New Roman;Times;Serif"/>
          <w:b w:val="false"/>
          <w:i/>
          <w:caps w:val="false"/>
          <w:smallCaps w:val="false"/>
          <w:sz w:val="20"/>
        </w:rPr>
        <w:t>Selling, 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consist of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45" w:name="xdx_86E_zju97PZb34ye"/>
      <w:bookmarkStart w:id="1146" w:name="xdx_841_eus-gaap--IncomeTaxPolicyTextBlo"/>
      <w:bookmarkEnd w:id="1145"/>
      <w:bookmarkEnd w:id="1146"/>
      <w:r>
        <w:rPr>
          <w:rFonts w:ascii="Times New Roman;Times;Serif" w:hAnsi="Times New Roman;Times;Serif"/>
          <w:b w:val="false"/>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The Company establishes a valuation allowance when necessary to reduce the carrying amount of its deferred tax assets when it is more likely than not that the deferred tax assets will not be realized. In evaluating the Company’s ability to realize deferred tax assets, the Company considers all available positive and negative evidence, including historical operating results, ongoing tax planning, and forecasts of future taxable income on a jurisdiction-by-jurisdiction basis. Based on the level of historical losses, the Company has established a valuation allowance to reduce its net deferred tax assets to the amount that is more likely than not to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liabilities for uncertain tax positions based on a two-step process regarding recognition and measurement. The Company recognizes a tax benefit only if it is more likely than not the tax position will be sustained on examination by the local taxing authorities based on the technical merits of the position. Then the Company measures the tax benefits recognized in the financial statements from such positions based on the largest amount that is greater than 50% likely to be realized upon ultimate settlement with the related tax authority. Subsequent changes in recognition or measurement are reflected in the period in which the change in judgment occurs based on new information not previously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47" w:name="xdx_869_z8ILr1ishGEg"/>
      <w:bookmarkStart w:id="1148" w:name="xdx_847_eus-gaap--NewAccountingPronounce"/>
      <w:bookmarkEnd w:id="1147"/>
      <w:bookmarkEnd w:id="1148"/>
      <w:r>
        <w:rPr>
          <w:rFonts w:ascii="Times New Roman;Times;Serif" w:hAnsi="Times New Roman;Times;Serif"/>
          <w:b w:val="false"/>
          <w:i/>
          <w:caps w:val="false"/>
          <w:smallCaps w:val="false"/>
          <w:sz w:val="20"/>
        </w:rPr>
        <w:t>Accounting Pronouncements Recently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the Securities Act. Under the Jumpstart Our Business Startups Act of 2012, an emerging growth company has the option to adopt new or revised accounting guidance either (i) within the same periods as otherwise applicable to public business entities, or (ii) within the same time periods as non-public business entities, including early adoption when permissible. With the exception of accounting guidance the Company elected to early adopt, when permissible, the Company has elected to adopt new or revised accounting guidance within the same time periods as non-public business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ASU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xml:space="preserve"> (“ASU 2023-07”). ASU 2023-07 </w:t>
      </w:r>
      <w:r>
        <w:rPr>
          <w:rFonts w:ascii="Times New Roman;Times;Serif" w:hAnsi="Times New Roman;Times;Serif"/>
          <w:b w:val="false"/>
          <w:i w:val="false"/>
          <w:caps w:val="false"/>
          <w:smallCaps w:val="false"/>
          <w:sz w:val="20"/>
          <w:shd w:fill="FFFFFF" w:val="clear"/>
        </w:rPr>
        <w:t xml:space="preserve">expands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The disclosures required under ASU 2023-07 are also required for public entities with a single reportable segment. </w:t>
      </w:r>
      <w:r>
        <w:rPr>
          <w:rFonts w:ascii="Times New Roman;Times;Serif" w:hAnsi="Times New Roman;Times;Serif"/>
          <w:b w:val="false"/>
          <w:i w:val="false"/>
          <w:caps w:val="false"/>
          <w:smallCaps w:val="false"/>
          <w:sz w:val="20"/>
        </w:rPr>
        <w:t xml:space="preserve">The Company adopted ASU 2023-07 for its fiscal year ended September 30, 2025, with no material impact on its financial position or results of operations. See Note 20, </w:t>
      </w:r>
      <w:r>
        <w:rPr>
          <w:rFonts w:ascii="Times New Roman;Times;Serif" w:hAnsi="Times New Roman;Times;Serif"/>
          <w:b w:val="false"/>
          <w:i/>
          <w:caps w:val="false"/>
          <w:smallCaps w:val="false"/>
          <w:sz w:val="20"/>
        </w:rPr>
        <w:t>Segment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149" w:name="xdx_86A_zAhRAvxvvQr4"/>
      <w:bookmarkStart w:id="1150" w:name="xdx_843_eus-gaap--NewAccountingPronounce"/>
      <w:bookmarkEnd w:id="1149"/>
      <w:bookmarkEnd w:id="1150"/>
      <w:r>
        <w:rPr>
          <w:rFonts w:ascii="Times New Roman;Times;Serif" w:hAnsi="Times New Roman;Times;Serif"/>
          <w:b w:val="false"/>
          <w:i/>
          <w:caps w:val="false"/>
          <w:smallCaps w:val="false"/>
          <w:sz w:val="20"/>
        </w:rPr>
        <w:t>Recently Issued Accounting Pronouncements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xml:space="preserve"> (“ASU 2023-09”). ASU 2023-09 requires disaggregated information about a reporting entity’s effective tax rate reconciliation as well as information on income taxes paid. The ASU is effective for the Company’s fiscal year beginning October 1, 2025. The guidance will be applied on a prospective basis with the option to apply the standard retrospectively. Early adoption is permitted. The Company does not expect adoption of ASU 2023-09 will have a material impact on its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w:t>
      </w:r>
      <w:r>
        <w:rPr>
          <w:rFonts w:ascii="Times New Roman;Times;Serif" w:hAnsi="Times New Roman;Times;Serif"/>
          <w:b w:val="false"/>
          <w:i w:val="false"/>
          <w:caps w:val="false"/>
          <w:smallCaps w:val="false"/>
          <w:sz w:val="20"/>
        </w:rPr>
        <w:t xml:space="preserve"> (“ASU 2024-03”). ASU 2024-03 requires disclosure in the notes to the financial statements of specified information about certain costs and expenses. The ASU is effective for the Company’s fiscal year beginning October 1, 2027, </w:t>
      </w:r>
      <w:r>
        <w:rPr>
          <w:rFonts w:ascii="Times New Roman;Times;Serif" w:hAnsi="Times New Roman;Times;Serif"/>
          <w:b w:val="false"/>
          <w:i w:val="false"/>
          <w:caps w:val="false"/>
          <w:smallCaps w:val="false"/>
          <w:sz w:val="20"/>
          <w:shd w:fill="FFFFFF" w:val="clear"/>
        </w:rPr>
        <w:t xml:space="preserve">and for interim periods within the Company’s fiscal year beginning October 1, 2028, with early adoption permitted. </w:t>
      </w:r>
      <w:r>
        <w:rPr>
          <w:rFonts w:ascii="Times New Roman;Times;Serif" w:hAnsi="Times New Roman;Times;Serif"/>
          <w:b w:val="false"/>
          <w:i w:val="false"/>
          <w:caps w:val="false"/>
          <w:smallCaps w:val="false"/>
          <w:sz w:val="20"/>
        </w:rPr>
        <w:t>The Company is currently evaluating the ASU to determine the impact it will have on the Company’s financial statements and related disclosures.</w:t>
      </w:r>
    </w:p>
    <w:p>
      <w:pPr>
        <w:pStyle w:val="TextBody"/>
        <w:bidi w:val="0"/>
        <w:spacing w:before="0" w:after="0"/>
        <w:ind w:left="0" w:right="0" w:hanging="0"/>
        <w:jc w:val="left"/>
        <w:rPr>
          <w:caps w:val="false"/>
          <w:smallCaps w:val="false"/>
        </w:rPr>
      </w:pPr>
      <w:bookmarkStart w:id="1151" w:name="xdx_85B_zfqcZm9S682h"/>
      <w:bookmarkEnd w:id="115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52" w:name="xdx_802_ecustom--ReverseRecapitalization"/>
      <w:bookmarkEnd w:id="1152"/>
      <w:r>
        <w:rPr>
          <w:rFonts w:ascii="Times New Roman;Times;Serif" w:hAnsi="Times New Roman;Times;Serif"/>
          <w:b/>
          <w:i w:val="false"/>
          <w:caps w:val="false"/>
          <w:smallCaps w:val="false"/>
          <w:sz w:val="20"/>
        </w:rPr>
        <w:t xml:space="preserve">Note 3 — </w:t>
      </w:r>
      <w:bookmarkStart w:id="1153" w:name="xdx_823_zSg30Ux9RJTd"/>
      <w:bookmarkEnd w:id="1153"/>
      <w:r>
        <w:rPr>
          <w:rFonts w:ascii="Times New Roman;Times;Serif" w:hAnsi="Times New Roman;Times;Serif"/>
          <w:b/>
          <w:i w:val="false"/>
          <w:caps w:val="false"/>
          <w:smallCaps w:val="false"/>
          <w:sz w:val="20"/>
        </w:rPr>
        <w:t>Reverse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Note 1, </w:t>
      </w:r>
      <w:r>
        <w:rPr>
          <w:rFonts w:ascii="Times New Roman;Times;Serif" w:hAnsi="Times New Roman;Times;Serif"/>
          <w:b w:val="false"/>
          <w:i/>
          <w:caps w:val="false"/>
          <w:smallCaps w:val="false"/>
          <w:sz w:val="20"/>
        </w:rPr>
        <w:t>Company Information</w:t>
      </w:r>
      <w:r>
        <w:rPr>
          <w:rFonts w:ascii="Times New Roman;Times;Serif" w:hAnsi="Times New Roman;Times;Serif"/>
          <w:b w:val="false"/>
          <w:i w:val="false"/>
          <w:caps w:val="false"/>
          <w:smallCaps w:val="false"/>
          <w:sz w:val="20"/>
        </w:rPr>
        <w:t>, the Closing of the Merger occurred on December 21, 2023. In the Merger, as provided for in the Business Combination Agreement: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Legacy Mobix’s </w:t>
            </w:r>
            <w:bookmarkStart w:id="1154" w:name="xdx_90C_eus-gaap--CommonStockSharesOutst"/>
            <w:bookmarkStart w:id="1155" w:name="xdx_908_eus-gaap--CommonStockSharesIssue"/>
            <w:bookmarkEnd w:id="1154"/>
            <w:bookmarkEnd w:id="1155"/>
            <w:r>
              <w:rPr>
                <w:rFonts w:ascii="Times New Roman;Times;Serif" w:hAnsi="Times New Roman;Times;Serif"/>
                <w:b w:val="false"/>
                <w:i w:val="false"/>
                <w:caps w:val="false"/>
                <w:smallCaps w:val="false"/>
                <w:sz w:val="20"/>
              </w:rPr>
              <w:t>1,813,925 issued and outstanding shares of common stock were cancelled and converted into the same number of shares of the Company’s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Legacy Mobix’s Founders Redeemable Convertible Preferred Stock and Series A Redeemable Convertible Preferred Stock, totaling </w:t>
            </w:r>
            <w:bookmarkStart w:id="1156" w:name="xdx_903_eus-gaap--StockIssuedDuringPerio"/>
            <w:bookmarkEnd w:id="1156"/>
            <w:r>
              <w:rPr>
                <w:rFonts w:ascii="Times New Roman;Times;Serif" w:hAnsi="Times New Roman;Times;Serif"/>
                <w:b w:val="false"/>
                <w:i w:val="false"/>
                <w:caps w:val="false"/>
                <w:smallCaps w:val="false"/>
                <w:sz w:val="20"/>
              </w:rPr>
              <w:t>225,490 shares, was converted into the same number of shares of the Company’s Class B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Legacy Mobix’s convertible notes were converted into shares of Legacy Mobix common stock immediately prior to Closing and pursuant to their terms, totaling </w:t>
            </w:r>
            <w:bookmarkStart w:id="1157" w:name="xdx_901_eus-gaap--StockIssuedDuringPerio"/>
            <w:bookmarkEnd w:id="1157"/>
            <w:r>
              <w:rPr>
                <w:rFonts w:ascii="Times New Roman;Times;Serif" w:hAnsi="Times New Roman;Times;Serif"/>
                <w:b w:val="false"/>
                <w:i w:val="false"/>
                <w:caps w:val="false"/>
                <w:smallCaps w:val="false"/>
                <w:sz w:val="20"/>
              </w:rPr>
              <w:t>3,004 shares, which were then cancelled and converted into the same number of shares of the Company’s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Legacy Mobix’s simple agreements for future equity (“SAFEs”) were converted into </w:t>
            </w:r>
            <w:bookmarkStart w:id="1158" w:name="xdx_903_eus-gaap--ConversionOfStockShare"/>
            <w:bookmarkEnd w:id="1158"/>
            <w:r>
              <w:rPr>
                <w:rFonts w:ascii="Times New Roman;Times;Serif" w:hAnsi="Times New Roman;Times;Serif"/>
                <w:b w:val="false"/>
                <w:i w:val="false"/>
                <w:caps w:val="false"/>
                <w:smallCaps w:val="false"/>
                <w:sz w:val="20"/>
              </w:rPr>
              <w:t>15,095 shares of the Company’s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stock options and warrants were assumed by the Company and converted into the same number of stock options or warrants to purchase shares of the Company’s Class A Common Stock, with no change to their exercise prices, vesting conditions or other terms;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RSUs were assumed by the Company and converted into RSUs covering the same number of shares of the Company’s Class A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related events that occurred in connection with the Closing include the following: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PIPE Subscription Agreements,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Sponsor PIPE Subscription Agreement, Sponsor Warrant and Sponsor Letter Agreement,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non-redemption agreement with a stockholder,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amendment to its Business Combination Marketing Agreement,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assumed the </w:t>
            </w:r>
            <w:bookmarkStart w:id="1159" w:name="xdx_901_eus-gaap--ClassOfWarrantOrRightN"/>
            <w:bookmarkEnd w:id="1159"/>
            <w:r>
              <w:rPr>
                <w:rFonts w:ascii="Times New Roman;Times;Serif" w:hAnsi="Times New Roman;Times;Serif"/>
                <w:b w:val="false"/>
                <w:i w:val="false"/>
                <w:caps w:val="false"/>
                <w:smallCaps w:val="false"/>
                <w:sz w:val="20"/>
              </w:rPr>
              <w:t xml:space="preserve">6,000,000 public warrants (“Public Warrants”) and </w:t>
            </w:r>
            <w:bookmarkStart w:id="1160" w:name="xdx_903_eus-gaap--ClassOfWarrantOrRightN"/>
            <w:bookmarkEnd w:id="1160"/>
            <w:r>
              <w:rPr>
                <w:rFonts w:ascii="Times New Roman;Times;Serif" w:hAnsi="Times New Roman;Times;Serif"/>
                <w:b w:val="false"/>
                <w:i w:val="false"/>
                <w:caps w:val="false"/>
                <w:smallCaps w:val="false"/>
                <w:sz w:val="20"/>
              </w:rPr>
              <w:t xml:space="preserve">3,400,000 private placement warrants (“Private Warrants”) originally issued by Chavant in 2021 in connection with its initial public offering, as described in Note 15, </w:t>
            </w:r>
            <w:r>
              <w:rPr>
                <w:rFonts w:ascii="Times New Roman;Times;Serif" w:hAnsi="Times New Roman;Times;Serif"/>
                <w:b w:val="false"/>
                <w:i/>
                <w:caps w:val="false"/>
                <w:smallCaps w:val="false"/>
                <w:sz w:val="20"/>
              </w:rPr>
              <w:t>Warrants</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adopted the 2023 Employee Stock Purchase Plan and the 2023 Equity Incentive Plan, as described in Note 16,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an amended and restated certificate of incorporation and amended and restated bylaws;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indemnification agreements with each of its directors and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PIPE Subscription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Chavant entered into the PIPE Subscription Agreements with certain accredited investors and pursuant to which the investors agreed to purchase an aggregate of </w:t>
      </w:r>
      <w:bookmarkStart w:id="1161" w:name="xdx_90D_eus-gaap--ShareBasedCompensation"/>
      <w:bookmarkEnd w:id="1161"/>
      <w:r>
        <w:rPr>
          <w:rFonts w:ascii="Times New Roman;Times;Serif" w:hAnsi="Times New Roman;Times;Serif"/>
          <w:b w:val="false"/>
          <w:i w:val="false"/>
          <w:caps w:val="false"/>
          <w:smallCaps w:val="false"/>
          <w:sz w:val="20"/>
        </w:rPr>
        <w:t>197,500 shares of Class A Common Stock of Chavant at a price of $</w:t>
      </w:r>
      <w:bookmarkStart w:id="1162" w:name="xdx_903_eus-gaap--SharesIssuedPricePerSh"/>
      <w:bookmarkEnd w:id="1162"/>
      <w:r>
        <w:rPr>
          <w:rFonts w:ascii="Times New Roman;Times;Serif" w:hAnsi="Times New Roman;Times;Serif"/>
          <w:b w:val="false"/>
          <w:i w:val="false"/>
          <w:caps w:val="false"/>
          <w:smallCaps w:val="false"/>
          <w:sz w:val="20"/>
        </w:rPr>
        <w:t>100.00 per share for an aggregate amount of $</w:t>
      </w:r>
      <w:bookmarkStart w:id="1163" w:name="xdx_905_eus-gaap--SaleOfStockConsiderati"/>
      <w:bookmarkEnd w:id="1163"/>
      <w:r>
        <w:rPr>
          <w:rFonts w:ascii="Times New Roman;Times;Serif" w:hAnsi="Times New Roman;Times;Serif"/>
          <w:b w:val="false"/>
          <w:i w:val="false"/>
          <w:caps w:val="false"/>
          <w:smallCaps w:val="false"/>
          <w:sz w:val="20"/>
        </w:rPr>
        <w:t>19,750 in cash. Subsequent to the Closing, the number of shares purchased by the PIPE investors was adjusted through the issuance of additional shares of Class A Common Stock. See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PIPE investors also received warrants to purchase </w:t>
      </w:r>
      <w:bookmarkStart w:id="1164" w:name="xdx_90F_eus-gaap--ClassOfWarrantOrRightN"/>
      <w:bookmarkEnd w:id="1164"/>
      <w:r>
        <w:rPr>
          <w:rFonts w:ascii="Times New Roman;Times;Serif" w:hAnsi="Times New Roman;Times;Serif"/>
          <w:b w:val="false"/>
          <w:i w:val="false"/>
          <w:caps w:val="false"/>
          <w:smallCaps w:val="false"/>
          <w:sz w:val="20"/>
        </w:rPr>
        <w:t>195,000 shares of Class A Common Stock at an exercise price of $</w:t>
      </w:r>
      <w:bookmarkStart w:id="1165" w:name="xdx_907_eus-gaap--SharesIssuedPricePerSh"/>
      <w:bookmarkEnd w:id="1165"/>
      <w:r>
        <w:rPr>
          <w:rFonts w:ascii="Times New Roman;Times;Serif" w:hAnsi="Times New Roman;Times;Serif"/>
          <w:b w:val="false"/>
          <w:i w:val="false"/>
          <w:caps w:val="false"/>
          <w:smallCaps w:val="false"/>
          <w:sz w:val="20"/>
        </w:rPr>
        <w:t xml:space="preserve">0.10 per share, of which warrants to purchase </w:t>
      </w:r>
      <w:bookmarkStart w:id="1166" w:name="xdx_903_ecustom--WarrantsToPurchaseShare"/>
      <w:bookmarkEnd w:id="1166"/>
      <w:r>
        <w:rPr>
          <w:rFonts w:ascii="Times New Roman;Times;Serif" w:hAnsi="Times New Roman;Times;Serif"/>
          <w:b w:val="false"/>
          <w:i w:val="false"/>
          <w:caps w:val="false"/>
          <w:smallCaps w:val="false"/>
          <w:sz w:val="20"/>
        </w:rPr>
        <w:t xml:space="preserve">20,000 shares are immediately exercisable and warrants to purchase </w:t>
      </w:r>
      <w:bookmarkStart w:id="1167" w:name="xdx_90D_ecustom--WarrantToPurchaseShares"/>
      <w:bookmarkEnd w:id="1167"/>
      <w:r>
        <w:rPr>
          <w:rFonts w:ascii="Times New Roman;Times;Serif" w:hAnsi="Times New Roman;Times;Serif"/>
          <w:b w:val="false"/>
          <w:i w:val="false"/>
          <w:caps w:val="false"/>
          <w:smallCaps w:val="false"/>
          <w:sz w:val="20"/>
        </w:rPr>
        <w:t xml:space="preserve">175,000 shares became exercisable upon approval by the Company’s stockholders, which was obtained on January 3, 2025. During the year ended September 30, 2025, warrants to purchase </w:t>
      </w:r>
      <w:bookmarkStart w:id="1168" w:name="xdx_90D_eus-gaap--ClassOfWarrantOrRightN"/>
      <w:bookmarkEnd w:id="1168"/>
      <w:r>
        <w:rPr>
          <w:rFonts w:ascii="Times New Roman;Times;Serif" w:hAnsi="Times New Roman;Times;Serif"/>
          <w:b w:val="false"/>
          <w:i w:val="false"/>
          <w:caps w:val="false"/>
          <w:smallCaps w:val="false"/>
          <w:sz w:val="20"/>
        </w:rPr>
        <w:t>150,000 shares of Class A Common Stock were exercised, for net proceeds to the Company of $</w:t>
      </w:r>
      <w:bookmarkStart w:id="1169" w:name="xdx_908_eus-gaap--ProceedsFromWarrantExe"/>
      <w:bookmarkEnd w:id="1169"/>
      <w:r>
        <w:rPr>
          <w:rFonts w:ascii="Times New Roman;Times;Serif" w:hAnsi="Times New Roman;Times;Serif"/>
          <w:b w:val="false"/>
          <w:i w:val="false"/>
          <w:caps w:val="false"/>
          <w:smallCaps w:val="false"/>
          <w:sz w:val="2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Sponsor PIPE Subscription Agreements, Sponsor Warrant and Sponsor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19, 2023, Chavant entered into the Sponsor PIPE Subscription Agreement with the Sponsor pursuant to which the Sponsor agreed to purchase, in a private placement that closed substantially concurrently with the Closing, </w:t>
      </w:r>
      <w:bookmarkStart w:id="1170" w:name="xdx_907_eus-gaap--CommonStockSharesIssue"/>
      <w:bookmarkEnd w:id="1170"/>
      <w:r>
        <w:rPr>
          <w:rFonts w:ascii="Times New Roman;Times;Serif" w:hAnsi="Times New Roman;Times;Serif"/>
          <w:b w:val="false"/>
          <w:i w:val="false"/>
          <w:caps w:val="false"/>
          <w:smallCaps w:val="false"/>
          <w:sz w:val="20"/>
        </w:rPr>
        <w:t>19,973 shares of Class A Common Stock at a price of $</w:t>
      </w:r>
      <w:bookmarkStart w:id="1171" w:name="xdx_90A_eus-gaap--SharesIssuedPricePerSh"/>
      <w:bookmarkEnd w:id="1171"/>
      <w:r>
        <w:rPr>
          <w:rFonts w:ascii="Times New Roman;Times;Serif" w:hAnsi="Times New Roman;Times;Serif"/>
          <w:b w:val="false"/>
          <w:i w:val="false"/>
          <w:caps w:val="false"/>
          <w:smallCaps w:val="false"/>
          <w:sz w:val="20"/>
        </w:rPr>
        <w:t>100.00 per share. The aggregate purchase price of $</w:t>
      </w:r>
      <w:bookmarkStart w:id="1172" w:name="xdx_905_eus-gaap--PurchaseObligation_iI_"/>
      <w:bookmarkEnd w:id="1172"/>
      <w:r>
        <w:rPr>
          <w:rFonts w:ascii="Times New Roman;Times;Serif" w:hAnsi="Times New Roman;Times;Serif"/>
          <w:b w:val="false"/>
          <w:i w:val="false"/>
          <w:caps w:val="false"/>
          <w:smallCaps w:val="false"/>
          <w:sz w:val="20"/>
        </w:rPr>
        <w:t>1,997 was paid through the forgiveness of certain obligations of Chavant. Subsequent to the Closing, the number of shares purchased by the Sponsor was adjusted through the issuance of additional shares of Class A Common Stock. See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execution of the Sponsor PIPE Subscription Agreement, Legacy Mobix issued to the Sponsor a warrant to purchase </w:t>
      </w:r>
      <w:bookmarkStart w:id="1173" w:name="xdx_901_ecustom--WarrantsToPurchaseShare"/>
      <w:bookmarkEnd w:id="1173"/>
      <w:r>
        <w:rPr>
          <w:rFonts w:ascii="Times New Roman;Times;Serif" w:hAnsi="Times New Roman;Times;Serif"/>
          <w:b w:val="false"/>
          <w:i w:val="false"/>
          <w:caps w:val="false"/>
          <w:smallCaps w:val="false"/>
          <w:sz w:val="20"/>
        </w:rPr>
        <w:t>27,245 shares of Legacy Mobix common stock at an exercise price of $</w:t>
      </w:r>
      <w:bookmarkStart w:id="1174" w:name="xdx_909_eus-gaap--SharesIssuedPricePerSh"/>
      <w:bookmarkEnd w:id="1174"/>
      <w:r>
        <w:rPr>
          <w:rFonts w:ascii="Times New Roman;Times;Serif" w:hAnsi="Times New Roman;Times;Serif"/>
          <w:b w:val="false"/>
          <w:i w:val="false"/>
          <w:caps w:val="false"/>
          <w:smallCaps w:val="false"/>
          <w:sz w:val="20"/>
        </w:rPr>
        <w:t xml:space="preserve">0.10 per share, exercisable upon the closing of the Sponsor PIPE Subscription Agreement (the “Sponsor Warrant”). The Sponsor Warrant was exercised at the closing of the Sponsor PIPE Subscription Agreement and, following net settlement into </w:t>
      </w:r>
      <w:bookmarkStart w:id="1175" w:name="xdx_906_eus-gaap--ConversionOfStockShare"/>
      <w:bookmarkEnd w:id="1175"/>
      <w:r>
        <w:rPr>
          <w:rFonts w:ascii="Times New Roman;Times;Serif" w:hAnsi="Times New Roman;Times;Serif"/>
          <w:b w:val="false"/>
          <w:i w:val="false"/>
          <w:caps w:val="false"/>
          <w:smallCaps w:val="false"/>
          <w:sz w:val="20"/>
        </w:rPr>
        <w:t xml:space="preserve">27,218 shares of Legacy Mobix common stock, converted into </w:t>
      </w:r>
      <w:bookmarkStart w:id="1176" w:name="xdx_903_eus-gaap--ConversionOfStockShare"/>
      <w:bookmarkEnd w:id="1176"/>
      <w:r>
        <w:rPr>
          <w:rFonts w:ascii="Times New Roman;Times;Serif" w:hAnsi="Times New Roman;Times;Serif"/>
          <w:b w:val="false"/>
          <w:i w:val="false"/>
          <w:caps w:val="false"/>
          <w:smallCaps w:val="false"/>
          <w:sz w:val="20"/>
        </w:rPr>
        <w:t>27,218 shares of Class A Common Stock of the Company in connection with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20, 2023, Chavant also entered into a Sponsor Letter Agreement with the Sponsor pursuant to which, as consideration for the </w:t>
      </w:r>
      <w:bookmarkStart w:id="1177" w:name="xdx_906_eus-gaap--StockIssuedDuringPerio"/>
      <w:bookmarkEnd w:id="1177"/>
      <w:r>
        <w:rPr>
          <w:rFonts w:ascii="Times New Roman;Times;Serif" w:hAnsi="Times New Roman;Times;Serif"/>
          <w:b w:val="false"/>
          <w:i w:val="false"/>
          <w:caps w:val="false"/>
          <w:smallCaps w:val="false"/>
          <w:sz w:val="20"/>
        </w:rPr>
        <w:t>19,973 shares issued pursuant to the Sponsor PIPE Subscription Agreement described above, the Sponsor agreed to forgive approximately $</w:t>
      </w:r>
      <w:bookmarkStart w:id="1178" w:name="xdx_909_eus-gaap--ObligationWithJointAnd"/>
      <w:bookmarkEnd w:id="1178"/>
      <w:r>
        <w:rPr>
          <w:rFonts w:ascii="Times New Roman;Times;Serif" w:hAnsi="Times New Roman;Times;Serif"/>
          <w:b w:val="false"/>
          <w:i w:val="false"/>
          <w:caps w:val="false"/>
          <w:smallCaps w:val="false"/>
          <w:sz w:val="20"/>
        </w:rPr>
        <w:t xml:space="preserve">1,997 of aggregate outstanding obligations of Chavant. In addition, the Sponsor agreed to forfeit </w:t>
      </w:r>
      <w:bookmarkStart w:id="1179" w:name="xdx_900_eus-gaap--ShareBasedCompensation"/>
      <w:bookmarkEnd w:id="1179"/>
      <w:r>
        <w:rPr>
          <w:rFonts w:ascii="Times New Roman;Times;Serif" w:hAnsi="Times New Roman;Times;Serif"/>
          <w:b w:val="false"/>
          <w:i w:val="false"/>
          <w:caps w:val="false"/>
          <w:smallCaps w:val="false"/>
          <w:sz w:val="20"/>
        </w:rPr>
        <w:t xml:space="preserve">65,863 Founder Shares and </w:t>
      </w:r>
      <w:bookmarkStart w:id="1180" w:name="xdx_902_eus-gaap--ShareBasedCompensation"/>
      <w:bookmarkEnd w:id="1180"/>
      <w:r>
        <w:rPr>
          <w:rFonts w:ascii="Times New Roman;Times;Serif" w:hAnsi="Times New Roman;Times;Serif"/>
          <w:b w:val="false"/>
          <w:i w:val="false"/>
          <w:caps w:val="false"/>
          <w:smallCaps w:val="false"/>
          <w:sz w:val="20"/>
        </w:rPr>
        <w:t>40,000 Private Warrants that it held, in each case upon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Non-Redemption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20, 2023, Chavant and Mobix Labs entered into a non-redemption agreement with a stockholder of Chavant, pursuant to which the stockholder agreed to withdraw its redemption of </w:t>
      </w:r>
      <w:bookmarkStart w:id="1181" w:name="xdx_90D_ecustom--RedemptionOfOrdinarySha"/>
      <w:bookmarkEnd w:id="1181"/>
      <w:r>
        <w:rPr>
          <w:rFonts w:ascii="Times New Roman;Times;Serif" w:hAnsi="Times New Roman;Times;Serif"/>
          <w:b w:val="false"/>
          <w:i w:val="false"/>
          <w:caps w:val="false"/>
          <w:smallCaps w:val="false"/>
          <w:sz w:val="20"/>
        </w:rPr>
        <w:t xml:space="preserve">7,370 ordinary shares of Chavant (“Ordinary Shares”) prior to the Merger. In consideration therefor, Mobix Labs issued the stockholder a warrant to purchase </w:t>
      </w:r>
      <w:bookmarkStart w:id="1182" w:name="xdx_903_eus-gaap--StockIssuedDuringPerio"/>
      <w:bookmarkEnd w:id="1182"/>
      <w:r>
        <w:rPr>
          <w:rFonts w:ascii="Times New Roman;Times;Serif" w:hAnsi="Times New Roman;Times;Serif"/>
          <w:b w:val="false"/>
          <w:i w:val="false"/>
          <w:caps w:val="false"/>
          <w:smallCaps w:val="false"/>
          <w:sz w:val="20"/>
        </w:rPr>
        <w:t>20,269 shares of Legacy Mobix common stock at an exercise price of $</w:t>
      </w:r>
      <w:bookmarkStart w:id="1183" w:name="xdx_907_eus-gaap--SharesIssuedPricePerSh"/>
      <w:bookmarkEnd w:id="1183"/>
      <w:r>
        <w:rPr>
          <w:rFonts w:ascii="Times New Roman;Times;Serif" w:hAnsi="Times New Roman;Times;Serif"/>
          <w:b w:val="false"/>
          <w:i w:val="false"/>
          <w:caps w:val="false"/>
          <w:smallCaps w:val="false"/>
          <w:sz w:val="20"/>
        </w:rPr>
        <w:t xml:space="preserve">0.10 per share, exercisable upon the Closing. The warrant was exercised at the Closing and, following net settlement into </w:t>
      </w:r>
      <w:bookmarkStart w:id="1184" w:name="xdx_909_eus-gaap--ConversionOfStockShare"/>
      <w:bookmarkEnd w:id="1184"/>
      <w:r>
        <w:rPr>
          <w:rFonts w:ascii="Times New Roman;Times;Serif" w:hAnsi="Times New Roman;Times;Serif"/>
          <w:b w:val="false"/>
          <w:i w:val="false"/>
          <w:caps w:val="false"/>
          <w:smallCaps w:val="false"/>
          <w:sz w:val="20"/>
        </w:rPr>
        <w:t xml:space="preserve">20,248 shares of Legacy Mobix common stock, converted into </w:t>
      </w:r>
      <w:bookmarkStart w:id="1185" w:name="xdx_903_eus-gaap--ConversionOfStockShare"/>
      <w:bookmarkEnd w:id="1185"/>
      <w:r>
        <w:rPr>
          <w:rFonts w:ascii="Times New Roman;Times;Serif" w:hAnsi="Times New Roman;Times;Serif"/>
          <w:b w:val="false"/>
          <w:i w:val="false"/>
          <w:caps w:val="false"/>
          <w:smallCaps w:val="false"/>
          <w:sz w:val="20"/>
        </w:rPr>
        <w:t>20,248 shares of Class A Common Stock of the Company in connection with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Business Combination Marketing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21, 2023, Chavant entered into an amendment to the Business Combination Marketing Agreement, dated as of July 19, 2021 between Chavant and certain advisors wherein the parties agreed to resolve their differences with respect to marketing fees contemplated by the agreement and the advisors agreed to receive, in lieu of any cash payment of fees or reimbursement of expenses, an aggregate of </w:t>
      </w:r>
      <w:bookmarkStart w:id="1186" w:name="xdx_90E_ecustom--AggregateShares_pid_c20"/>
      <w:bookmarkEnd w:id="1186"/>
      <w:r>
        <w:rPr>
          <w:rFonts w:ascii="Times New Roman;Times;Serif" w:hAnsi="Times New Roman;Times;Serif"/>
          <w:b w:val="false"/>
          <w:i w:val="false"/>
          <w:caps w:val="false"/>
          <w:smallCaps w:val="false"/>
          <w:sz w:val="20"/>
        </w:rPr>
        <w:t>28,000 shares of Class A Common Stock. Subsequent to the Closing, the number of shares the advisors received was adjusted through the issuance of additional shares of Class A Common Stock. See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consideration paid at Closing, certain Legacy Mobix stockholders and certain holders of Legacy Mobix stock options (the “Earnout Recipients”) will be entitled to receive an additional aggregate </w:t>
      </w:r>
      <w:bookmarkStart w:id="1187" w:name="xdx_905_ecustom--AggregateShares_pid_c20"/>
      <w:bookmarkEnd w:id="1187"/>
      <w:r>
        <w:rPr>
          <w:rFonts w:ascii="Times New Roman;Times;Serif" w:hAnsi="Times New Roman;Times;Serif"/>
          <w:b w:val="false"/>
          <w:i w:val="false"/>
          <w:caps w:val="false"/>
          <w:smallCaps w:val="false"/>
          <w:sz w:val="20"/>
        </w:rPr>
        <w:t xml:space="preserve">350,000 shares of Class A Common Stock issuable as earnout shares (the “Earnout Shares”) based on the achievement of trading price targets following the Closing and subject to the terms provided in the Business Combination Agreement. The Earnout Shares have a seven-year “Earnout Period,” commencing on the date that is the one year anniversary of the Closing, pursuant to which up to </w:t>
      </w:r>
      <w:bookmarkStart w:id="1188" w:name="xdx_906_eus-gaap--CommonStockSharesIssue"/>
      <w:bookmarkEnd w:id="1188"/>
      <w:r>
        <w:rPr>
          <w:rFonts w:ascii="Times New Roman;Times;Serif" w:hAnsi="Times New Roman;Times;Serif"/>
          <w:b w:val="false"/>
          <w:i w:val="false"/>
          <w:caps w:val="false"/>
          <w:smallCaps w:val="false"/>
          <w:sz w:val="20"/>
        </w:rPr>
        <w:t>175,000 shares of Class A Common Stock will be distributed to the Earnout Recipients if the volume-weighted average price (“VWAP”) of the Class A Common Stock exceeds $</w:t>
      </w:r>
      <w:bookmarkStart w:id="1189" w:name="xdx_90B_eus-gaap--SharesIssuedPricePerSh"/>
      <w:bookmarkEnd w:id="1189"/>
      <w:r>
        <w:rPr>
          <w:rFonts w:ascii="Times New Roman;Times;Serif" w:hAnsi="Times New Roman;Times;Serif"/>
          <w:b w:val="false"/>
          <w:i w:val="false"/>
          <w:caps w:val="false"/>
          <w:smallCaps w:val="false"/>
          <w:sz w:val="20"/>
        </w:rPr>
        <w:t xml:space="preserve">125.00 for any twenty trading days within a period of thirty consecutive trading days during the Earnout Period and an additional </w:t>
      </w:r>
      <w:bookmarkStart w:id="1190" w:name="xdx_90C_eus-gaap--ExcessStockSharesIssue"/>
      <w:bookmarkEnd w:id="1190"/>
      <w:r>
        <w:rPr>
          <w:rFonts w:ascii="Times New Roman;Times;Serif" w:hAnsi="Times New Roman;Times;Serif"/>
          <w:b w:val="false"/>
          <w:i w:val="false"/>
          <w:caps w:val="false"/>
          <w:smallCaps w:val="false"/>
          <w:sz w:val="20"/>
        </w:rPr>
        <w:t>175,000 shares of Class A Common Stock will be distributed to the Earnout Recipients if the VWAP of the Class A Common Stock exceeds $</w:t>
      </w:r>
      <w:bookmarkStart w:id="1191" w:name="xdx_900_eus-gaap--SharesIssuedPricePerSh"/>
      <w:bookmarkEnd w:id="1191"/>
      <w:r>
        <w:rPr>
          <w:rFonts w:ascii="Times New Roman;Times;Serif" w:hAnsi="Times New Roman;Times;Serif"/>
          <w:b w:val="false"/>
          <w:i w:val="false"/>
          <w:caps w:val="false"/>
          <w:smallCaps w:val="false"/>
          <w:sz w:val="20"/>
        </w:rPr>
        <w:t>150.00 for any twenty trading days within a period of thirty consecutive trading days during the Earnout Period.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Earnout Shares are accounted for as liability-classified instruments because the events that determine the number of Earnout Shares to which the Earnout Recipients will be entitled include events that are not solely indexed to the Company’s common stock. At the time of Closing, the Company estimated the aggregate fair value of its liability for the Earnout Shares using a Monte Carlo simulation model and recorded a liability of $</w:t>
      </w:r>
      <w:bookmarkStart w:id="1192" w:name="xdx_906_ecustom--LiabilitiesRecognizedIn"/>
      <w:bookmarkEnd w:id="1192"/>
      <w:r>
        <w:rPr>
          <w:rFonts w:ascii="Times New Roman;Times;Serif" w:hAnsi="Times New Roman;Times;Serif"/>
          <w:b w:val="false"/>
          <w:i w:val="false"/>
          <w:caps w:val="false"/>
          <w:smallCaps w:val="false"/>
          <w:sz w:val="20"/>
        </w:rPr>
        <w:t>33,559. As of September 30, 2025 and 2024, none of the conditions for the issuance of any Earnout Shares had been achieved and the Company adjusted the carrying amount of the liability to its estimated fair value of $</w:t>
      </w:r>
      <w:bookmarkStart w:id="1193" w:name="xdx_906_eus-gaap--FairValueMeasurementWi"/>
      <w:bookmarkEnd w:id="1193"/>
      <w:r>
        <w:rPr>
          <w:rFonts w:ascii="Times New Roman;Times;Serif" w:hAnsi="Times New Roman;Times;Serif"/>
          <w:b w:val="false"/>
          <w:i w:val="false"/>
          <w:caps w:val="false"/>
          <w:smallCaps w:val="false"/>
          <w:sz w:val="20"/>
        </w:rPr>
        <w:t>1,240 and $</w:t>
      </w:r>
      <w:bookmarkStart w:id="1194" w:name="xdx_903_eus-gaap--FairValueMeasurementWi"/>
      <w:bookmarkEnd w:id="1194"/>
      <w:r>
        <w:rPr>
          <w:rFonts w:ascii="Times New Roman;Times;Serif" w:hAnsi="Times New Roman;Times;Serif"/>
          <w:b w:val="false"/>
          <w:i w:val="false"/>
          <w:caps w:val="false"/>
          <w:smallCaps w:val="false"/>
          <w:sz w:val="20"/>
        </w:rPr>
        <w:t>1,680, respectively. As a result of decreases in the fair value of the liability, which were primarily the result of decreases in the price of the Company’s Class A Common Stock subsequent to the Closing, the Company recognized non-cash gains of $</w:t>
      </w:r>
      <w:bookmarkStart w:id="1195" w:name="xdx_90F_eus-gaap--OtherNoncashIncomeExpe"/>
      <w:bookmarkEnd w:id="1195"/>
      <w:r>
        <w:rPr>
          <w:rFonts w:ascii="Times New Roman;Times;Serif" w:hAnsi="Times New Roman;Times;Serif"/>
          <w:b w:val="false"/>
          <w:i w:val="false"/>
          <w:caps w:val="false"/>
          <w:smallCaps w:val="false"/>
          <w:sz w:val="20"/>
        </w:rPr>
        <w:t>440 and $</w:t>
      </w:r>
      <w:bookmarkStart w:id="1196" w:name="xdx_906_eus-gaap--OtherNoncashIncomeExpe"/>
      <w:bookmarkEnd w:id="1196"/>
      <w:r>
        <w:rPr>
          <w:rFonts w:ascii="Times New Roman;Times;Serif" w:hAnsi="Times New Roman;Times;Serif"/>
          <w:b w:val="false"/>
          <w:i w:val="false"/>
          <w:caps w:val="false"/>
          <w:smallCaps w:val="false"/>
          <w:sz w:val="20"/>
        </w:rPr>
        <w:t>31,879 for the years ended September 30, 2025 and 2024, respectively, which are included in “Change in fair value of earnout liability”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Make-Whole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PIPE Subscription Agreements, the Sponsor PIPE Subscription Agreement and the Amendment to Business Combination Marketing Agreement described above, Chavant agreed to issue additional shares of its Class A Common Stock (the “Make-Whole Shares”) to the PIPE Investors, the Sponsor and certain advisors with respect to </w:t>
      </w:r>
      <w:bookmarkStart w:id="1197" w:name="xdx_90C_eus-gaap--CommonStockSharesIssue"/>
      <w:bookmarkEnd w:id="1197"/>
      <w:r>
        <w:rPr>
          <w:rFonts w:ascii="Times New Roman;Times;Serif" w:hAnsi="Times New Roman;Times;Serif"/>
          <w:b w:val="false"/>
          <w:i w:val="false"/>
          <w:caps w:val="false"/>
          <w:smallCaps w:val="false"/>
          <w:sz w:val="20"/>
        </w:rPr>
        <w:t>245,473 shares of the Company’s Class A Common Stock in the event that the VWAP per share of the Class A Common Stock during a specified period (the “Adjustment Period VWAP”) is less than $</w:t>
      </w:r>
      <w:bookmarkStart w:id="1198" w:name="xdx_902_eus-gaap--SharePrice_iI_pid_c202"/>
      <w:bookmarkEnd w:id="1198"/>
      <w:r>
        <w:rPr>
          <w:rFonts w:ascii="Times New Roman;Times;Serif" w:hAnsi="Times New Roman;Times;Serif"/>
          <w:b w:val="false"/>
          <w:i w:val="false"/>
          <w:caps w:val="false"/>
          <w:smallCaps w:val="false"/>
          <w:sz w:val="20"/>
        </w:rPr>
        <w:t>100.00 per share. In such case, the PIPE Investors were entitled to receive a number of Make-Whole Shares equal to the number of shares of Class A Common Stock issued to the PIPE Investor multiplied by a fraction, the numerator of which is $</w:t>
      </w:r>
      <w:bookmarkStart w:id="1199" w:name="xdx_90B_eus-gaap--SharesIssuedPricePerSh"/>
      <w:bookmarkEnd w:id="1199"/>
      <w:r>
        <w:rPr>
          <w:rFonts w:ascii="Times New Roman;Times;Serif" w:hAnsi="Times New Roman;Times;Serif"/>
          <w:b w:val="false"/>
          <w:i w:val="false"/>
          <w:caps w:val="false"/>
          <w:smallCaps w:val="false"/>
          <w:sz w:val="20"/>
        </w:rPr>
        <w:t>100.00 minus the Adjustment Period VWAP and the denominator of which is the Adjustment Period VWAP. In the event that the Adjustment Period VWAP is less than $</w:t>
      </w:r>
      <w:bookmarkStart w:id="1200" w:name="xdx_904_ecustom--VolumeWeightedAveragePr"/>
      <w:bookmarkEnd w:id="1200"/>
      <w:r>
        <w:rPr>
          <w:rFonts w:ascii="Times New Roman;Times;Serif" w:hAnsi="Times New Roman;Times;Serif"/>
          <w:b w:val="false"/>
          <w:i w:val="false"/>
          <w:caps w:val="false"/>
          <w:smallCaps w:val="false"/>
          <w:sz w:val="20"/>
        </w:rPr>
        <w:t>70.00, the Adjustment Period VWAP was deemed to be $</w:t>
      </w:r>
      <w:bookmarkStart w:id="1201" w:name="xdx_900_ecustom--VolumeWeightedAveragePr"/>
      <w:bookmarkEnd w:id="1201"/>
      <w:r>
        <w:rPr>
          <w:rFonts w:ascii="Times New Roman;Times;Serif" w:hAnsi="Times New Roman;Times;Serif"/>
          <w:b w:val="false"/>
          <w:i w:val="false"/>
          <w:caps w:val="false"/>
          <w:smallCaps w:val="false"/>
          <w:sz w:val="20"/>
        </w:rPr>
        <w:t xml:space="preserve">70.00. The adjustment period ended on August 30, 2024. The Company issued </w:t>
      </w:r>
      <w:bookmarkStart w:id="1202" w:name="xdx_906_eus-gaap--StockIssuedDuringPerio"/>
      <w:bookmarkEnd w:id="1202"/>
      <w:r>
        <w:rPr>
          <w:rFonts w:ascii="Times New Roman;Times;Serif" w:hAnsi="Times New Roman;Times;Serif"/>
          <w:b w:val="false"/>
          <w:i w:val="false"/>
          <w:caps w:val="false"/>
          <w:smallCaps w:val="false"/>
          <w:sz w:val="20"/>
        </w:rPr>
        <w:t>105,202 shares of its Class A Common Stock to the PIPE Investors, the Sponsor and certain advisors in settlement of the liability for the Make-Whole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Make-Whole Shares were accounted for as liability-classified instruments because the events that determine the number of Make-Whole Shares issuable include events that are not solely indexed to the Company’s common stock. At the time of Closing, the Company estimated the aggregate fair value of its liability for the Make-Whole Shares using a Monte Carlo simulation model and recorded a liability of $</w:t>
      </w:r>
      <w:bookmarkStart w:id="1203" w:name="xdx_909_ecustom--LiabilitiesRecognizedIn"/>
      <w:bookmarkEnd w:id="1203"/>
      <w:r>
        <w:rPr>
          <w:rFonts w:ascii="Times New Roman;Times;Serif" w:hAnsi="Times New Roman;Times;Serif"/>
          <w:b w:val="false"/>
          <w:i w:val="false"/>
          <w:caps w:val="false"/>
          <w:smallCaps w:val="false"/>
          <w:sz w:val="20"/>
        </w:rPr>
        <w:t xml:space="preserve">2,071. The fair value of the </w:t>
      </w:r>
      <w:bookmarkStart w:id="1204" w:name="xdx_90B_eus-gaap--StockIssuedDuringPerio"/>
      <w:bookmarkEnd w:id="1204"/>
      <w:r>
        <w:rPr>
          <w:rFonts w:ascii="Times New Roman;Times;Serif" w:hAnsi="Times New Roman;Times;Serif"/>
          <w:b w:val="false"/>
          <w:i w:val="false"/>
          <w:caps w:val="false"/>
          <w:smallCaps w:val="false"/>
          <w:sz w:val="20"/>
        </w:rPr>
        <w:t>105,202 shares of Class A Common Stock issued in settlement of the liability for the Make-Whole Shares was $</w:t>
      </w:r>
      <w:bookmarkStart w:id="1205" w:name="xdx_900_eus-gaap--FairValueMeasurementWi"/>
      <w:bookmarkEnd w:id="1205"/>
      <w:r>
        <w:rPr>
          <w:rFonts w:ascii="Times New Roman;Times;Serif" w:hAnsi="Times New Roman;Times;Serif"/>
          <w:b w:val="false"/>
          <w:i w:val="false"/>
          <w:caps w:val="false"/>
          <w:smallCaps w:val="false"/>
          <w:sz w:val="20"/>
        </w:rPr>
        <w:t>1,241. As a result of the decrease in the fair value of the liability, the Company recorded a non-cash gain of $</w:t>
      </w:r>
      <w:bookmarkStart w:id="1206" w:name="xdx_904_eus-gaap--OtherNoncashIncomeTaxE"/>
      <w:bookmarkEnd w:id="1206"/>
      <w:r>
        <w:rPr>
          <w:rFonts w:ascii="Times New Roman;Times;Serif" w:hAnsi="Times New Roman;Times;Serif"/>
          <w:b w:val="false"/>
          <w:i w:val="false"/>
          <w:caps w:val="false"/>
          <w:smallCaps w:val="false"/>
          <w:sz w:val="20"/>
        </w:rPr>
        <w:t>830 for the year ended September 30, 2024, which is included in “Change in fair value of PIPE make-whole liability”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17,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for additional information on the Company’s measurements with respect to the financial instruments issued in connection with the foregoing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Mobix incurred $</w:t>
      </w:r>
      <w:bookmarkStart w:id="1207" w:name="xdx_904_eus-gaap--BusinessAcquisitionCos"/>
      <w:bookmarkEnd w:id="1207"/>
      <w:r>
        <w:rPr>
          <w:rFonts w:ascii="Times New Roman;Times;Serif" w:hAnsi="Times New Roman;Times;Serif"/>
          <w:b w:val="false"/>
          <w:i w:val="false"/>
          <w:caps w:val="false"/>
          <w:smallCaps w:val="false"/>
          <w:sz w:val="20"/>
        </w:rPr>
        <w:t>6,363 of transaction costs in connection with the Merger, which was determined to be a capital-raising transaction for Legacy Mobix. At the time of the Closing, the Company allocated this amount between the equity-classified instruments and liability-classified instruments, based on their relative fair values, and recorded the $</w:t>
      </w:r>
      <w:bookmarkStart w:id="1208" w:name="xdx_90D_ecustom--EquityClassifiedInstrum"/>
      <w:bookmarkEnd w:id="1208"/>
      <w:r>
        <w:rPr>
          <w:rFonts w:ascii="Times New Roman;Times;Serif" w:hAnsi="Times New Roman;Times;Serif"/>
          <w:b w:val="false"/>
          <w:i w:val="false"/>
          <w:caps w:val="false"/>
          <w:smallCaps w:val="false"/>
          <w:sz w:val="20"/>
        </w:rPr>
        <w:t>2,354 of costs associated with equity-classified instruments as a reduction of additional paid-in capital and charged the remaining $</w:t>
      </w:r>
      <w:bookmarkStart w:id="1209" w:name="xdx_900_eus-gaap--OtherExpenses_pn3n3_c2"/>
      <w:bookmarkEnd w:id="1209"/>
      <w:r>
        <w:rPr>
          <w:rFonts w:ascii="Times New Roman;Times;Serif" w:hAnsi="Times New Roman;Times;Serif"/>
          <w:b w:val="false"/>
          <w:i w:val="false"/>
          <w:caps w:val="false"/>
          <w:smallCaps w:val="false"/>
          <w:sz w:val="20"/>
        </w:rPr>
        <w:t>4,009 of costs associated with liability-classified instruments to expense. The Company also recognized a liability for unpaid transaction costs of Chavant totaling $</w:t>
      </w:r>
      <w:bookmarkStart w:id="1210" w:name="xdx_908_ecustom--UnpaidTransactionCosts_"/>
      <w:bookmarkEnd w:id="1210"/>
      <w:r>
        <w:rPr>
          <w:rFonts w:ascii="Times New Roman;Times;Serif" w:hAnsi="Times New Roman;Times;Serif"/>
          <w:b w:val="false"/>
          <w:i w:val="false"/>
          <w:caps w:val="false"/>
          <w:smallCaps w:val="false"/>
          <w:sz w:val="20"/>
        </w:rPr>
        <w:t>3,090, which the Company recorded as a reduction of the proceeds of the Merger at the time of the Closing.</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11" w:name="xdx_89F_esrt--ScheduleOfCondensedFinanci"/>
      <w:bookmarkEnd w:id="1211"/>
      <w:r>
        <w:rPr>
          <w:rFonts w:ascii="Times New Roman;Times;Serif" w:hAnsi="Times New Roman;Times;Serif"/>
          <w:b w:val="false"/>
          <w:i w:val="false"/>
          <w:caps w:val="false"/>
          <w:smallCaps w:val="false"/>
          <w:sz w:val="20"/>
        </w:rPr>
        <w:t>The following tables reconcile elements of the Merger to the Company’s consolidated financial statements, and should be read in conjunction with the footnotes referenced above:</w:t>
      </w:r>
    </w:p>
    <w:p>
      <w:pPr>
        <w:pStyle w:val="TextBody"/>
        <w:bidi w:val="0"/>
        <w:spacing w:before="0" w:after="0"/>
        <w:ind w:left="0" w:right="0" w:hanging="0"/>
        <w:jc w:val="left"/>
        <w:rPr>
          <w:caps w:val="false"/>
          <w:smallCaps w:val="false"/>
        </w:rPr>
      </w:pPr>
      <w:r>
        <w:rPr>
          <w:caps w:val="false"/>
          <w:smallCaps w:val="false"/>
        </w:rPr>
        <w:t> </w:t>
      </w:r>
      <w:bookmarkStart w:id="1212" w:name="xdx_8BF_zUsYKRc0f0wj"/>
      <w:bookmarkEnd w:id="1212"/>
      <w:r>
        <w:rPr>
          <w:rFonts w:ascii="Times New Roman;Times;Serif" w:hAnsi="Times New Roman;Times;Serif"/>
          <w:b w:val="false"/>
          <w:i w:val="false"/>
          <w:caps w:val="false"/>
          <w:smallCaps w:val="false"/>
          <w:sz w:val="20"/>
        </w:rPr>
        <w:t>Schedule of Condensed Consolidated Financial Statements </w:t>
      </w:r>
    </w:p>
    <w:tbl>
      <w:tblPr>
        <w:tblW w:w="10205" w:type="dxa"/>
        <w:jc w:val="left"/>
        <w:tblInd w:w="0" w:type="dxa"/>
        <w:tblLayout w:type="fixed"/>
        <w:tblCellMar>
          <w:top w:w="0" w:type="dxa"/>
          <w:left w:w="0" w:type="dxa"/>
          <w:bottom w:w="0" w:type="dxa"/>
          <w:right w:w="0" w:type="dxa"/>
        </w:tblCellMar>
      </w:tblPr>
      <w:tblGrid>
        <w:gridCol w:w="8915"/>
        <w:gridCol w:w="60"/>
        <w:gridCol w:w="140"/>
        <w:gridCol w:w="980"/>
        <w:gridCol w:w="110"/>
      </w:tblGrid>
      <w:tr>
        <w:trPr/>
        <w:tc>
          <w:tcPr>
            <w:tcW w:w="8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13" w:name="xdx_494_20231221__20231221_zFCOku7reVse"/>
            <w:bookmarkEnd w:id="1213"/>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10" w:type="dxa"/>
            <w:tcBorders/>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14" w:name="xdx_40B_ecustom--StockIssuedDuringPeriod"/>
            <w:bookmarkEnd w:id="1214"/>
          </w:p>
        </w:tc>
      </w:tr>
      <w:tr>
        <w:trPr/>
        <w:tc>
          <w:tcPr>
            <w:tcW w:w="8915" w:type="dxa"/>
            <w:tcBorders/>
            <w:shd w:fill="CCEEFF" w:val="clear"/>
            <w:vAlign w:val="center"/>
          </w:tcPr>
          <w:p>
            <w:pPr>
              <w:pStyle w:val="TableContents"/>
              <w:bidi w:val="0"/>
              <w:spacing w:before="0" w:after="283"/>
              <w:jc w:val="left"/>
              <w:rPr/>
            </w:pPr>
            <w:r>
              <w:rPr/>
              <w:t>Chavant public shares, net of redemptions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11,100</w:t>
            </w:r>
          </w:p>
        </w:tc>
        <w:tc>
          <w:tcPr>
            <w:tcW w:w="110" w:type="dxa"/>
            <w:tcBorders/>
            <w:shd w:fill="CCEEFF" w:val="clear"/>
            <w:vAlign w:val="center"/>
          </w:tcPr>
          <w:p>
            <w:pPr>
              <w:pStyle w:val="TableContents"/>
              <w:bidi w:val="0"/>
              <w:spacing w:before="0" w:after="283"/>
              <w:jc w:val="left"/>
              <w:rPr/>
            </w:pPr>
            <w:r>
              <w:rPr/>
              <w:t> </w:t>
            </w:r>
            <w:bookmarkStart w:id="1215" w:name="xdx_402_ecustom--StockIssuedDuringPeriod"/>
            <w:bookmarkEnd w:id="1215"/>
          </w:p>
        </w:tc>
      </w:tr>
      <w:tr>
        <w:trPr/>
        <w:tc>
          <w:tcPr>
            <w:tcW w:w="8915" w:type="dxa"/>
            <w:tcBorders/>
            <w:shd w:fill="FFFFFF" w:val="clear"/>
            <w:vAlign w:val="center"/>
          </w:tcPr>
          <w:p>
            <w:pPr>
              <w:pStyle w:val="TableContents"/>
              <w:bidi w:val="0"/>
              <w:spacing w:before="0" w:after="283"/>
              <w:jc w:val="left"/>
              <w:rPr/>
            </w:pPr>
            <w:r>
              <w:rPr/>
              <w:t>Chavant founder shares, net of shares forfeited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134,137</w:t>
            </w:r>
          </w:p>
        </w:tc>
        <w:tc>
          <w:tcPr>
            <w:tcW w:w="110" w:type="dxa"/>
            <w:tcBorders/>
            <w:shd w:fill="FFFFFF" w:val="clear"/>
            <w:vAlign w:val="center"/>
          </w:tcPr>
          <w:p>
            <w:pPr>
              <w:pStyle w:val="TableContents"/>
              <w:bidi w:val="0"/>
              <w:spacing w:before="0" w:after="283"/>
              <w:jc w:val="left"/>
              <w:rPr/>
            </w:pPr>
            <w:r>
              <w:rPr/>
              <w:t> </w:t>
            </w:r>
            <w:bookmarkStart w:id="1216" w:name="xdx_40B_ecustom--StockIssuedDuringPeriod"/>
            <w:bookmarkEnd w:id="1216"/>
          </w:p>
        </w:tc>
      </w:tr>
      <w:tr>
        <w:trPr/>
        <w:tc>
          <w:tcPr>
            <w:tcW w:w="8915" w:type="dxa"/>
            <w:tcBorders/>
            <w:shd w:fill="CCEEFF" w:val="clear"/>
            <w:vAlign w:val="center"/>
          </w:tcPr>
          <w:p>
            <w:pPr>
              <w:pStyle w:val="TableContents"/>
              <w:bidi w:val="0"/>
              <w:spacing w:before="0" w:after="283"/>
              <w:jc w:val="left"/>
              <w:rPr/>
            </w:pPr>
            <w:r>
              <w:rPr/>
              <w:t>PIPE investors’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197,500</w:t>
            </w:r>
          </w:p>
        </w:tc>
        <w:tc>
          <w:tcPr>
            <w:tcW w:w="110" w:type="dxa"/>
            <w:tcBorders/>
            <w:shd w:fill="CCEEFF" w:val="clear"/>
            <w:vAlign w:val="center"/>
          </w:tcPr>
          <w:p>
            <w:pPr>
              <w:pStyle w:val="TableContents"/>
              <w:bidi w:val="0"/>
              <w:spacing w:before="0" w:after="283"/>
              <w:jc w:val="left"/>
              <w:rPr/>
            </w:pPr>
            <w:r>
              <w:rPr/>
              <w:t> </w:t>
            </w:r>
            <w:bookmarkStart w:id="1217" w:name="xdx_40C_ecustom--StockIssuedDuringPeriod"/>
            <w:bookmarkEnd w:id="1217"/>
          </w:p>
        </w:tc>
      </w:tr>
      <w:tr>
        <w:trPr/>
        <w:tc>
          <w:tcPr>
            <w:tcW w:w="8915" w:type="dxa"/>
            <w:tcBorders/>
            <w:shd w:fill="FFFFFF" w:val="clear"/>
            <w:vAlign w:val="center"/>
          </w:tcPr>
          <w:p>
            <w:pPr>
              <w:pStyle w:val="TableContents"/>
              <w:bidi w:val="0"/>
              <w:spacing w:before="0" w:after="283"/>
              <w:jc w:val="left"/>
              <w:rPr/>
            </w:pPr>
            <w:r>
              <w:rPr/>
              <w:t>Settlement of PIPE warrant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19,980</w:t>
            </w:r>
          </w:p>
        </w:tc>
        <w:tc>
          <w:tcPr>
            <w:tcW w:w="110" w:type="dxa"/>
            <w:tcBorders/>
            <w:shd w:fill="FFFFFF" w:val="clear"/>
            <w:vAlign w:val="center"/>
          </w:tcPr>
          <w:p>
            <w:pPr>
              <w:pStyle w:val="TableContents"/>
              <w:bidi w:val="0"/>
              <w:spacing w:before="0" w:after="283"/>
              <w:jc w:val="left"/>
              <w:rPr/>
            </w:pPr>
            <w:r>
              <w:rPr/>
              <w:t> </w:t>
            </w:r>
            <w:bookmarkStart w:id="1218" w:name="xdx_40A_ecustom--StockIssuedDuringPeriod"/>
            <w:bookmarkEnd w:id="1218"/>
          </w:p>
        </w:tc>
      </w:tr>
      <w:tr>
        <w:trPr/>
        <w:tc>
          <w:tcPr>
            <w:tcW w:w="8915" w:type="dxa"/>
            <w:tcBorders/>
            <w:shd w:fill="CCEEFF" w:val="clear"/>
            <w:vAlign w:val="center"/>
          </w:tcPr>
          <w:p>
            <w:pPr>
              <w:pStyle w:val="TableContents"/>
              <w:bidi w:val="0"/>
              <w:spacing w:before="0" w:after="283"/>
              <w:jc w:val="left"/>
              <w:rPr/>
            </w:pPr>
            <w:r>
              <w:rPr/>
              <w:t>Sponsor PIPE subscription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19,973</w:t>
            </w:r>
          </w:p>
        </w:tc>
        <w:tc>
          <w:tcPr>
            <w:tcW w:w="110" w:type="dxa"/>
            <w:tcBorders/>
            <w:shd w:fill="CCEEFF" w:val="clear"/>
            <w:vAlign w:val="center"/>
          </w:tcPr>
          <w:p>
            <w:pPr>
              <w:pStyle w:val="TableContents"/>
              <w:bidi w:val="0"/>
              <w:spacing w:before="0" w:after="283"/>
              <w:jc w:val="left"/>
              <w:rPr/>
            </w:pPr>
            <w:r>
              <w:rPr/>
              <w:t> </w:t>
            </w:r>
            <w:bookmarkStart w:id="1219" w:name="xdx_40F_ecustom--StockIssuedDuringPeriod"/>
            <w:bookmarkEnd w:id="1219"/>
          </w:p>
        </w:tc>
      </w:tr>
      <w:tr>
        <w:trPr/>
        <w:tc>
          <w:tcPr>
            <w:tcW w:w="8915" w:type="dxa"/>
            <w:tcBorders/>
            <w:shd w:fill="FFFFFF" w:val="clear"/>
            <w:vAlign w:val="center"/>
          </w:tcPr>
          <w:p>
            <w:pPr>
              <w:pStyle w:val="TableContents"/>
              <w:bidi w:val="0"/>
              <w:spacing w:before="0" w:after="283"/>
              <w:jc w:val="left"/>
              <w:rPr/>
            </w:pPr>
            <w:r>
              <w:rPr/>
              <w:t>Settlement of Sponsor Warrant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27,218</w:t>
            </w:r>
          </w:p>
        </w:tc>
        <w:tc>
          <w:tcPr>
            <w:tcW w:w="110" w:type="dxa"/>
            <w:tcBorders/>
            <w:shd w:fill="FFFFFF" w:val="clear"/>
            <w:vAlign w:val="center"/>
          </w:tcPr>
          <w:p>
            <w:pPr>
              <w:pStyle w:val="TableContents"/>
              <w:bidi w:val="0"/>
              <w:spacing w:before="0" w:after="283"/>
              <w:jc w:val="left"/>
              <w:rPr/>
            </w:pPr>
            <w:r>
              <w:rPr/>
              <w:t> </w:t>
            </w:r>
            <w:bookmarkStart w:id="1220" w:name="xdx_40B_ecustom--StockIssuedDuringPeriod"/>
            <w:bookmarkEnd w:id="1220"/>
          </w:p>
        </w:tc>
      </w:tr>
      <w:tr>
        <w:trPr/>
        <w:tc>
          <w:tcPr>
            <w:tcW w:w="8915" w:type="dxa"/>
            <w:tcBorders/>
            <w:shd w:fill="CCEEFF" w:val="clear"/>
            <w:vAlign w:val="center"/>
          </w:tcPr>
          <w:p>
            <w:pPr>
              <w:pStyle w:val="TableContents"/>
              <w:bidi w:val="0"/>
              <w:spacing w:before="0" w:after="283"/>
              <w:jc w:val="left"/>
              <w:rPr/>
            </w:pPr>
            <w:r>
              <w:rPr/>
              <w:t>Settlement of warrant to non-redeeming shareholder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20,248</w:t>
            </w:r>
          </w:p>
        </w:tc>
        <w:tc>
          <w:tcPr>
            <w:tcW w:w="110" w:type="dxa"/>
            <w:tcBorders/>
            <w:shd w:fill="CCEEFF" w:val="clear"/>
            <w:vAlign w:val="center"/>
          </w:tcPr>
          <w:p>
            <w:pPr>
              <w:pStyle w:val="TableContents"/>
              <w:bidi w:val="0"/>
              <w:spacing w:before="0" w:after="283"/>
              <w:jc w:val="left"/>
              <w:rPr/>
            </w:pPr>
            <w:r>
              <w:rPr/>
              <w:t> </w:t>
            </w:r>
            <w:bookmarkStart w:id="1221" w:name="xdx_403_ecustom--StockIssuedDuringPeriod"/>
            <w:bookmarkEnd w:id="1221"/>
          </w:p>
        </w:tc>
      </w:tr>
      <w:tr>
        <w:trPr/>
        <w:tc>
          <w:tcPr>
            <w:tcW w:w="8915" w:type="dxa"/>
            <w:tcBorders/>
            <w:shd w:fill="FFFFFF" w:val="clear"/>
            <w:vAlign w:val="center"/>
          </w:tcPr>
          <w:p>
            <w:pPr>
              <w:pStyle w:val="TableContents"/>
              <w:bidi w:val="0"/>
              <w:spacing w:before="0" w:after="283"/>
              <w:jc w:val="left"/>
              <w:rPr/>
            </w:pPr>
            <w:r>
              <w:rPr/>
              <w:t>Amendment to Business Combination Marketing Agreement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28,000</w:t>
            </w:r>
          </w:p>
        </w:tc>
        <w:tc>
          <w:tcPr>
            <w:tcW w:w="110" w:type="dxa"/>
            <w:tcBorders/>
            <w:shd w:fill="FFFFFF" w:val="clear"/>
            <w:vAlign w:val="center"/>
          </w:tcPr>
          <w:p>
            <w:pPr>
              <w:pStyle w:val="TableContents"/>
              <w:bidi w:val="0"/>
              <w:spacing w:before="0" w:after="283"/>
              <w:jc w:val="left"/>
              <w:rPr/>
            </w:pPr>
            <w:r>
              <w:rPr/>
              <w:t> </w:t>
            </w:r>
            <w:bookmarkStart w:id="1222" w:name="xdx_401_ecustom--StockIssuedDuringPeriod"/>
            <w:bookmarkEnd w:id="1222"/>
          </w:p>
        </w:tc>
      </w:tr>
      <w:tr>
        <w:trPr/>
        <w:tc>
          <w:tcPr>
            <w:tcW w:w="8915" w:type="dxa"/>
            <w:tcBorders/>
            <w:shd w:fill="CCEEFF" w:val="clear"/>
            <w:vAlign w:val="center"/>
          </w:tcPr>
          <w:p>
            <w:pPr>
              <w:pStyle w:val="TableContents"/>
              <w:bidi w:val="0"/>
              <w:spacing w:before="0" w:after="283"/>
              <w:jc w:val="left"/>
              <w:rPr/>
            </w:pPr>
            <w:r>
              <w:rPr/>
              <w:t>Total Chavant shares outstanding immediately prior to the Merger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458,156</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23" w:name="xdx_405_ecustom--StockIssuedDuringPeriod"/>
            <w:bookmarkEnd w:id="1223"/>
          </w:p>
        </w:tc>
      </w:tr>
      <w:tr>
        <w:trPr/>
        <w:tc>
          <w:tcPr>
            <w:tcW w:w="8915" w:type="dxa"/>
            <w:tcBorders/>
            <w:shd w:fill="CCEEFF" w:val="clear"/>
            <w:vAlign w:val="center"/>
          </w:tcPr>
          <w:p>
            <w:pPr>
              <w:pStyle w:val="TableContents"/>
              <w:bidi w:val="0"/>
              <w:spacing w:before="0" w:after="283"/>
              <w:jc w:val="left"/>
              <w:rPr/>
            </w:pPr>
            <w:r>
              <w:rPr/>
              <w:t>Legacy Mobix rollover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1,813,925</w:t>
            </w:r>
          </w:p>
        </w:tc>
        <w:tc>
          <w:tcPr>
            <w:tcW w:w="110" w:type="dxa"/>
            <w:tcBorders/>
            <w:shd w:fill="CCEEFF" w:val="clear"/>
            <w:vAlign w:val="center"/>
          </w:tcPr>
          <w:p>
            <w:pPr>
              <w:pStyle w:val="TableContents"/>
              <w:bidi w:val="0"/>
              <w:spacing w:before="0" w:after="283"/>
              <w:jc w:val="left"/>
              <w:rPr/>
            </w:pPr>
            <w:r>
              <w:rPr/>
              <w:t> </w:t>
            </w:r>
            <w:bookmarkStart w:id="1224" w:name="xdx_407_ecustom--StockIssuedDuringPeriod"/>
            <w:bookmarkEnd w:id="1224"/>
          </w:p>
        </w:tc>
      </w:tr>
      <w:tr>
        <w:trPr/>
        <w:tc>
          <w:tcPr>
            <w:tcW w:w="8915" w:type="dxa"/>
            <w:tcBorders/>
            <w:shd w:fill="FFFFFF" w:val="clear"/>
            <w:vAlign w:val="center"/>
          </w:tcPr>
          <w:p>
            <w:pPr>
              <w:pStyle w:val="TableContents"/>
              <w:bidi w:val="0"/>
              <w:spacing w:before="0" w:after="283"/>
              <w:jc w:val="left"/>
              <w:rPr/>
            </w:pPr>
            <w:r>
              <w:rPr/>
              <w:t>Conversion of Legacy Mobix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3,004</w:t>
            </w:r>
          </w:p>
        </w:tc>
        <w:tc>
          <w:tcPr>
            <w:tcW w:w="110" w:type="dxa"/>
            <w:tcBorders/>
            <w:shd w:fill="FFFFFF" w:val="clear"/>
            <w:vAlign w:val="center"/>
          </w:tcPr>
          <w:p>
            <w:pPr>
              <w:pStyle w:val="TableContents"/>
              <w:bidi w:val="0"/>
              <w:spacing w:before="0" w:after="283"/>
              <w:jc w:val="left"/>
              <w:rPr/>
            </w:pPr>
            <w:r>
              <w:rPr/>
              <w:t> </w:t>
            </w:r>
            <w:bookmarkStart w:id="1225" w:name="xdx_406_ecustom--StockIssuedDuringPeriod"/>
            <w:bookmarkEnd w:id="1225"/>
          </w:p>
        </w:tc>
      </w:tr>
      <w:tr>
        <w:trPr/>
        <w:tc>
          <w:tcPr>
            <w:tcW w:w="8915" w:type="dxa"/>
            <w:tcBorders/>
            <w:shd w:fill="CCEEFF" w:val="clear"/>
            <w:vAlign w:val="center"/>
          </w:tcPr>
          <w:p>
            <w:pPr>
              <w:pStyle w:val="TableContents"/>
              <w:bidi w:val="0"/>
              <w:spacing w:before="0" w:after="283"/>
              <w:jc w:val="left"/>
              <w:rPr/>
            </w:pPr>
            <w:r>
              <w:rPr/>
              <w:t>Conversion of Legacy Mobix SAFEs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15,095</w:t>
            </w:r>
          </w:p>
        </w:tc>
        <w:tc>
          <w:tcPr>
            <w:tcW w:w="110" w:type="dxa"/>
            <w:tcBorders/>
            <w:shd w:fill="CCEEFF" w:val="clear"/>
            <w:vAlign w:val="center"/>
          </w:tcPr>
          <w:p>
            <w:pPr>
              <w:pStyle w:val="TableContents"/>
              <w:bidi w:val="0"/>
              <w:spacing w:before="0" w:after="283"/>
              <w:jc w:val="left"/>
              <w:rPr/>
            </w:pPr>
            <w:r>
              <w:rPr/>
              <w:t> </w:t>
            </w:r>
            <w:bookmarkStart w:id="1226" w:name="xdx_40F_ecustom--StockIssuedDuringPeriod"/>
            <w:bookmarkEnd w:id="1226"/>
          </w:p>
        </w:tc>
      </w:tr>
      <w:tr>
        <w:trPr/>
        <w:tc>
          <w:tcPr>
            <w:tcW w:w="8915" w:type="dxa"/>
            <w:tcBorders/>
            <w:shd w:fill="FFFFFF" w:val="clear"/>
            <w:vAlign w:val="center"/>
          </w:tcPr>
          <w:p>
            <w:pPr>
              <w:pStyle w:val="TableContents"/>
              <w:bidi w:val="0"/>
              <w:spacing w:before="0" w:after="283"/>
              <w:jc w:val="left"/>
              <w:rPr/>
            </w:pPr>
            <w:r>
              <w:rPr/>
              <w:t>Total number of Class A common shares issued in the Merger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2,290,180</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Closing proceeds: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27" w:name="xdx_402_eus-gaap--ProceedsFromDecommissi"/>
            <w:bookmarkEnd w:id="1227"/>
          </w:p>
        </w:tc>
      </w:tr>
      <w:tr>
        <w:trPr/>
        <w:tc>
          <w:tcPr>
            <w:tcW w:w="8915" w:type="dxa"/>
            <w:tcBorders/>
            <w:shd w:fill="CCEEFF" w:val="clear"/>
            <w:vAlign w:val="center"/>
          </w:tcPr>
          <w:p>
            <w:pPr>
              <w:pStyle w:val="TableContents"/>
              <w:bidi w:val="0"/>
              <w:spacing w:before="0" w:after="283"/>
              <w:jc w:val="left"/>
              <w:rPr/>
            </w:pPr>
            <w:r>
              <w:rPr/>
              <w:t>Proceeds from Chavant trust fund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1,264</w:t>
            </w:r>
          </w:p>
        </w:tc>
        <w:tc>
          <w:tcPr>
            <w:tcW w:w="110" w:type="dxa"/>
            <w:tcBorders/>
            <w:shd w:fill="CCEEFF" w:val="clear"/>
            <w:vAlign w:val="center"/>
          </w:tcPr>
          <w:p>
            <w:pPr>
              <w:pStyle w:val="TableContents"/>
              <w:bidi w:val="0"/>
              <w:spacing w:before="0" w:after="283"/>
              <w:jc w:val="left"/>
              <w:rPr/>
            </w:pPr>
            <w:r>
              <w:rPr/>
              <w:t> </w:t>
            </w:r>
            <w:bookmarkStart w:id="1228" w:name="xdx_402_eus-gaap--ProceedsFromSaleMaturi"/>
            <w:bookmarkEnd w:id="1228"/>
          </w:p>
        </w:tc>
      </w:tr>
      <w:tr>
        <w:trPr/>
        <w:tc>
          <w:tcPr>
            <w:tcW w:w="8915" w:type="dxa"/>
            <w:tcBorders/>
            <w:shd w:fill="FFFFFF" w:val="clear"/>
            <w:vAlign w:val="center"/>
          </w:tcPr>
          <w:p>
            <w:pPr>
              <w:pStyle w:val="TableContents"/>
              <w:bidi w:val="0"/>
              <w:spacing w:before="0" w:after="283"/>
              <w:jc w:val="left"/>
              <w:rPr/>
            </w:pPr>
            <w:r>
              <w:rPr/>
              <w:t>Proceeds from PIPE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19,750</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Closing disbursements: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29" w:name="xdx_404_eus-gaap--PaymentsForMergerRelat"/>
            <w:bookmarkEnd w:id="1229"/>
          </w:p>
        </w:tc>
      </w:tr>
      <w:tr>
        <w:trPr/>
        <w:tc>
          <w:tcPr>
            <w:tcW w:w="8915" w:type="dxa"/>
            <w:tcBorders/>
            <w:shd w:fill="CCEEFF" w:val="clear"/>
            <w:vAlign w:val="center"/>
          </w:tcPr>
          <w:p>
            <w:pPr>
              <w:pStyle w:val="TableContents"/>
              <w:bidi w:val="0"/>
              <w:spacing w:before="0" w:after="283"/>
              <w:jc w:val="left"/>
              <w:rPr/>
            </w:pPr>
            <w:r>
              <w:rPr/>
              <w:t>Legacy Mobix Merger-related transaction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(3,747</w:t>
            </w:r>
          </w:p>
        </w:tc>
        <w:tc>
          <w:tcPr>
            <w:tcW w:w="110" w:type="dxa"/>
            <w:tcBorders/>
            <w:shd w:fill="CCEEFF" w:val="clear"/>
            <w:vAlign w:val="center"/>
          </w:tcPr>
          <w:p>
            <w:pPr>
              <w:pStyle w:val="TableContents"/>
              <w:bidi w:val="0"/>
              <w:spacing w:before="0" w:after="283"/>
              <w:jc w:val="left"/>
              <w:rPr/>
            </w:pPr>
            <w:r>
              <w:rPr/>
              <w:t>)</w:t>
            </w:r>
            <w:bookmarkStart w:id="1230" w:name="xdx_403_eus-gaap--PaymentsForMergerRelat"/>
            <w:bookmarkEnd w:id="1230"/>
          </w:p>
        </w:tc>
      </w:tr>
      <w:tr>
        <w:trPr/>
        <w:tc>
          <w:tcPr>
            <w:tcW w:w="8915" w:type="dxa"/>
            <w:tcBorders/>
            <w:shd w:fill="FFFFFF" w:val="clear"/>
            <w:vAlign w:val="center"/>
          </w:tcPr>
          <w:p>
            <w:pPr>
              <w:pStyle w:val="TableContents"/>
              <w:bidi w:val="0"/>
              <w:spacing w:before="0" w:after="283"/>
              <w:jc w:val="left"/>
              <w:rPr/>
            </w:pPr>
            <w:r>
              <w:rPr/>
              <w:t>Chavant Merger-related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(2,219</w:t>
            </w:r>
          </w:p>
        </w:tc>
        <w:tc>
          <w:tcPr>
            <w:tcW w:w="110" w:type="dxa"/>
            <w:tcBorders/>
            <w:shd w:fill="FFFFFF" w:val="clear"/>
            <w:vAlign w:val="center"/>
          </w:tcPr>
          <w:p>
            <w:pPr>
              <w:pStyle w:val="TableContents"/>
              <w:bidi w:val="0"/>
              <w:spacing w:before="0" w:after="283"/>
              <w:jc w:val="left"/>
              <w:rPr/>
            </w:pPr>
            <w:r>
              <w:rPr/>
              <w:t>)</w:t>
            </w:r>
            <w:bookmarkStart w:id="1231" w:name="xdx_404_ecustom--NetCashProceedsFromTheM"/>
            <w:bookmarkEnd w:id="1231"/>
          </w:p>
        </w:tc>
      </w:tr>
      <w:tr>
        <w:trPr/>
        <w:tc>
          <w:tcPr>
            <w:tcW w:w="8915" w:type="dxa"/>
            <w:tcBorders/>
            <w:shd w:fill="CCEEFF" w:val="clear"/>
            <w:vAlign w:val="center"/>
          </w:tcPr>
          <w:p>
            <w:pPr>
              <w:pStyle w:val="TableContents"/>
              <w:bidi w:val="0"/>
              <w:spacing w:before="0" w:after="283"/>
              <w:jc w:val="left"/>
              <w:rPr/>
            </w:pPr>
            <w:r>
              <w:rPr/>
              <w:t>Net cash proceeds from the Merger at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15,048</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2" w:name="xdx_408_ecustom--MobixTransactionCostsPa"/>
            <w:bookmarkEnd w:id="1232"/>
          </w:p>
        </w:tc>
      </w:tr>
      <w:tr>
        <w:trPr/>
        <w:tc>
          <w:tcPr>
            <w:tcW w:w="8915" w:type="dxa"/>
            <w:tcBorders/>
            <w:shd w:fill="CCEEFF" w:val="clear"/>
            <w:vAlign w:val="center"/>
          </w:tcPr>
          <w:p>
            <w:pPr>
              <w:pStyle w:val="TableContents"/>
              <w:bidi w:val="0"/>
              <w:spacing w:before="0" w:after="283"/>
              <w:jc w:val="left"/>
              <w:rPr/>
            </w:pPr>
            <w:r>
              <w:rPr/>
              <w:t>Legacy Mobix Merger-related transaction costs paid prior to closing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(983</w:t>
            </w:r>
          </w:p>
        </w:tc>
        <w:tc>
          <w:tcPr>
            <w:tcW w:w="110" w:type="dxa"/>
            <w:tcBorders/>
            <w:shd w:fill="CCEEFF" w:val="clear"/>
            <w:vAlign w:val="center"/>
          </w:tcPr>
          <w:p>
            <w:pPr>
              <w:pStyle w:val="TableContents"/>
              <w:bidi w:val="0"/>
              <w:spacing w:before="0" w:after="283"/>
              <w:jc w:val="left"/>
              <w:rPr/>
            </w:pPr>
            <w:r>
              <w:rPr/>
              <w:t>)</w:t>
            </w:r>
            <w:bookmarkStart w:id="1233" w:name="xdx_404_ecustom--NetCashProceeds_pn3n3_z"/>
            <w:bookmarkEnd w:id="1233"/>
          </w:p>
        </w:tc>
      </w:tr>
      <w:tr>
        <w:trPr/>
        <w:tc>
          <w:tcPr>
            <w:tcW w:w="8915" w:type="dxa"/>
            <w:tcBorders/>
            <w:shd w:fill="FFFFFF" w:val="clear"/>
            <w:vAlign w:val="center"/>
          </w:tcPr>
          <w:p>
            <w:pPr>
              <w:pStyle w:val="TableContents"/>
              <w:bidi w:val="0"/>
              <w:spacing w:before="0" w:after="283"/>
              <w:jc w:val="left"/>
              <w:rPr/>
            </w:pPr>
            <w:r>
              <w:rPr/>
              <w:t>Net cash proceeds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14,065</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Non-cash activity: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4" w:name="xdx_40E_ecustom--ConversionOfLegacyMobix"/>
            <w:bookmarkEnd w:id="1234"/>
          </w:p>
        </w:tc>
      </w:tr>
      <w:tr>
        <w:trPr/>
        <w:tc>
          <w:tcPr>
            <w:tcW w:w="8915" w:type="dxa"/>
            <w:tcBorders/>
            <w:shd w:fill="CCEEFF" w:val="clear"/>
            <w:vAlign w:val="center"/>
          </w:tcPr>
          <w:p>
            <w:pPr>
              <w:pStyle w:val="TableContents"/>
              <w:bidi w:val="0"/>
              <w:spacing w:before="0" w:after="283"/>
              <w:jc w:val="left"/>
              <w:rPr/>
            </w:pPr>
            <w:r>
              <w:rPr/>
              <w:t>Conversion of Legacy Mobix convertible notes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206</w:t>
            </w:r>
          </w:p>
        </w:tc>
        <w:tc>
          <w:tcPr>
            <w:tcW w:w="110" w:type="dxa"/>
            <w:tcBorders/>
            <w:shd w:fill="CCEEFF" w:val="clear"/>
            <w:vAlign w:val="center"/>
          </w:tcPr>
          <w:p>
            <w:pPr>
              <w:pStyle w:val="TableContents"/>
              <w:bidi w:val="0"/>
              <w:spacing w:before="0" w:after="283"/>
              <w:jc w:val="left"/>
              <w:rPr/>
            </w:pPr>
            <w:r>
              <w:rPr/>
              <w:t> </w:t>
            </w:r>
            <w:bookmarkStart w:id="1235" w:name="xdx_40B_ecustom--ConversionOfLegacyMobix"/>
            <w:bookmarkEnd w:id="1235"/>
          </w:p>
        </w:tc>
      </w:tr>
      <w:tr>
        <w:trPr/>
        <w:tc>
          <w:tcPr>
            <w:tcW w:w="8915" w:type="dxa"/>
            <w:tcBorders/>
            <w:shd w:fill="FFFFFF" w:val="clear"/>
            <w:vAlign w:val="center"/>
          </w:tcPr>
          <w:p>
            <w:pPr>
              <w:pStyle w:val="TableContents"/>
              <w:bidi w:val="0"/>
              <w:spacing w:before="0" w:after="283"/>
              <w:jc w:val="left"/>
              <w:rPr/>
            </w:pPr>
            <w:r>
              <w:rPr/>
              <w:t>Conversion of Legacy Mobix SAFEs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1,522</w:t>
            </w:r>
          </w:p>
        </w:tc>
        <w:tc>
          <w:tcPr>
            <w:tcW w:w="110" w:type="dxa"/>
            <w:tcBorders/>
            <w:shd w:fill="FFFFFF" w:val="clear"/>
            <w:vAlign w:val="center"/>
          </w:tcPr>
          <w:p>
            <w:pPr>
              <w:pStyle w:val="TableContents"/>
              <w:bidi w:val="0"/>
              <w:spacing w:before="0" w:after="283"/>
              <w:jc w:val="left"/>
              <w:rPr/>
            </w:pPr>
            <w:r>
              <w:rPr/>
              <w:t> </w:t>
            </w:r>
            <w:bookmarkStart w:id="1236" w:name="xdx_409_eus-gaap--ConversionOfStockAmoun"/>
            <w:bookmarkEnd w:id="1236"/>
          </w:p>
        </w:tc>
      </w:tr>
      <w:tr>
        <w:trPr/>
        <w:tc>
          <w:tcPr>
            <w:tcW w:w="8915" w:type="dxa"/>
            <w:tcBorders/>
            <w:shd w:fill="CCEEFF" w:val="clear"/>
            <w:vAlign w:val="center"/>
          </w:tcPr>
          <w:p>
            <w:pPr>
              <w:pStyle w:val="TableContents"/>
              <w:bidi w:val="0"/>
              <w:spacing w:before="0" w:after="283"/>
              <w:jc w:val="left"/>
              <w:rPr/>
            </w:pPr>
            <w:r>
              <w:rPr/>
              <w:t>Conversion of Legacy Mobix redeemable convertible preferred stock to Class B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2,300</w:t>
            </w:r>
          </w:p>
        </w:tc>
        <w:tc>
          <w:tcPr>
            <w:tcW w:w="110" w:type="dxa"/>
            <w:tcBorders/>
            <w:shd w:fill="CCEEFF" w:val="clear"/>
            <w:vAlign w:val="center"/>
          </w:tcPr>
          <w:p>
            <w:pPr>
              <w:pStyle w:val="TableContents"/>
              <w:bidi w:val="0"/>
              <w:spacing w:before="0" w:after="283"/>
              <w:jc w:val="left"/>
              <w:rPr/>
            </w:pPr>
            <w:r>
              <w:rPr/>
              <w:t> </w:t>
            </w:r>
            <w:bookmarkStart w:id="1237" w:name="xdx_406_eus-gaap--NoncashOrPartNoncashAc"/>
            <w:bookmarkEnd w:id="1237"/>
          </w:p>
        </w:tc>
      </w:tr>
      <w:tr>
        <w:trPr/>
        <w:tc>
          <w:tcPr>
            <w:tcW w:w="8915" w:type="dxa"/>
            <w:tcBorders/>
            <w:shd w:fill="FFFFFF" w:val="clear"/>
            <w:vAlign w:val="center"/>
          </w:tcPr>
          <w:p>
            <w:pPr>
              <w:pStyle w:val="TableContents"/>
              <w:bidi w:val="0"/>
              <w:spacing w:before="0" w:after="283"/>
              <w:jc w:val="left"/>
              <w:rPr/>
            </w:pPr>
            <w:r>
              <w:rPr/>
              <w:t>Unpaid Merger-related transaction costs assumed from Chavant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(871</w:t>
            </w:r>
          </w:p>
        </w:tc>
        <w:tc>
          <w:tcPr>
            <w:tcW w:w="110" w:type="dxa"/>
            <w:tcBorders/>
            <w:shd w:fill="FFFFFF" w:val="clear"/>
            <w:vAlign w:val="center"/>
          </w:tcPr>
          <w:p>
            <w:pPr>
              <w:pStyle w:val="TableContents"/>
              <w:bidi w:val="0"/>
              <w:spacing w:before="0" w:after="283"/>
              <w:jc w:val="left"/>
              <w:rPr/>
            </w:pPr>
            <w:r>
              <w:rPr/>
              <w:t>)</w:t>
            </w:r>
            <w:bookmarkStart w:id="1238" w:name="xdx_400_ecustom--UnpaidTransactionCostsO"/>
            <w:bookmarkEnd w:id="1238"/>
          </w:p>
        </w:tc>
      </w:tr>
      <w:tr>
        <w:trPr/>
        <w:tc>
          <w:tcPr>
            <w:tcW w:w="8915" w:type="dxa"/>
            <w:tcBorders/>
            <w:shd w:fill="CCEEFF" w:val="clear"/>
            <w:vAlign w:val="center"/>
          </w:tcPr>
          <w:p>
            <w:pPr>
              <w:pStyle w:val="TableContents"/>
              <w:bidi w:val="0"/>
              <w:spacing w:before="0" w:after="283"/>
              <w:jc w:val="left"/>
              <w:rPr/>
            </w:pPr>
            <w:r>
              <w:rPr/>
              <w:t>Unpaid Merger-related transaction costs of Legacy Mobix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(1,633</w:t>
            </w:r>
          </w:p>
        </w:tc>
        <w:tc>
          <w:tcPr>
            <w:tcW w:w="110" w:type="dxa"/>
            <w:tcBorders/>
            <w:shd w:fill="CCEEFF" w:val="clear"/>
            <w:vAlign w:val="center"/>
          </w:tcPr>
          <w:p>
            <w:pPr>
              <w:pStyle w:val="TableContents"/>
              <w:bidi w:val="0"/>
              <w:spacing w:before="0" w:after="283"/>
              <w:jc w:val="left"/>
              <w:rPr/>
            </w:pPr>
            <w:r>
              <w:rPr/>
              <w:t>)</w:t>
            </w:r>
            <w:bookmarkStart w:id="1239" w:name="xdx_403_eus-gaap--NoncashMergerRelatedCo"/>
            <w:bookmarkEnd w:id="1239"/>
          </w:p>
        </w:tc>
      </w:tr>
      <w:tr>
        <w:trPr/>
        <w:tc>
          <w:tcPr>
            <w:tcW w:w="8915" w:type="dxa"/>
            <w:tcBorders/>
            <w:shd w:fill="FFFFFF" w:val="clear"/>
            <w:vAlign w:val="center"/>
          </w:tcPr>
          <w:p>
            <w:pPr>
              <w:pStyle w:val="TableContents"/>
              <w:bidi w:val="0"/>
              <w:spacing w:before="0" w:after="283"/>
              <w:jc w:val="left"/>
              <w:rPr/>
            </w:pPr>
            <w:r>
              <w:rPr/>
              <w:t>Merger-related transaction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4,009</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Liability-classified instruments at closing: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40" w:name="xdx_40B_ecustom--LiabilitiesRecognizedIn"/>
            <w:bookmarkEnd w:id="1240"/>
          </w:p>
        </w:tc>
      </w:tr>
      <w:tr>
        <w:trPr/>
        <w:tc>
          <w:tcPr>
            <w:tcW w:w="8915" w:type="dxa"/>
            <w:tcBorders/>
            <w:shd w:fill="CCEEFF" w:val="clear"/>
            <w:vAlign w:val="center"/>
          </w:tcPr>
          <w:p>
            <w:pPr>
              <w:pStyle w:val="TableContents"/>
              <w:bidi w:val="0"/>
              <w:spacing w:before="0" w:after="283"/>
              <w:jc w:val="left"/>
              <w:rPr/>
            </w:pPr>
            <w:r>
              <w:rPr/>
              <w:t>Fair value of 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(33,559</w:t>
            </w:r>
          </w:p>
        </w:tc>
        <w:tc>
          <w:tcPr>
            <w:tcW w:w="110" w:type="dxa"/>
            <w:tcBorders/>
            <w:shd w:fill="CCEEFF" w:val="clear"/>
            <w:vAlign w:val="center"/>
          </w:tcPr>
          <w:p>
            <w:pPr>
              <w:pStyle w:val="TableContents"/>
              <w:bidi w:val="0"/>
              <w:spacing w:before="0" w:after="283"/>
              <w:jc w:val="left"/>
              <w:rPr/>
            </w:pPr>
            <w:r>
              <w:rPr/>
              <w:t>)</w:t>
            </w:r>
            <w:bookmarkStart w:id="1241" w:name="xdx_40F_ecustom--LiabilitiesRecognizedIn"/>
            <w:bookmarkEnd w:id="1241"/>
          </w:p>
        </w:tc>
      </w:tr>
      <w:tr>
        <w:trPr/>
        <w:tc>
          <w:tcPr>
            <w:tcW w:w="8915" w:type="dxa"/>
            <w:tcBorders/>
            <w:shd w:fill="FFFFFF" w:val="clear"/>
            <w:vAlign w:val="center"/>
          </w:tcPr>
          <w:p>
            <w:pPr>
              <w:pStyle w:val="TableContents"/>
              <w:bidi w:val="0"/>
              <w:spacing w:before="0" w:after="283"/>
              <w:jc w:val="left"/>
              <w:rPr/>
            </w:pPr>
            <w:r>
              <w:rPr/>
              <w:t>Fair value of PIPE make-whole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(2,071</w:t>
            </w:r>
          </w:p>
        </w:tc>
        <w:tc>
          <w:tcPr>
            <w:tcW w:w="110" w:type="dxa"/>
            <w:tcBorders/>
            <w:shd w:fill="FFFFFF" w:val="clear"/>
            <w:vAlign w:val="center"/>
          </w:tcPr>
          <w:p>
            <w:pPr>
              <w:pStyle w:val="TableContents"/>
              <w:bidi w:val="0"/>
              <w:spacing w:before="0" w:after="283"/>
              <w:jc w:val="left"/>
              <w:rPr/>
            </w:pPr>
            <w:r>
              <w:rPr/>
              <w:t>)</w:t>
            </w:r>
            <w:bookmarkStart w:id="1242" w:name="xdx_40E_ecustom--LiabilitiesRecognizedIn"/>
            <w:bookmarkEnd w:id="1242"/>
          </w:p>
        </w:tc>
      </w:tr>
      <w:tr>
        <w:trPr/>
        <w:tc>
          <w:tcPr>
            <w:tcW w:w="8915" w:type="dxa"/>
            <w:tcBorders/>
            <w:shd w:fill="CCEEFF" w:val="clear"/>
            <w:vAlign w:val="center"/>
          </w:tcPr>
          <w:p>
            <w:pPr>
              <w:pStyle w:val="TableContents"/>
              <w:bidi w:val="0"/>
              <w:spacing w:before="0" w:after="283"/>
              <w:jc w:val="left"/>
              <w:rPr/>
            </w:pPr>
            <w:r>
              <w:rPr/>
              <w:t>Fair value of Private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(150</w:t>
            </w:r>
          </w:p>
        </w:tc>
        <w:tc>
          <w:tcPr>
            <w:tcW w:w="110" w:type="dxa"/>
            <w:tcBorders/>
            <w:shd w:fill="CCEEFF" w:val="clear"/>
            <w:vAlign w:val="center"/>
          </w:tcPr>
          <w:p>
            <w:pPr>
              <w:pStyle w:val="TableContents"/>
              <w:bidi w:val="0"/>
              <w:spacing w:before="0" w:after="283"/>
              <w:jc w:val="left"/>
              <w:rPr/>
            </w:pPr>
            <w:r>
              <w:rPr/>
              <w:t>)</w:t>
            </w:r>
            <w:bookmarkStart w:id="1243" w:name="xdx_408_ecustom--StockIssuedDuringPeriod"/>
            <w:bookmarkEnd w:id="1243"/>
          </w:p>
        </w:tc>
      </w:tr>
      <w:tr>
        <w:trPr/>
        <w:tc>
          <w:tcPr>
            <w:tcW w:w="8915" w:type="dxa"/>
            <w:tcBorders/>
            <w:shd w:fill="FFFFFF" w:val="clear"/>
            <w:vAlign w:val="center"/>
          </w:tcPr>
          <w:p>
            <w:pPr>
              <w:pStyle w:val="TableContents"/>
              <w:bidi w:val="0"/>
              <w:spacing w:before="0" w:after="283"/>
              <w:jc w:val="left"/>
              <w:rPr/>
            </w:pPr>
            <w:r>
              <w:rPr/>
              <w:t>Net equity impact of the Merger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(16,182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1244" w:name="xdx_8A9_zQfjjkKlUOm8"/>
      <w:bookmarkEnd w:id="124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Closing, the Company paid $</w:t>
      </w:r>
      <w:bookmarkStart w:id="1245" w:name="xdx_903_eus-gaap--BusinessAcquisitionCos"/>
      <w:bookmarkEnd w:id="1245"/>
      <w:r>
        <w:rPr>
          <w:rFonts w:ascii="Times New Roman;Times;Serif" w:hAnsi="Times New Roman;Times;Serif"/>
          <w:b w:val="false"/>
          <w:i w:val="false"/>
          <w:caps w:val="false"/>
          <w:smallCaps w:val="false"/>
          <w:sz w:val="20"/>
        </w:rPr>
        <w:t>982 of the Merger-related transaction costs and negotiated a $</w:t>
      </w:r>
      <w:bookmarkStart w:id="1246" w:name="xdx_905_ecustom--ReductionOfUnpaidTransa"/>
      <w:bookmarkEnd w:id="1246"/>
      <w:r>
        <w:rPr>
          <w:rFonts w:ascii="Times New Roman;Times;Serif" w:hAnsi="Times New Roman;Times;Serif"/>
          <w:b w:val="false"/>
          <w:i w:val="false"/>
          <w:caps w:val="false"/>
          <w:smallCaps w:val="false"/>
          <w:sz w:val="20"/>
        </w:rPr>
        <w:t>99 reduction of the unpaid transaction costs.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47" w:name="xdx_80A_eus-gaap--BusinessAcquisitionInt"/>
      <w:bookmarkEnd w:id="1247"/>
      <w:r>
        <w:rPr>
          <w:rFonts w:ascii="Times New Roman;Times;Serif" w:hAnsi="Times New Roman;Times;Serif"/>
          <w:b/>
          <w:i w:val="false"/>
          <w:caps w:val="false"/>
          <w:smallCaps w:val="false"/>
          <w:sz w:val="20"/>
        </w:rPr>
        <w:t xml:space="preserve">Note 4 — </w:t>
      </w:r>
      <w:bookmarkStart w:id="1248" w:name="xdx_82B_zaXxlawwPGVj"/>
      <w:bookmarkEnd w:id="1248"/>
      <w:r>
        <w:rPr>
          <w:rFonts w:ascii="Times New Roman;Times;Serif" w:hAnsi="Times New Roman;Times;Serif"/>
          <w:b/>
          <w:i w:val="false"/>
          <w:caps w:val="false"/>
          <w:smallCaps w:val="false"/>
          <w:sz w:val="20"/>
        </w:rPr>
        <w:t>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49" w:name="xdx_893_eus-gaap--ScheduleOfBusinessAcqu"/>
      <w:bookmarkEnd w:id="1249"/>
      <w:r>
        <w:rPr>
          <w:rFonts w:ascii="Times New Roman;Times;Serif" w:hAnsi="Times New Roman;Times;Serif"/>
          <w:b w:val="false"/>
          <w:i w:val="false"/>
          <w:caps w:val="false"/>
          <w:smallCaps w:val="false"/>
          <w:sz w:val="20"/>
        </w:rPr>
        <w:t>The Company acquired EMI Solutions, Inc. (“EMI Solutions”) in December 2023 and RaGE Systems, Inc. (“RaGE Systems”) in May 2024. The Company accounted for each of the acquisitions as a business combination. The following table summarizes the amount of the aggregate purchase consideration and the allocation to the tangible and identifiable intangible assets acquired and liabilities assumed based on their estimated fair values.</w:t>
      </w:r>
    </w:p>
    <w:p>
      <w:pPr>
        <w:pStyle w:val="TextBody"/>
        <w:bidi w:val="0"/>
        <w:spacing w:before="0" w:after="0"/>
        <w:ind w:left="0" w:right="0" w:hanging="0"/>
        <w:jc w:val="left"/>
        <w:rPr>
          <w:caps w:val="false"/>
          <w:smallCaps w:val="false"/>
        </w:rPr>
      </w:pPr>
      <w:r>
        <w:rPr>
          <w:caps w:val="false"/>
          <w:smallCaps w:val="false"/>
        </w:rPr>
        <w:t> </w:t>
      </w:r>
      <w:bookmarkStart w:id="1250" w:name="xdx_8B1_zlAjX9tDgR27"/>
      <w:bookmarkEnd w:id="1250"/>
      <w:r>
        <w:rPr>
          <w:rFonts w:ascii="Times New Roman;Times;Serif" w:hAnsi="Times New Roman;Times;Serif"/>
          <w:b w:val="false"/>
          <w:i w:val="false"/>
          <w:caps w:val="false"/>
          <w:smallCaps w:val="false"/>
          <w:sz w:val="20"/>
        </w:rPr>
        <w:t>Schedule of Purchase Consideration and Allocation </w:t>
      </w:r>
    </w:p>
    <w:tbl>
      <w:tblPr>
        <w:tblW w:w="7028" w:type="dxa"/>
        <w:jc w:val="left"/>
        <w:tblInd w:w="0" w:type="dxa"/>
        <w:tblLayout w:type="fixed"/>
        <w:tblCellMar>
          <w:top w:w="0" w:type="dxa"/>
          <w:left w:w="0" w:type="dxa"/>
          <w:bottom w:w="0" w:type="dxa"/>
          <w:right w:w="0" w:type="dxa"/>
        </w:tblCellMar>
      </w:tblPr>
      <w:tblGrid>
        <w:gridCol w:w="3845"/>
        <w:gridCol w:w="60"/>
        <w:gridCol w:w="238"/>
        <w:gridCol w:w="1161"/>
        <w:gridCol w:w="95"/>
        <w:gridCol w:w="60"/>
        <w:gridCol w:w="262"/>
        <w:gridCol w:w="1197"/>
        <w:gridCol w:w="110"/>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51" w:name="xdx_49E_20231218__20231218__us-gaap--Bus"/>
            <w:bookmarkEnd w:id="1251"/>
          </w:p>
        </w:tc>
        <w:tc>
          <w:tcPr>
            <w:tcW w:w="1399" w:type="dxa"/>
            <w:gridSpan w:val="2"/>
            <w:tcBorders>
              <w:bottom w:val="single" w:sz="8" w:space="0" w:color="000000"/>
            </w:tcBorders>
            <w:tcMar>
              <w:bottom w:w="28" w:type="dxa"/>
            </w:tcMar>
            <w:vAlign w:val="center"/>
          </w:tcPr>
          <w:p>
            <w:pPr>
              <w:pStyle w:val="TableContents"/>
              <w:bidi w:val="0"/>
              <w:spacing w:before="0" w:after="283"/>
              <w:jc w:val="center"/>
              <w:rPr/>
            </w:pPr>
            <w:r>
              <w:rPr/>
              <w:t>EMI Solutions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52" w:name="xdx_49E_20240521__20240521__us-gaap--Bus"/>
            <w:bookmarkEnd w:id="1252"/>
          </w:p>
        </w:tc>
        <w:tc>
          <w:tcPr>
            <w:tcW w:w="1459" w:type="dxa"/>
            <w:gridSpan w:val="2"/>
            <w:tcBorders>
              <w:bottom w:val="single" w:sz="8" w:space="0" w:color="000000"/>
            </w:tcBorders>
            <w:tcMar>
              <w:bottom w:w="28" w:type="dxa"/>
            </w:tcMar>
            <w:vAlign w:val="center"/>
          </w:tcPr>
          <w:p>
            <w:pPr>
              <w:pStyle w:val="TableContents"/>
              <w:bidi w:val="0"/>
              <w:spacing w:before="0" w:after="283"/>
              <w:jc w:val="center"/>
              <w:rPr/>
            </w:pPr>
            <w:r>
              <w:rPr/>
              <w:t>RaGE Systems</w:t>
            </w:r>
          </w:p>
        </w:tc>
        <w:tc>
          <w:tcPr>
            <w:tcW w:w="11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Purchase consideration:</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53" w:name="xdx_409_ecustom--ContingentlyRedeemableC"/>
            <w:bookmarkEnd w:id="1253"/>
          </w:p>
        </w:tc>
      </w:tr>
      <w:tr>
        <w:trPr/>
        <w:tc>
          <w:tcPr>
            <w:tcW w:w="3845" w:type="dxa"/>
            <w:tcBorders/>
            <w:shd w:fill="FFFFFF" w:val="clear"/>
            <w:vAlign w:val="center"/>
          </w:tcPr>
          <w:p>
            <w:pPr>
              <w:pStyle w:val="TableContents"/>
              <w:bidi w:val="0"/>
              <w:spacing w:before="0" w:after="283"/>
              <w:jc w:val="left"/>
              <w:rPr/>
            </w:pPr>
            <w:r>
              <w:rPr/>
              <w:t>Contingently redeemable common stock</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1161" w:type="dxa"/>
            <w:tcBorders/>
            <w:shd w:fill="FFFFFF" w:val="clear"/>
            <w:vAlign w:val="center"/>
          </w:tcPr>
          <w:p>
            <w:pPr>
              <w:pStyle w:val="TableContents"/>
              <w:bidi w:val="0"/>
              <w:spacing w:before="0" w:after="283"/>
              <w:jc w:val="right"/>
              <w:rPr/>
            </w:pPr>
            <w:r>
              <w:rPr/>
              <w:t>8,856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w:t>
            </w:r>
          </w:p>
        </w:tc>
        <w:tc>
          <w:tcPr>
            <w:tcW w:w="119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54" w:name="xdx_401_ecustom--PurchaseConsiderationOf"/>
            <w:bookmarkEnd w:id="1254"/>
          </w:p>
        </w:tc>
      </w:tr>
      <w:tr>
        <w:trPr/>
        <w:tc>
          <w:tcPr>
            <w:tcW w:w="3845" w:type="dxa"/>
            <w:tcBorders/>
            <w:shd w:fill="CCEEFF" w:val="clear"/>
            <w:vAlign w:val="center"/>
          </w:tcPr>
          <w:p>
            <w:pPr>
              <w:pStyle w:val="TableContents"/>
              <w:bidi w:val="0"/>
              <w:spacing w:before="0" w:after="283"/>
              <w:jc w:val="left"/>
              <w:rPr/>
            </w:pPr>
            <w:r>
              <w:rPr/>
              <w:t>Class A Common Stock</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7,682</w:t>
            </w:r>
          </w:p>
        </w:tc>
        <w:tc>
          <w:tcPr>
            <w:tcW w:w="110" w:type="dxa"/>
            <w:tcBorders/>
            <w:shd w:fill="CCEEFF" w:val="clear"/>
            <w:vAlign w:val="center"/>
          </w:tcPr>
          <w:p>
            <w:pPr>
              <w:pStyle w:val="TableContents"/>
              <w:bidi w:val="0"/>
              <w:spacing w:before="0" w:after="283"/>
              <w:jc w:val="left"/>
              <w:rPr/>
            </w:pPr>
            <w:r>
              <w:rPr/>
              <w:t> </w:t>
            </w:r>
            <w:bookmarkStart w:id="1255" w:name="xdx_409_eus-gaap--PaymentsToAcquireBusin"/>
            <w:bookmarkEnd w:id="1255"/>
          </w:p>
        </w:tc>
      </w:tr>
      <w:tr>
        <w:trPr/>
        <w:tc>
          <w:tcPr>
            <w:tcW w:w="3845" w:type="dxa"/>
            <w:tcBorders/>
            <w:shd w:fill="FFFFFF" w:val="clear"/>
            <w:vAlign w:val="center"/>
          </w:tcPr>
          <w:p>
            <w:pPr>
              <w:pStyle w:val="TableContents"/>
              <w:bidi w:val="0"/>
              <w:spacing w:before="0" w:after="283"/>
              <w:jc w:val="left"/>
              <w:rPr/>
            </w:pPr>
            <w:r>
              <w:rPr/>
              <w:t>Cash consideration (at present value)</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pPr>
            <w:r>
              <w:rPr/>
              <w:t>2,041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1,836</w:t>
            </w:r>
          </w:p>
        </w:tc>
        <w:tc>
          <w:tcPr>
            <w:tcW w:w="110" w:type="dxa"/>
            <w:tcBorders/>
            <w:shd w:fill="FFFFFF" w:val="clear"/>
            <w:vAlign w:val="center"/>
          </w:tcPr>
          <w:p>
            <w:pPr>
              <w:pStyle w:val="TableContents"/>
              <w:bidi w:val="0"/>
              <w:spacing w:before="0" w:after="283"/>
              <w:jc w:val="left"/>
              <w:rPr/>
            </w:pPr>
            <w:r>
              <w:rPr/>
              <w:t> </w:t>
            </w:r>
            <w:bookmarkStart w:id="1256" w:name="xdx_409_eus-gaap--BusinessCombinationCon"/>
            <w:bookmarkEnd w:id="1256"/>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Purchase Consideration</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pPr>
            <w:r>
              <w:rPr/>
              <w:t>10,897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9,518</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Allocation:</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bookmarkStart w:id="1257" w:name="xdx_985_eus-gaap--BusinessCombinationRec"/>
            <w:bookmarkEnd w:id="1257"/>
          </w:p>
        </w:tc>
        <w:tc>
          <w:tcPr>
            <w:tcW w:w="1161"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bookmarkStart w:id="1258" w:name="xdx_98F_eus-gaap--BusinessCombinationRec"/>
            <w:bookmarkEnd w:id="1258"/>
          </w:p>
        </w:tc>
        <w:tc>
          <w:tcPr>
            <w:tcW w:w="1197" w:type="dxa"/>
            <w:tcBorders/>
            <w:shd w:fill="CCEEFF" w:val="clear"/>
            <w:vAlign w:val="center"/>
          </w:tcPr>
          <w:p>
            <w:pPr>
              <w:pStyle w:val="TableContents"/>
              <w:bidi w:val="0"/>
              <w:spacing w:before="0" w:after="283"/>
              <w:jc w:val="right"/>
              <w:rPr/>
            </w:pPr>
            <w:r>
              <w:rPr/>
              <w:t>420</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bookmarkStart w:id="1259" w:name="xdx_980_eus-gaap--BusinessCombinationRec"/>
            <w:bookmarkEnd w:id="1259"/>
          </w:p>
        </w:tc>
        <w:tc>
          <w:tcPr>
            <w:tcW w:w="1161" w:type="dxa"/>
            <w:tcBorders/>
            <w:shd w:fill="FFFFFF" w:val="clear"/>
            <w:vAlign w:val="center"/>
          </w:tcPr>
          <w:p>
            <w:pPr>
              <w:pStyle w:val="TableContents"/>
              <w:bidi w:val="0"/>
              <w:spacing w:before="0" w:after="283"/>
              <w:jc w:val="right"/>
              <w:rPr/>
            </w:pPr>
            <w:r>
              <w:rPr/>
              <w:t>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bookmarkStart w:id="1260" w:name="xdx_983_eus-gaap--BusinessCombinationRec"/>
            <w:bookmarkEnd w:id="1260"/>
          </w:p>
        </w:tc>
        <w:tc>
          <w:tcPr>
            <w:tcW w:w="1197" w:type="dxa"/>
            <w:tcBorders/>
            <w:shd w:fill="FFFFFF" w:val="clear"/>
            <w:vAlign w:val="center"/>
          </w:tcPr>
          <w:p>
            <w:pPr>
              <w:pStyle w:val="TableContents"/>
              <w:bidi w:val="0"/>
              <w:spacing w:before="0" w:after="283"/>
              <w:jc w:val="right"/>
              <w:rPr/>
            </w:pPr>
            <w:r>
              <w:rPr/>
              <w:t>558</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1261" w:name="xdx_98A_eus-gaap--BusinessCombinationRec"/>
            <w:bookmarkEnd w:id="1261"/>
          </w:p>
        </w:tc>
        <w:tc>
          <w:tcPr>
            <w:tcW w:w="1161" w:type="dxa"/>
            <w:tcBorders/>
            <w:shd w:fill="CCEEFF" w:val="cle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bookmarkStart w:id="1262" w:name="xdx_988_eus-gaap--BusinessCombinationRec"/>
            <w:bookmarkEnd w:id="1262"/>
          </w:p>
        </w:tc>
        <w:tc>
          <w:tcPr>
            <w:tcW w:w="1197" w:type="dxa"/>
            <w:tcBorders/>
            <w:shd w:fill="CCEEFF" w:val="clear"/>
            <w:vAlign w:val="center"/>
          </w:tcPr>
          <w:p>
            <w:pPr>
              <w:pStyle w:val="TableContents"/>
              <w:bidi w:val="0"/>
              <w:spacing w:before="0" w:after="283"/>
              <w:jc w:val="right"/>
              <w:rPr/>
            </w:pPr>
            <w:r>
              <w:rPr/>
              <w:t>1,146</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bookmarkStart w:id="1263" w:name="xdx_98C_eus-gaap--BusinessCombinationRec"/>
            <w:bookmarkEnd w:id="1263"/>
          </w:p>
        </w:tc>
        <w:tc>
          <w:tcPr>
            <w:tcW w:w="1161"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bookmarkStart w:id="1264" w:name="xdx_987_eus-gaap--BusinessCombinationRec"/>
            <w:bookmarkEnd w:id="1264"/>
          </w:p>
        </w:tc>
        <w:tc>
          <w:tcPr>
            <w:tcW w:w="1197" w:type="dxa"/>
            <w:tcBorders/>
            <w:shd w:fill="FFFFFF" w:val="cle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1265" w:name="xdx_987_eus-gaap--BusinessCombinationRec"/>
            <w:bookmarkEnd w:id="1265"/>
          </w:p>
        </w:tc>
        <w:tc>
          <w:tcPr>
            <w:tcW w:w="1161" w:type="dxa"/>
            <w:tcBorders/>
            <w:shd w:fill="CCEEFF" w:val="clear"/>
            <w:vAlign w:val="center"/>
          </w:tcPr>
          <w:p>
            <w:pPr>
              <w:pStyle w:val="TableContents"/>
              <w:bidi w:val="0"/>
              <w:spacing w:before="0" w:after="283"/>
              <w:jc w:val="right"/>
              <w:rPr/>
            </w:pPr>
            <w:r>
              <w:rPr/>
              <w:t>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bookmarkStart w:id="1266" w:name="xdx_986_eus-gaap--BusinessCombinationRec"/>
            <w:bookmarkEnd w:id="1266"/>
          </w:p>
        </w:tc>
        <w:tc>
          <w:tcPr>
            <w:tcW w:w="1197" w:type="dxa"/>
            <w:tcBorders/>
            <w:shd w:fill="CCEEFF" w:val="clear"/>
            <w:vAlign w:val="center"/>
          </w:tcPr>
          <w:p>
            <w:pPr>
              <w:pStyle w:val="TableContents"/>
              <w:bidi w:val="0"/>
              <w:spacing w:before="0" w:after="283"/>
              <w:jc w:val="right"/>
              <w:rPr/>
            </w:pPr>
            <w:r>
              <w:rPr/>
              <w:t>275</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Intangible asset—customer relationships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bookmarkStart w:id="1267" w:name="xdx_98F_eus-gaap--BusinessCombinationRec"/>
            <w:bookmarkEnd w:id="1267"/>
          </w:p>
        </w:tc>
        <w:tc>
          <w:tcPr>
            <w:tcW w:w="1161" w:type="dxa"/>
            <w:tcBorders/>
            <w:shd w:fill="FFFFFF" w:val="clear"/>
            <w:vAlign w:val="center"/>
          </w:tcPr>
          <w:p>
            <w:pPr>
              <w:pStyle w:val="TableContents"/>
              <w:bidi w:val="0"/>
              <w:spacing w:before="0" w:after="283"/>
              <w:jc w:val="right"/>
              <w:rPr/>
            </w:pPr>
            <w:r>
              <w:rPr/>
              <w:t>4,500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bookmarkStart w:id="1268" w:name="xdx_985_eus-gaap--BusinessCombinationRec"/>
            <w:bookmarkEnd w:id="1268"/>
          </w:p>
        </w:tc>
        <w:tc>
          <w:tcPr>
            <w:tcW w:w="1197" w:type="dxa"/>
            <w:tcBorders/>
            <w:shd w:fill="FFFFFF" w:val="clear"/>
            <w:vAlign w:val="center"/>
          </w:tcPr>
          <w:p>
            <w:pPr>
              <w:pStyle w:val="TableContents"/>
              <w:bidi w:val="0"/>
              <w:spacing w:before="0" w:after="283"/>
              <w:jc w:val="right"/>
              <w:rPr/>
            </w:pPr>
            <w:r>
              <w:rPr/>
              <w:t>7,400</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Intangible asset—developed technology</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1269" w:name="xdx_981_eus-gaap--BusinessCombinationRec"/>
            <w:bookmarkEnd w:id="1269"/>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bookmarkStart w:id="1270" w:name="xdx_983_eus-gaap--BusinessCombinationRec"/>
            <w:bookmarkEnd w:id="1270"/>
          </w:p>
        </w:tc>
        <w:tc>
          <w:tcPr>
            <w:tcW w:w="1197" w:type="dxa"/>
            <w:tcBorders/>
            <w:shd w:fill="CCEEFF" w:val="clear"/>
            <w:vAlign w:val="center"/>
          </w:tcPr>
          <w:p>
            <w:pPr>
              <w:pStyle w:val="TableContents"/>
              <w:bidi w:val="0"/>
              <w:spacing w:before="0" w:after="283"/>
              <w:jc w:val="right"/>
              <w:rPr/>
            </w:pPr>
            <w:r>
              <w:rPr/>
              <w:t>300</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Intangible asset—backlog</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bookmarkStart w:id="1271" w:name="xdx_98A_eus-gaap--BusinessCombinationRec"/>
            <w:bookmarkEnd w:id="1271"/>
          </w:p>
        </w:tc>
        <w:tc>
          <w:tcPr>
            <w:tcW w:w="1161" w:type="dxa"/>
            <w:tcBorders/>
            <w:shd w:fill="FFFFFF" w:val="clear"/>
            <w:vAlign w:val="center"/>
          </w:tcPr>
          <w:p>
            <w:pPr>
              <w:pStyle w:val="TableContents"/>
              <w:bidi w:val="0"/>
              <w:spacing w:before="0" w:after="283"/>
              <w:jc w:val="right"/>
              <w:rPr/>
            </w:pPr>
            <w:r>
              <w:rPr/>
              <w:t>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bookmarkStart w:id="1272" w:name="xdx_989_eus-gaap--BusinessCombinationRec"/>
            <w:bookmarkEnd w:id="1272"/>
          </w:p>
        </w:tc>
        <w:tc>
          <w:tcPr>
            <w:tcW w:w="119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Intangible asset—trade name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1273" w:name="xdx_982_eus-gaap--BusinessCombinationRec"/>
            <w:bookmarkEnd w:id="1273"/>
          </w:p>
        </w:tc>
        <w:tc>
          <w:tcPr>
            <w:tcW w:w="1161"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bookmarkStart w:id="1274" w:name="xdx_98E_eus-gaap--BusinessCombinationRec"/>
            <w:bookmarkEnd w:id="1274"/>
          </w:p>
        </w:tc>
        <w:tc>
          <w:tcPr>
            <w:tcW w:w="1197" w:type="dxa"/>
            <w:tcBorders/>
            <w:shd w:fill="CCEEFF" w:val="clear"/>
            <w:vAlign w:val="center"/>
          </w:tcPr>
          <w:p>
            <w:pPr>
              <w:pStyle w:val="TableContents"/>
              <w:bidi w:val="0"/>
              <w:spacing w:before="0" w:after="283"/>
              <w:jc w:val="right"/>
              <w:rPr/>
            </w:pPr>
            <w:r>
              <w:rPr/>
              <w:t>200</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bookmarkStart w:id="1275" w:name="xdx_98B_eus-gaap--Goodwill_iI_pn3n3_c202"/>
            <w:bookmarkEnd w:id="1275"/>
          </w:p>
        </w:tc>
        <w:tc>
          <w:tcPr>
            <w:tcW w:w="1161" w:type="dxa"/>
            <w:tcBorders/>
            <w:shd w:fill="FFFFFF" w:val="clear"/>
            <w:vAlign w:val="center"/>
          </w:tcPr>
          <w:p>
            <w:pPr>
              <w:pStyle w:val="TableContents"/>
              <w:bidi w:val="0"/>
              <w:spacing w:before="0" w:after="283"/>
              <w:jc w:val="right"/>
              <w:rPr/>
            </w:pPr>
            <w:r>
              <w:rPr/>
              <w:t>6,841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bookmarkStart w:id="1276" w:name="xdx_98B_eus-gaap--Goodwill_iI_pn3n3_c202"/>
            <w:bookmarkEnd w:id="1276"/>
          </w:p>
        </w:tc>
        <w:tc>
          <w:tcPr>
            <w:tcW w:w="1197" w:type="dxa"/>
            <w:tcBorders/>
            <w:shd w:fill="FFFFFF" w:val="clear"/>
            <w:vAlign w:val="center"/>
          </w:tcPr>
          <w:p>
            <w:pPr>
              <w:pStyle w:val="TableContents"/>
              <w:bidi w:val="0"/>
              <w:spacing w:before="0" w:after="283"/>
              <w:jc w:val="right"/>
              <w:rPr/>
            </w:pPr>
            <w:r>
              <w:rPr/>
              <w:t>4,008</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1277" w:name="xdx_984_ecustom--BusinessCombinationReco"/>
            <w:bookmarkEnd w:id="1277"/>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bookmarkStart w:id="1278" w:name="xdx_988_ecustom--BusinessCombinationReco"/>
            <w:bookmarkEnd w:id="1278"/>
          </w:p>
        </w:tc>
        <w:tc>
          <w:tcPr>
            <w:tcW w:w="1197" w:type="dxa"/>
            <w:tcBorders/>
            <w:shd w:fill="CCEEFF" w:val="clear"/>
            <w:vAlign w:val="center"/>
          </w:tcPr>
          <w:p>
            <w:pPr>
              <w:pStyle w:val="TableContents"/>
              <w:bidi w:val="0"/>
              <w:spacing w:before="0" w:after="283"/>
              <w:jc w:val="right"/>
              <w:rPr/>
            </w:pPr>
            <w:r>
              <w:rPr/>
              <w:t>192</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bookmarkStart w:id="1279" w:name="xdx_98F_eus-gaap--BusinessCombinationRec"/>
            <w:bookmarkEnd w:id="1279"/>
          </w:p>
        </w:tc>
        <w:tc>
          <w:tcPr>
            <w:tcW w:w="1161"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bookmarkStart w:id="1280" w:name="xdx_98D_eus-gaap--BusinessCombinationRec"/>
            <w:bookmarkEnd w:id="1280"/>
          </w:p>
        </w:tc>
        <w:tc>
          <w:tcPr>
            <w:tcW w:w="1197" w:type="dxa"/>
            <w:tcBorders/>
            <w:shd w:fill="FFFFFF" w:val="clear"/>
            <w:vAlign w:val="center"/>
          </w:tcPr>
          <w:p>
            <w:pPr>
              <w:pStyle w:val="TableContents"/>
              <w:bidi w:val="0"/>
              <w:spacing w:before="0" w:after="283"/>
              <w:jc w:val="right"/>
              <w:rPr/>
            </w:pPr>
            <w:r>
              <w:rPr/>
              <w:t>57</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1281" w:name="xdx_980_eus-gaap--BusinessCombinationRec"/>
            <w:bookmarkEnd w:id="1281"/>
          </w:p>
        </w:tc>
        <w:tc>
          <w:tcPr>
            <w:tcW w:w="1161" w:type="dxa"/>
            <w:tcBorders/>
            <w:shd w:fill="CCEEFF" w:val="clear"/>
            <w:vAlign w:val="center"/>
          </w:tcPr>
          <w:p>
            <w:pPr>
              <w:pStyle w:val="TableContents"/>
              <w:bidi w:val="0"/>
              <w:spacing w:before="0" w:after="283"/>
              <w:jc w:val="right"/>
              <w:rPr/>
            </w:pPr>
            <w:r>
              <w:rPr/>
              <w:t>(228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bookmarkStart w:id="1282" w:name="xdx_98B_eus-gaap--BusinessCombinationRec"/>
            <w:bookmarkEnd w:id="1282"/>
          </w:p>
        </w:tc>
        <w:tc>
          <w:tcPr>
            <w:tcW w:w="1197" w:type="dxa"/>
            <w:tcBorders/>
            <w:shd w:fill="CCEEFF" w:val="clear"/>
            <w:vAlign w:val="center"/>
          </w:tcPr>
          <w:p>
            <w:pPr>
              <w:pStyle w:val="TableContents"/>
              <w:bidi w:val="0"/>
              <w:spacing w:before="0" w:after="283"/>
              <w:jc w:val="right"/>
              <w:rPr/>
            </w:pPr>
            <w:r>
              <w:rPr/>
              <w:t>(1,647</w:t>
            </w:r>
          </w:p>
        </w:tc>
        <w:tc>
          <w:tcPr>
            <w:tcW w:w="110" w:type="dxa"/>
            <w:tcBorders/>
            <w:shd w:fill="CCEEFF" w:val="clear"/>
            <w:vAlign w:val="center"/>
          </w:tcPr>
          <w:p>
            <w:pPr>
              <w:pStyle w:val="TableContents"/>
              <w:bidi w:val="0"/>
              <w:spacing w:before="0" w:after="283"/>
              <w:jc w:val="left"/>
              <w:rPr/>
            </w:pPr>
            <w:r>
              <w:rPr/>
              <w:t>)</w:t>
            </w:r>
          </w:p>
        </w:tc>
      </w:tr>
      <w:tr>
        <w:trPr/>
        <w:tc>
          <w:tcPr>
            <w:tcW w:w="384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bookmarkStart w:id="1283" w:name="xdx_98D_eus-gaap--BusinessCombinationRec"/>
            <w:bookmarkEnd w:id="1283"/>
          </w:p>
        </w:tc>
        <w:tc>
          <w:tcPr>
            <w:tcW w:w="1161" w:type="dxa"/>
            <w:tcBorders/>
            <w:shd w:fill="FFFFFF" w:val="clear"/>
            <w:vAlign w:val="center"/>
          </w:tcPr>
          <w:p>
            <w:pPr>
              <w:pStyle w:val="TableContents"/>
              <w:bidi w:val="0"/>
              <w:spacing w:before="0" w:after="283"/>
              <w:jc w:val="right"/>
              <w:rPr/>
            </w:pPr>
            <w:r>
              <w:rPr/>
              <w:t>(263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bookmarkStart w:id="1284" w:name="xdx_984_eus-gaap--BusinessCombinationRec"/>
            <w:bookmarkEnd w:id="1284"/>
          </w:p>
        </w:tc>
        <w:tc>
          <w:tcPr>
            <w:tcW w:w="1197" w:type="dxa"/>
            <w:tcBorders/>
            <w:shd w:fill="FFFFFF" w:val="clear"/>
            <w:vAlign w:val="center"/>
          </w:tcPr>
          <w:p>
            <w:pPr>
              <w:pStyle w:val="TableContents"/>
              <w:bidi w:val="0"/>
              <w:spacing w:before="0" w:after="283"/>
              <w:jc w:val="right"/>
              <w:rPr/>
            </w:pPr>
            <w:r>
              <w:rPr/>
              <w:t>(1,622</w:t>
            </w:r>
          </w:p>
        </w:tc>
        <w:tc>
          <w:tcPr>
            <w:tcW w:w="110" w:type="dxa"/>
            <w:tcBorders/>
            <w:shd w:fill="FFFFFF" w:val="clear"/>
            <w:vAlign w:val="center"/>
          </w:tcPr>
          <w:p>
            <w:pPr>
              <w:pStyle w:val="TableContents"/>
              <w:bidi w:val="0"/>
              <w:spacing w:before="0" w:after="283"/>
              <w:jc w:val="left"/>
              <w:rPr/>
            </w:pPr>
            <w:r>
              <w:rPr/>
              <w:t>)</w:t>
            </w:r>
          </w:p>
        </w:tc>
      </w:tr>
      <w:tr>
        <w:trPr/>
        <w:tc>
          <w:tcPr>
            <w:tcW w:w="3845" w:type="dxa"/>
            <w:tcBorders/>
            <w:shd w:fill="CCEEFF" w:val="clear"/>
            <w:vAlign w:val="center"/>
          </w:tcPr>
          <w:p>
            <w:pPr>
              <w:pStyle w:val="TableContents"/>
              <w:bidi w:val="0"/>
              <w:spacing w:before="0" w:after="283"/>
              <w:jc w:val="left"/>
              <w:rPr/>
            </w:pPr>
            <w:r>
              <w:rPr/>
              <w:t>Operating lease liability</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1285" w:name="xdx_98B_eus-gaap--BusinessCombinationRec"/>
            <w:bookmarkEnd w:id="1285"/>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bookmarkStart w:id="1286" w:name="xdx_98D_eus-gaap--BusinessCombinationRec"/>
            <w:bookmarkEnd w:id="1286"/>
          </w:p>
        </w:tc>
        <w:tc>
          <w:tcPr>
            <w:tcW w:w="1197" w:type="dxa"/>
            <w:tcBorders/>
            <w:shd w:fill="CCEEFF" w:val="clear"/>
            <w:vAlign w:val="center"/>
          </w:tcPr>
          <w:p>
            <w:pPr>
              <w:pStyle w:val="TableContents"/>
              <w:bidi w:val="0"/>
              <w:spacing w:before="0" w:after="283"/>
              <w:jc w:val="right"/>
              <w:rPr/>
            </w:pPr>
            <w:r>
              <w:rPr/>
              <w:t>(192</w:t>
            </w:r>
          </w:p>
        </w:tc>
        <w:tc>
          <w:tcPr>
            <w:tcW w:w="110" w:type="dxa"/>
            <w:tcBorders/>
            <w:shd w:fill="CCEEFF" w:val="clear"/>
            <w:vAlign w:val="center"/>
          </w:tcPr>
          <w:p>
            <w:pPr>
              <w:pStyle w:val="TableContents"/>
              <w:bidi w:val="0"/>
              <w:spacing w:before="0" w:after="283"/>
              <w:jc w:val="left"/>
              <w:rPr/>
            </w:pPr>
            <w:r>
              <w:rPr/>
              <w:t>)</w:t>
            </w:r>
          </w:p>
        </w:tc>
      </w:tr>
      <w:tr>
        <w:trPr/>
        <w:tc>
          <w:tcPr>
            <w:tcW w:w="3845"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87" w:name="xdx_982_eus-gaap--BusinessCombinationRec"/>
            <w:bookmarkEnd w:id="1287"/>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pPr>
            <w:r>
              <w:rPr/>
              <w:t>(1,084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88" w:name="xdx_98C_eus-gaap--BusinessCombinationRec"/>
            <w:bookmarkEnd w:id="1288"/>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(1,582</w:t>
            </w:r>
          </w:p>
        </w:tc>
        <w:tc>
          <w:tcPr>
            <w:tcW w:w="110" w:type="dxa"/>
            <w:tcBorders/>
            <w:shd w:fill="FFFFFF" w:val="clear"/>
            <w:vAlign w:val="center"/>
          </w:tcPr>
          <w:p>
            <w:pPr>
              <w:pStyle w:val="TableContents"/>
              <w:bidi w:val="0"/>
              <w:spacing w:before="0" w:after="283"/>
              <w:jc w:val="left"/>
              <w:rPr/>
            </w:pPr>
            <w:r>
              <w:rPr/>
              <w:t>)</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289" w:name="xdx_982_eus-gaap--BusinessCombinationRec"/>
            <w:bookmarkEnd w:id="1289"/>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pPr>
            <w:r>
              <w:rPr/>
              <w:t>10,897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290" w:name="xdx_98E_eus-gaap--BusinessCombinationRec"/>
            <w:bookmarkEnd w:id="1290"/>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9,518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91" w:name="xdx_8AC_zgzm3KJUcr24"/>
      <w:bookmarkEnd w:id="1291"/>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EMI Solutions,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18, 2023, the Company completed the acquisition of EMI Solutions when the Company acquired all of the issued and outstanding common shares of EMI Solutions. EMI Solutions is a manufacturer of electromagnetic interference filtering products for military and aerospace applications. Consideration for the acquisition consisted of </w:t>
      </w:r>
      <w:bookmarkStart w:id="1292" w:name="xdx_902_eus-gaap--StockIssuedDuringPerio"/>
      <w:bookmarkEnd w:id="1292"/>
      <w:r>
        <w:rPr>
          <w:rFonts w:ascii="Times New Roman;Times;Serif" w:hAnsi="Times New Roman;Times;Serif"/>
          <w:b w:val="false"/>
          <w:i w:val="false"/>
          <w:caps w:val="false"/>
          <w:smallCaps w:val="false"/>
          <w:sz w:val="20"/>
        </w:rPr>
        <w:t>96,491 shares of the Company’s common stock with an estimated fair value of $</w:t>
      </w:r>
      <w:bookmarkStart w:id="1293" w:name="xdx_906_eus-gaap--BusinessCombinationAcq"/>
      <w:bookmarkEnd w:id="1293"/>
      <w:r>
        <w:rPr>
          <w:rFonts w:ascii="Times New Roman;Times;Serif" w:hAnsi="Times New Roman;Times;Serif"/>
          <w:b w:val="false"/>
          <w:i w:val="false"/>
          <w:caps w:val="false"/>
          <w:smallCaps w:val="false"/>
          <w:sz w:val="20"/>
        </w:rPr>
        <w:t>8,856 and $</w:t>
      </w:r>
      <w:bookmarkStart w:id="1294" w:name="xdx_909_eus-gaap--CashAcquiredInExcessOf"/>
      <w:bookmarkEnd w:id="1294"/>
      <w:r>
        <w:rPr>
          <w:rFonts w:ascii="Times New Roman;Times;Serif" w:hAnsi="Times New Roman;Times;Serif"/>
          <w:b w:val="false"/>
          <w:i w:val="false"/>
          <w:caps w:val="false"/>
          <w:smallCaps w:val="false"/>
          <w:sz w:val="20"/>
        </w:rPr>
        <w:t>2,200 in cash. Of the cash portion of the consideration, the Company paid $</w:t>
      </w:r>
      <w:bookmarkStart w:id="1295" w:name="xdx_906_eus-gaap--AcquisitionCosts_pn3n3"/>
      <w:bookmarkEnd w:id="1295"/>
      <w:r>
        <w:rPr>
          <w:rFonts w:ascii="Times New Roman;Times;Serif" w:hAnsi="Times New Roman;Times;Serif"/>
          <w:b w:val="false"/>
          <w:i w:val="false"/>
          <w:caps w:val="false"/>
          <w:smallCaps w:val="false"/>
          <w:sz w:val="20"/>
        </w:rPr>
        <w:t>155 at the time of the consummation of the acquisition and through September 30, 2025 the Company paid an additional $</w:t>
      </w:r>
      <w:bookmarkStart w:id="1296" w:name="xdx_904_eus-gaap--BusinessCombinationSep"/>
      <w:bookmarkEnd w:id="1296"/>
      <w:r>
        <w:rPr>
          <w:rFonts w:ascii="Times New Roman;Times;Serif" w:hAnsi="Times New Roman;Times;Serif"/>
          <w:b w:val="false"/>
          <w:i w:val="false"/>
          <w:caps w:val="false"/>
          <w:smallCaps w:val="false"/>
          <w:sz w:val="20"/>
        </w:rPr>
        <w:t>1,522. The remaining $</w:t>
      </w:r>
      <w:bookmarkStart w:id="1297" w:name="xdx_908_eus-gaap--Cash_iI_pn3n3_c2025093"/>
      <w:bookmarkEnd w:id="1297"/>
      <w:r>
        <w:rPr>
          <w:rFonts w:ascii="Times New Roman;Times;Serif" w:hAnsi="Times New Roman;Times;Serif"/>
          <w:b w:val="false"/>
          <w:i w:val="false"/>
          <w:caps w:val="false"/>
          <w:smallCaps w:val="false"/>
          <w:sz w:val="20"/>
        </w:rPr>
        <w:t>523 cash portion of the consideration is currently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merger agreement with EMI Solutions provided that in the event that Legacy Mobix did not complete an initial public offering (including the Merger) within twenty-four months following the completion of the acquisition of EMI Solutions, the sellers could require the Company to pay all unpaid cash consideration and provided the sellers a “put right” wherein the sellers could require that the Company repurchase the </w:t>
      </w:r>
      <w:bookmarkStart w:id="1298" w:name="xdx_902_eus-gaap--StockIssuedDuringPerio"/>
      <w:bookmarkEnd w:id="1298"/>
      <w:r>
        <w:rPr>
          <w:rFonts w:ascii="Times New Roman;Times;Serif" w:hAnsi="Times New Roman;Times;Serif"/>
          <w:b w:val="false"/>
          <w:i w:val="false"/>
          <w:caps w:val="false"/>
          <w:smallCaps w:val="false"/>
          <w:sz w:val="20"/>
        </w:rPr>
        <w:t>96,491 shares of common stock for a cash amount equal to $</w:t>
      </w:r>
      <w:bookmarkStart w:id="1299" w:name="xdx_90A_eus-gaap--SaleOfStockPricePerSha"/>
      <w:bookmarkEnd w:id="1299"/>
      <w:r>
        <w:rPr>
          <w:rFonts w:ascii="Times New Roman;Times;Serif" w:hAnsi="Times New Roman;Times;Serif"/>
          <w:b w:val="false"/>
          <w:i w:val="false"/>
          <w:caps w:val="false"/>
          <w:smallCaps w:val="false"/>
          <w:sz w:val="20"/>
        </w:rPr>
        <w:t xml:space="preserve">68.40 per share. The Company evaluated the terms of the related agreement and concluded that the shares of common stock issued as consideration were contingently redeemable common stock, and required recognition as temporary equity, because the events that determine whether the Company will be required to repurchase the </w:t>
      </w:r>
      <w:bookmarkStart w:id="1300" w:name="xdx_907_eus-gaap--StockRepurchasedDuring"/>
      <w:bookmarkEnd w:id="1300"/>
      <w:r>
        <w:rPr>
          <w:rFonts w:ascii="Times New Roman;Times;Serif" w:hAnsi="Times New Roman;Times;Serif"/>
          <w:b w:val="false"/>
          <w:i w:val="false"/>
          <w:caps w:val="false"/>
          <w:smallCaps w:val="false"/>
          <w:sz w:val="20"/>
        </w:rPr>
        <w:t>96,491 shares of its common stock for cash were not within the Company’s control. At the time of completion of the acquisition, the Company estimated the fair value of the contingently redeemable common stock at $</w:t>
      </w:r>
      <w:bookmarkStart w:id="1301" w:name="xdx_908_eus-gaap--CommonStockValue_iI_pn"/>
      <w:bookmarkEnd w:id="1301"/>
      <w:r>
        <w:rPr>
          <w:rFonts w:ascii="Times New Roman;Times;Serif" w:hAnsi="Times New Roman;Times;Serif"/>
          <w:b w:val="false"/>
          <w:i w:val="false"/>
          <w:caps w:val="false"/>
          <w:smallCaps w:val="false"/>
          <w:sz w:val="20"/>
        </w:rPr>
        <w:t xml:space="preserve">8,856, based upon the fair value of the Legacy Mobix common stock, adjusted to include the fair value of the put right. The Company estimated the fair value of the put right using the Black-Scholes option pricing model with the following assumptions: expected volatility of </w:t>
      </w:r>
      <w:bookmarkStart w:id="1302" w:name="xdx_90B_eus-gaap--BusinessCombinationCon"/>
      <w:bookmarkEnd w:id="1302"/>
      <w:r>
        <w:rPr>
          <w:rFonts w:ascii="Times New Roman;Times;Serif" w:hAnsi="Times New Roman;Times;Serif"/>
          <w:b w:val="false"/>
          <w:i w:val="false"/>
          <w:caps w:val="false"/>
          <w:smallCaps w:val="false"/>
          <w:sz w:val="20"/>
        </w:rPr>
        <w:t xml:space="preserve">55.0%; </w:t>
      </w:r>
      <w:bookmarkStart w:id="1303" w:name="xdx_902_eus-gaap--BusinessCombinationCon"/>
      <w:bookmarkEnd w:id="1303"/>
      <w:r>
        <w:rPr>
          <w:rFonts w:ascii="Times New Roman;Times;Serif" w:hAnsi="Times New Roman;Times;Serif"/>
          <w:b w:val="false"/>
          <w:i w:val="false"/>
          <w:caps w:val="false"/>
          <w:smallCaps w:val="false"/>
          <w:sz w:val="20"/>
        </w:rPr>
        <w:t xml:space="preserve">no expected dividend yield; risk-free interest rate of </w:t>
      </w:r>
      <w:bookmarkStart w:id="1304" w:name="xdx_909_eus-gaap--BusinessCombinationCon"/>
      <w:bookmarkEnd w:id="1304"/>
      <w:r>
        <w:rPr>
          <w:rFonts w:ascii="Times New Roman;Times;Serif" w:hAnsi="Times New Roman;Times;Serif"/>
          <w:b w:val="false"/>
          <w:i w:val="false"/>
          <w:caps w:val="false"/>
          <w:smallCaps w:val="false"/>
          <w:sz w:val="20"/>
        </w:rPr>
        <w:t xml:space="preserve">4.5%; and a contractual term of </w:t>
      </w:r>
      <w:bookmarkStart w:id="1305" w:name="xdx_90F_ecustom--BusinessCombinationCont"/>
      <w:bookmarkEnd w:id="1305"/>
      <w:r>
        <w:rPr>
          <w:rFonts w:ascii="Times New Roman;Times;Serif" w:hAnsi="Times New Roman;Times;Serif"/>
          <w:b w:val="false"/>
          <w:i w:val="false"/>
          <w:caps w:val="false"/>
          <w:smallCaps w:val="false"/>
          <w:sz w:val="20"/>
        </w:rPr>
        <w:t>two years. The Company included this amount as part of the value of the purchase consideration. After the Closing of the Merger with Chavant on December 21, 2023, the common stock was no longer contingently redeemable, and the Company reclassified the value of the contingently redeemable common stock to permanent equity at its carrying value of $</w:t>
      </w:r>
      <w:bookmarkStart w:id="1306" w:name="xdx_905_eus-gaap--ReclassificationsOfTem"/>
      <w:bookmarkEnd w:id="1306"/>
      <w:r>
        <w:rPr>
          <w:rFonts w:ascii="Times New Roman;Times;Serif" w:hAnsi="Times New Roman;Times;Serif"/>
          <w:b w:val="false"/>
          <w:i w:val="false"/>
          <w:caps w:val="false"/>
          <w:smallCaps w:val="false"/>
          <w:sz w:val="20"/>
        </w:rPr>
        <w:t>8,856, with no gain or loss recognized.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useful lives of the customer relationships, trade name and backlog intangible assets are fifteen years, two years and one year, respectively. The goodwill is primarily attributed to expected synergies for the combined operations and is not deductible for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of EMI Solutions are included in the Company’s consolidated financial statements for periods subsequent to the acquisition date. The amounts of net revenue and net loss of EMI Solutions included in the Company’s consolidated statements of operations and comprehensive loss were $</w:t>
      </w:r>
      <w:bookmarkStart w:id="1307" w:name="xdx_90B_eus-gaap--Revenues_pn3n3_c202410"/>
      <w:bookmarkEnd w:id="1307"/>
      <w:r>
        <w:rPr>
          <w:rFonts w:ascii="Times New Roman;Times;Serif" w:hAnsi="Times New Roman;Times;Serif"/>
          <w:b w:val="false"/>
          <w:i w:val="false"/>
          <w:caps w:val="false"/>
          <w:smallCaps w:val="false"/>
          <w:sz w:val="20"/>
        </w:rPr>
        <w:t>3,937 and $(</w:t>
      </w:r>
      <w:bookmarkStart w:id="1308" w:name="xdx_90B_eus-gaap--OtherComprehensiveInco"/>
      <w:bookmarkEnd w:id="1308"/>
      <w:r>
        <w:rPr>
          <w:rFonts w:ascii="Times New Roman;Times;Serif" w:hAnsi="Times New Roman;Times;Serif"/>
          <w:b w:val="false"/>
          <w:i w:val="false"/>
          <w:caps w:val="false"/>
          <w:smallCaps w:val="false"/>
          <w:sz w:val="20"/>
        </w:rPr>
        <w:t>312), respectively, for the year ended September 30, 2025 and $</w:t>
      </w:r>
      <w:bookmarkStart w:id="1309" w:name="xdx_905_eus-gaap--Revenues_pn3n3_c202310"/>
      <w:bookmarkEnd w:id="1309"/>
      <w:r>
        <w:rPr>
          <w:rFonts w:ascii="Times New Roman;Times;Serif" w:hAnsi="Times New Roman;Times;Serif"/>
          <w:b w:val="false"/>
          <w:i w:val="false"/>
          <w:caps w:val="false"/>
          <w:smallCaps w:val="false"/>
          <w:sz w:val="20"/>
        </w:rPr>
        <w:t>2,774 and $(</w:t>
      </w:r>
      <w:bookmarkStart w:id="1310" w:name="xdx_904_eus-gaap--OtherComprehensiveInco"/>
      <w:bookmarkEnd w:id="1310"/>
      <w:r>
        <w:rPr>
          <w:rFonts w:ascii="Times New Roman;Times;Serif" w:hAnsi="Times New Roman;Times;Serif"/>
          <w:b w:val="false"/>
          <w:i w:val="false"/>
          <w:caps w:val="false"/>
          <w:smallCaps w:val="false"/>
          <w:sz w:val="20"/>
        </w:rPr>
        <w:t>887), respectively, for the year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RaGE Systems,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the Company completed the acquisition of RaGE Systems when the Company acquired all of the issued and outstanding common shares of RaGE Systems pursuant to a business combination agreement (the “RaGE Business Combination Agreement”). RaGE Systems specializes in developing products for 5G communications, mmWave imaging, and software defined radio targeting the commercial, industrial, and defense and aerospace sectors. Aggregate consideration for the acquisition was $</w:t>
      </w:r>
      <w:bookmarkStart w:id="1311" w:name="xdx_900_eus-gaap--BusinessCombinationCon"/>
      <w:bookmarkEnd w:id="1311"/>
      <w:r>
        <w:rPr>
          <w:rFonts w:ascii="Times New Roman;Times;Serif" w:hAnsi="Times New Roman;Times;Serif"/>
          <w:b w:val="false"/>
          <w:i w:val="false"/>
          <w:caps w:val="false"/>
          <w:smallCaps w:val="false"/>
          <w:sz w:val="20"/>
        </w:rPr>
        <w:t xml:space="preserve">9,518, consisting of </w:t>
      </w:r>
      <w:bookmarkStart w:id="1312" w:name="xdx_908_eus-gaap--ExcessStockSharesIssue"/>
      <w:bookmarkEnd w:id="1312"/>
      <w:r>
        <w:rPr>
          <w:rFonts w:ascii="Times New Roman;Times;Serif" w:hAnsi="Times New Roman;Times;Serif"/>
          <w:b w:val="false"/>
          <w:i w:val="false"/>
          <w:caps w:val="false"/>
          <w:smallCaps w:val="false"/>
          <w:sz w:val="20"/>
        </w:rPr>
        <w:t>321,404 shares of the Company’s Class A Common Stock having a fair value of $</w:t>
      </w:r>
      <w:bookmarkStart w:id="1313" w:name="xdx_909_eus-gaap--BusinessCombinationAcq"/>
      <w:bookmarkEnd w:id="1313"/>
      <w:r>
        <w:rPr>
          <w:rFonts w:ascii="Times New Roman;Times;Serif" w:hAnsi="Times New Roman;Times;Serif"/>
          <w:b w:val="false"/>
          <w:i w:val="false"/>
          <w:caps w:val="false"/>
          <w:smallCaps w:val="false"/>
          <w:sz w:val="20"/>
        </w:rPr>
        <w:t>7,682 and $</w:t>
      </w:r>
      <w:bookmarkStart w:id="1314" w:name="xdx_901_eus-gaap--CashAcquiredInExcessOf"/>
      <w:bookmarkEnd w:id="1314"/>
      <w:r>
        <w:rPr>
          <w:rFonts w:ascii="Times New Roman;Times;Serif" w:hAnsi="Times New Roman;Times;Serif"/>
          <w:b w:val="false"/>
          <w:i w:val="false"/>
          <w:caps w:val="false"/>
          <w:smallCaps w:val="false"/>
          <w:sz w:val="20"/>
        </w:rPr>
        <w:t>2,000 in cash, of which the Company paid $</w:t>
      </w:r>
      <w:bookmarkStart w:id="1315" w:name="xdx_902_eus-gaap--AccountsPayableFairVal"/>
      <w:bookmarkEnd w:id="1315"/>
      <w:r>
        <w:rPr>
          <w:rFonts w:ascii="Times New Roman;Times;Serif" w:hAnsi="Times New Roman;Times;Serif"/>
          <w:b w:val="false"/>
          <w:i w:val="false"/>
          <w:caps w:val="false"/>
          <w:smallCaps w:val="false"/>
          <w:sz w:val="20"/>
        </w:rPr>
        <w:t>200 during the year ended September 30, 2024 and as of September 30, 2025 the remaining $</w:t>
      </w:r>
      <w:bookmarkStart w:id="1316" w:name="xdx_903_eus-gaap--AccountsPayableFairVal"/>
      <w:bookmarkEnd w:id="1316"/>
      <w:r>
        <w:rPr>
          <w:rFonts w:ascii="Times New Roman;Times;Serif" w:hAnsi="Times New Roman;Times;Serif"/>
          <w:b w:val="false"/>
          <w:i w:val="false"/>
          <w:caps w:val="false"/>
          <w:smallCaps w:val="false"/>
          <w:sz w:val="20"/>
        </w:rPr>
        <w:t>1,800 is currently payable. The Company also entered into employment agreements with each of the RaGE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useful lives of the customer relationships, developed technology and trade name intangible assets are twelve years, seven years, and two and one-half years, respectively. The goodwill is primarily attributed to expected synergies for the combined operations and is not deductible for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RaGE Business Combination Agreement, the RaGE stockholders are entitled to receive possible earnout payments of up to $</w:t>
      </w:r>
      <w:bookmarkStart w:id="1317" w:name="xdx_900_eus-gaap--PaymentsForFees_pn3n3_"/>
      <w:bookmarkEnd w:id="1317"/>
      <w:r>
        <w:rPr>
          <w:rFonts w:ascii="Times New Roman;Times;Serif" w:hAnsi="Times New Roman;Times;Serif"/>
          <w:b w:val="false"/>
          <w:i w:val="false"/>
          <w:caps w:val="false"/>
          <w:smallCaps w:val="false"/>
          <w:sz w:val="20"/>
        </w:rPr>
        <w:t>8,000, payable in a combination of cash and shares of the Company’s Class A Common Stock, based upon both (i) the attainment of certain financial targets measured over calendar years 2024 and 2025 and (ii) continued employment with the Company (the “RaGE Earnout”). Because the RaGE Earnout arrangement is linked to continued employment with the Company in the post-acquisition period, the Company determined that the related cost must be recognized as an operating expense in the post-acquisition period, and no portion was accounted for as part of the purchase consideration. As of September 30, 2025 and 2024, the Company estimated the amount of the payments it expects to make under the RaGE Earnout, based upon its expectation of the level of achievement of the financial targets over the measurement periods and for the years ended September 30, 2025 and 2024, the Company recognized expense of $</w:t>
      </w:r>
      <w:bookmarkStart w:id="1318" w:name="xdx_90C_eus-gaap--OtherSellingGeneralAnd"/>
      <w:bookmarkEnd w:id="1318"/>
      <w:r>
        <w:rPr>
          <w:rFonts w:ascii="Times New Roman;Times;Serif" w:hAnsi="Times New Roman;Times;Serif"/>
          <w:b w:val="false"/>
          <w:i w:val="false"/>
          <w:caps w:val="false"/>
          <w:smallCaps w:val="false"/>
          <w:sz w:val="20"/>
        </w:rPr>
        <w:t>767 and $</w:t>
      </w:r>
      <w:bookmarkStart w:id="1319" w:name="xdx_90D_eus-gaap--OtherSellingGeneralAnd"/>
      <w:bookmarkEnd w:id="1319"/>
      <w:r>
        <w:rPr>
          <w:rFonts w:ascii="Times New Roman;Times;Serif" w:hAnsi="Times New Roman;Times;Serif"/>
          <w:b w:val="false"/>
          <w:i w:val="false"/>
          <w:caps w:val="false"/>
          <w:smallCaps w:val="false"/>
          <w:sz w:val="20"/>
        </w:rPr>
        <w:t xml:space="preserve">2,985, respectively, which is included in selling, general and administrative expenses in the consolidated statements of operations and comprehensive loss. During the year ended September 30, 2025, the Company issued the RaGE stockholders </w:t>
      </w:r>
      <w:bookmarkStart w:id="1320" w:name="xdx_905_eus-gaap--StockIssuedDuringPerio"/>
      <w:bookmarkEnd w:id="1320"/>
      <w:r>
        <w:rPr>
          <w:rFonts w:ascii="Times New Roman;Times;Serif" w:hAnsi="Times New Roman;Times;Serif"/>
          <w:b w:val="false"/>
          <w:i w:val="false"/>
          <w:caps w:val="false"/>
          <w:smallCaps w:val="false"/>
          <w:sz w:val="20"/>
        </w:rPr>
        <w:t>64,280 shares of the Company’s Class A Common Stock in partial settlement of its liability under the RaGE Earnout.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of RaGE Systems are included in the Company’s consolidated financial statements for periods subsequent to the acquisition date. The amounts of net revenue and net income of RaGE Systems included in the Company’s consolidated statements of operations and comprehensive loss were $</w:t>
      </w:r>
      <w:bookmarkStart w:id="1321" w:name="xdx_90D_eus-gaap--Revenues_pn3n3_c202410"/>
      <w:bookmarkEnd w:id="1321"/>
      <w:r>
        <w:rPr>
          <w:rFonts w:ascii="Times New Roman;Times;Serif" w:hAnsi="Times New Roman;Times;Serif"/>
          <w:b w:val="false"/>
          <w:i w:val="false"/>
          <w:caps w:val="false"/>
          <w:smallCaps w:val="false"/>
          <w:sz w:val="20"/>
        </w:rPr>
        <w:t>5,836 and $</w:t>
      </w:r>
      <w:bookmarkStart w:id="1322" w:name="xdx_906_eus-gaap--OtherComprehensiveInco"/>
      <w:bookmarkEnd w:id="1322"/>
      <w:r>
        <w:rPr>
          <w:rFonts w:ascii="Times New Roman;Times;Serif" w:hAnsi="Times New Roman;Times;Serif"/>
          <w:b w:val="false"/>
          <w:i w:val="false"/>
          <w:caps w:val="false"/>
          <w:smallCaps w:val="false"/>
          <w:sz w:val="20"/>
        </w:rPr>
        <w:t>586, respectively, for the year ended September 30, 2025 and $</w:t>
      </w:r>
      <w:bookmarkStart w:id="1323" w:name="xdx_908_eus-gaap--Revenues_pn3n3_c202310"/>
      <w:bookmarkEnd w:id="1323"/>
      <w:r>
        <w:rPr>
          <w:rFonts w:ascii="Times New Roman;Times;Serif" w:hAnsi="Times New Roman;Times;Serif"/>
          <w:b w:val="false"/>
          <w:i w:val="false"/>
          <w:caps w:val="false"/>
          <w:smallCaps w:val="false"/>
          <w:sz w:val="20"/>
        </w:rPr>
        <w:t>2,739 and $</w:t>
      </w:r>
      <w:bookmarkStart w:id="1324" w:name="xdx_900_eus-gaap--OtherComprehensiveInco"/>
      <w:bookmarkEnd w:id="1324"/>
      <w:r>
        <w:rPr>
          <w:rFonts w:ascii="Times New Roman;Times;Serif" w:hAnsi="Times New Roman;Times;Serif"/>
          <w:b w:val="false"/>
          <w:i w:val="false"/>
          <w:caps w:val="false"/>
          <w:smallCaps w:val="false"/>
          <w:sz w:val="20"/>
        </w:rPr>
        <w:t>201, respectively, for the year ended September 30,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25" w:name="xdx_89A_eus-gaap--BusinessAcquisitionPro"/>
      <w:bookmarkEnd w:id="1325"/>
      <w:r>
        <w:rPr>
          <w:rFonts w:ascii="Times New Roman;Times;Serif" w:hAnsi="Times New Roman;Times;Serif"/>
          <w:b w:val="false"/>
          <w:i w:val="false"/>
          <w:caps w:val="false"/>
          <w:smallCaps w:val="false"/>
          <w:sz w:val="20"/>
        </w:rPr>
        <w:t>The following table shows unaudited pro forma net revenue and net loss of the Company, as if the acquisitions of EMI Solutions and RaGE Systems had each been completed as of October 1, 2022. The unaudited pro forma information is presented for informational purposes only and is not necessarily indicative of future operations or results had the acquisitions occurred on October 1, 2022.</w:t>
      </w:r>
    </w:p>
    <w:p>
      <w:pPr>
        <w:pStyle w:val="TextBody"/>
        <w:bidi w:val="0"/>
        <w:spacing w:before="0" w:after="0"/>
        <w:ind w:left="0" w:right="0" w:hanging="0"/>
        <w:jc w:val="left"/>
        <w:rPr>
          <w:caps w:val="false"/>
          <w:smallCaps w:val="false"/>
        </w:rPr>
      </w:pPr>
      <w:r>
        <w:rPr>
          <w:caps w:val="false"/>
          <w:smallCaps w:val="false"/>
        </w:rPr>
        <w:t> </w:t>
      </w:r>
      <w:bookmarkStart w:id="1326" w:name="xdx_8BC_z3hA5KhOo1Tj"/>
      <w:bookmarkEnd w:id="1326"/>
      <w:r>
        <w:rPr>
          <w:rFonts w:ascii="Times New Roman;Times;Serif" w:hAnsi="Times New Roman;Times;Serif"/>
          <w:b w:val="false"/>
          <w:i w:val="false"/>
          <w:caps w:val="false"/>
          <w:smallCaps w:val="false"/>
          <w:sz w:val="20"/>
        </w:rPr>
        <w:t>Schedule of Unaudited ProForma Net Revenues and Net income (Loss) </w:t>
      </w:r>
    </w:p>
    <w:tbl>
      <w:tblPr>
        <w:tblW w:w="2834" w:type="dxa"/>
        <w:jc w:val="left"/>
        <w:tblInd w:w="0" w:type="dxa"/>
        <w:tblLayout w:type="fixed"/>
        <w:tblCellMar>
          <w:top w:w="0" w:type="dxa"/>
          <w:left w:w="0" w:type="dxa"/>
          <w:bottom w:w="0" w:type="dxa"/>
          <w:right w:w="0" w:type="dxa"/>
        </w:tblCellMar>
      </w:tblPr>
      <w:tblGrid>
        <w:gridCol w:w="1190"/>
        <w:gridCol w:w="60"/>
        <w:gridCol w:w="230"/>
        <w:gridCol w:w="1244"/>
        <w:gridCol w:w="110"/>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27" w:name="xdx_493_20231001__20240930_zoEwze0jHHta"/>
            <w:bookmarkEnd w:id="1327"/>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br/>
              <w:t>2024</w:t>
            </w:r>
          </w:p>
        </w:tc>
        <w:tc>
          <w:tcPr>
            <w:tcW w:w="11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328" w:name="xdx_40F_eus-gaap--BusinessAcquisitionsPr"/>
            <w:bookmarkEnd w:id="1328"/>
          </w:p>
        </w:tc>
      </w:tr>
      <w:tr>
        <w:trPr/>
        <w:tc>
          <w:tcPr>
            <w:tcW w:w="1190"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10,268</w:t>
            </w:r>
          </w:p>
        </w:tc>
        <w:tc>
          <w:tcPr>
            <w:tcW w:w="110" w:type="dxa"/>
            <w:tcBorders/>
            <w:shd w:fill="CCEEFF" w:val="clear"/>
            <w:vAlign w:val="center"/>
          </w:tcPr>
          <w:p>
            <w:pPr>
              <w:pStyle w:val="TableContents"/>
              <w:bidi w:val="0"/>
              <w:spacing w:before="0" w:after="283"/>
              <w:jc w:val="left"/>
              <w:rPr/>
            </w:pPr>
            <w:r>
              <w:rPr/>
              <w:t> </w:t>
            </w:r>
            <w:bookmarkStart w:id="1329" w:name="xdx_40D_eus-gaap--BusinessAcquisitionsPr"/>
            <w:bookmarkEnd w:id="1329"/>
          </w:p>
        </w:tc>
      </w:tr>
      <w:tr>
        <w:trPr/>
        <w:tc>
          <w:tcPr>
            <w:tcW w:w="11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(21,436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1330" w:name="xdx_8A5_zNBNh4JE1PX"/>
      <w:bookmarkEnd w:id="1330"/>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31" w:name="xdx_803_eus-gaap--InventoryDisclosureTex"/>
      <w:bookmarkEnd w:id="1331"/>
      <w:r>
        <w:rPr>
          <w:rFonts w:ascii="Times New Roman;Times;Serif" w:hAnsi="Times New Roman;Times;Serif"/>
          <w:b/>
          <w:i w:val="false"/>
          <w:caps w:val="false"/>
          <w:smallCaps w:val="false"/>
          <w:sz w:val="20"/>
        </w:rPr>
        <w:t xml:space="preserve">Note 5 — </w:t>
      </w:r>
      <w:bookmarkStart w:id="1332" w:name="xdx_829_zNazf5v5uPob"/>
      <w:bookmarkEnd w:id="1332"/>
      <w:r>
        <w:rPr>
          <w:rFonts w:ascii="Times New Roman;Times;Serif" w:hAnsi="Times New Roman;Times;Serif"/>
          <w:b/>
          <w:i w:val="false"/>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333" w:name="xdx_898_eus-gaap--ScheduleOfInventoryCur"/>
      <w:bookmarkEnd w:id="1333"/>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left"/>
        <w:rPr>
          <w:caps w:val="false"/>
          <w:smallCaps w:val="false"/>
        </w:rPr>
      </w:pPr>
      <w:r>
        <w:rPr>
          <w:caps w:val="false"/>
          <w:smallCaps w:val="false"/>
        </w:rPr>
        <w:t> </w:t>
      </w:r>
      <w:bookmarkStart w:id="1334" w:name="xdx_8B0_zU9d3YdXUsxc"/>
      <w:bookmarkEnd w:id="1334"/>
      <w:r>
        <w:rPr>
          <w:rFonts w:ascii="Times New Roman;Times;Serif" w:hAnsi="Times New Roman;Times;Serif"/>
          <w:b w:val="false"/>
          <w:i w:val="false"/>
          <w:caps w:val="false"/>
          <w:smallCaps w:val="false"/>
          <w:sz w:val="20"/>
        </w:rPr>
        <w:t>Schedule of Inventory </w:t>
      </w:r>
    </w:p>
    <w:tbl>
      <w:tblPr>
        <w:tblW w:w="3145" w:type="dxa"/>
        <w:jc w:val="left"/>
        <w:tblInd w:w="0" w:type="dxa"/>
        <w:tblLayout w:type="fixed"/>
        <w:tblCellMar>
          <w:top w:w="0" w:type="dxa"/>
          <w:left w:w="0" w:type="dxa"/>
          <w:bottom w:w="0" w:type="dxa"/>
          <w:right w:w="0" w:type="dxa"/>
        </w:tblCellMar>
      </w:tblPr>
      <w:tblGrid>
        <w:gridCol w:w="1490"/>
        <w:gridCol w:w="60"/>
        <w:gridCol w:w="140"/>
        <w:gridCol w:w="560"/>
        <w:gridCol w:w="60"/>
        <w:gridCol w:w="60"/>
        <w:gridCol w:w="140"/>
        <w:gridCol w:w="560"/>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35" w:name="xdx_497_20250930_znPtYD3YIvjk"/>
            <w:bookmarkEnd w:id="1335"/>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36" w:name="xdx_49C_20240930_z71gLpkbaLm9"/>
            <w:bookmarkEnd w:id="1336"/>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1337" w:name="xdx_407_eus-gaap--InventoryRawMaterials_"/>
            <w:bookmarkEnd w:id="1337"/>
          </w:p>
        </w:tc>
      </w:tr>
      <w:tr>
        <w:trPr/>
        <w:tc>
          <w:tcPr>
            <w:tcW w:w="149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1,550</w:t>
            </w:r>
          </w:p>
        </w:tc>
        <w:tc>
          <w:tcPr>
            <w:tcW w:w="75" w:type="dxa"/>
            <w:tcBorders/>
            <w:shd w:fill="CCEEFF" w:val="clear"/>
            <w:vAlign w:val="center"/>
          </w:tcPr>
          <w:p>
            <w:pPr>
              <w:pStyle w:val="TableContents"/>
              <w:bidi w:val="0"/>
              <w:spacing w:before="0" w:after="283"/>
              <w:jc w:val="left"/>
              <w:rPr/>
            </w:pPr>
            <w:r>
              <w:rPr/>
              <w:t> </w:t>
            </w:r>
            <w:bookmarkStart w:id="1338" w:name="xdx_406_eus-gaap--InventoryFinishedGoods"/>
            <w:bookmarkEnd w:id="1338"/>
          </w:p>
        </w:tc>
      </w:tr>
      <w:tr>
        <w:trPr/>
        <w:tc>
          <w:tcPr>
            <w:tcW w:w="149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175</w:t>
            </w:r>
          </w:p>
        </w:tc>
        <w:tc>
          <w:tcPr>
            <w:tcW w:w="75" w:type="dxa"/>
            <w:tcBorders/>
            <w:shd w:fill="FFFFFF" w:val="clear"/>
            <w:vAlign w:val="center"/>
          </w:tcPr>
          <w:p>
            <w:pPr>
              <w:pStyle w:val="TableContents"/>
              <w:bidi w:val="0"/>
              <w:spacing w:before="0" w:after="283"/>
              <w:jc w:val="left"/>
              <w:rPr/>
            </w:pPr>
            <w:r>
              <w:rPr/>
              <w:t> </w:t>
            </w:r>
            <w:bookmarkStart w:id="1339" w:name="xdx_402_eus-gaap--InventoryNet_iTI_pn3n3"/>
            <w:bookmarkEnd w:id="1339"/>
          </w:p>
        </w:tc>
      </w:tr>
      <w:tr>
        <w:trPr/>
        <w:tc>
          <w:tcPr>
            <w:tcW w:w="1490"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1,725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340" w:name="xdx_8A4_zkXz8hh0xH18"/>
      <w:bookmarkEnd w:id="1340"/>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41" w:name="xdx_80E_eus-gaap--PropertyPlantAndEquipm"/>
      <w:bookmarkEnd w:id="1341"/>
      <w:r>
        <w:rPr>
          <w:rFonts w:ascii="Times New Roman;Times;Serif" w:hAnsi="Times New Roman;Times;Serif"/>
          <w:b/>
          <w:i w:val="false"/>
          <w:caps w:val="false"/>
          <w:smallCaps w:val="false"/>
          <w:sz w:val="20"/>
        </w:rPr>
        <w:t xml:space="preserve">Note 6 — </w:t>
      </w:r>
      <w:bookmarkStart w:id="1342" w:name="xdx_82C_zDMVtrhlALu8"/>
      <w:bookmarkEnd w:id="1342"/>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343" w:name="xdx_893_eus-gaap--PropertyPlantAndEquipm"/>
      <w:bookmarkEnd w:id="1343"/>
      <w:r>
        <w:rPr>
          <w:rFonts w:ascii="Times New Roman;Times;Serif" w:hAnsi="Times New Roman;Times;Serif"/>
          <w:b w:val="false"/>
          <w:i w:val="false"/>
          <w:caps w:val="false"/>
          <w:smallCaps w:val="false"/>
          <w:sz w:val="20"/>
        </w:rPr>
        <w:t>Property and equipment, net consists of the following:</w:t>
      </w:r>
    </w:p>
    <w:p>
      <w:pPr>
        <w:pStyle w:val="TextBody"/>
        <w:bidi w:val="0"/>
        <w:spacing w:before="0" w:after="0"/>
        <w:ind w:left="0" w:right="0" w:hanging="0"/>
        <w:jc w:val="left"/>
        <w:rPr>
          <w:caps w:val="false"/>
          <w:smallCaps w:val="false"/>
        </w:rPr>
      </w:pPr>
      <w:r>
        <w:rPr>
          <w:caps w:val="false"/>
          <w:smallCaps w:val="false"/>
        </w:rPr>
        <w:t> </w:t>
      </w:r>
      <w:bookmarkStart w:id="1344" w:name="xdx_8BE_zxFwEiETRYNc"/>
      <w:bookmarkEnd w:id="1344"/>
      <w:r>
        <w:rPr>
          <w:rFonts w:ascii="Times New Roman;Times;Serif" w:hAnsi="Times New Roman;Times;Serif"/>
          <w:b w:val="false"/>
          <w:i w:val="false"/>
          <w:caps w:val="false"/>
          <w:smallCaps w:val="false"/>
          <w:sz w:val="20"/>
        </w:rPr>
        <w:t>Schedule of Property and Equipment, Net </w:t>
      </w:r>
    </w:p>
    <w:tbl>
      <w:tblPr>
        <w:tblW w:w="10090" w:type="dxa"/>
        <w:jc w:val="left"/>
        <w:tblInd w:w="0" w:type="dxa"/>
        <w:tblLayout w:type="fixed"/>
        <w:tblCellMar>
          <w:top w:w="0" w:type="dxa"/>
          <w:left w:w="0" w:type="dxa"/>
          <w:bottom w:w="0" w:type="dxa"/>
          <w:right w:w="0" w:type="dxa"/>
        </w:tblCellMar>
      </w:tblPr>
      <w:tblGrid>
        <w:gridCol w:w="3065"/>
        <w:gridCol w:w="60"/>
        <w:gridCol w:w="5165"/>
        <w:gridCol w:w="60"/>
        <w:gridCol w:w="140"/>
        <w:gridCol w:w="560"/>
        <w:gridCol w:w="95"/>
        <w:gridCol w:w="60"/>
        <w:gridCol w:w="140"/>
        <w:gridCol w:w="635"/>
        <w:gridCol w:w="11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45" w:name="xdx_49B_20250930_zOSSYOitMAFk"/>
            <w:bookmarkEnd w:id="1345"/>
          </w:p>
        </w:tc>
        <w:tc>
          <w:tcPr>
            <w:tcW w:w="7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46" w:name="xdx_49A_20240930_zi5K9vgTZZz1"/>
            <w:bookmarkEnd w:id="1346"/>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center"/>
              <w:rPr>
                <w:b/>
              </w:rPr>
            </w:pPr>
            <w:r>
              <w:rPr>
                <w:b/>
              </w:rPr>
              <w:t>Estimated Useful Life</w:t>
            </w:r>
          </w:p>
        </w:tc>
        <w:tc>
          <w:tcPr>
            <w:tcW w:w="60" w:type="dxa"/>
            <w:tcBorders/>
            <w:vAlign w:val="center"/>
          </w:tcPr>
          <w:p>
            <w:pPr>
              <w:pStyle w:val="TableContents"/>
              <w:bidi w:val="0"/>
              <w:spacing w:before="0" w:after="283"/>
              <w:jc w:val="left"/>
              <w:rPr/>
            </w:pPr>
            <w:r>
              <w:rPr/>
              <w:t> </w:t>
            </w:r>
          </w:p>
        </w:tc>
        <w:tc>
          <w:tcPr>
            <w:tcW w:w="16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bottom w:val="single" w:sz="8" w:space="0" w:color="000000"/>
            </w:tcBorders>
            <w:tcMar>
              <w:bottom w:w="28" w:type="dxa"/>
            </w:tcMar>
            <w:vAlign w:val="center"/>
          </w:tcPr>
          <w:p>
            <w:pPr>
              <w:pStyle w:val="TableContents"/>
              <w:bidi w:val="0"/>
              <w:spacing w:before="0" w:after="283"/>
              <w:jc w:val="center"/>
              <w:rPr>
                <w:b/>
              </w:rPr>
            </w:pPr>
            <w:r>
              <w:rPr>
                <w:b/>
              </w:rPr>
              <w:t>(years)</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347" w:name="xdx_40F_eus-gaap--PropertyPlantAndEquipm"/>
            <w:bookmarkEnd w:id="1347"/>
          </w:p>
        </w:tc>
      </w:tr>
      <w:tr>
        <w:trPr/>
        <w:tc>
          <w:tcPr>
            <w:tcW w:w="3065" w:type="dxa"/>
            <w:tcBorders/>
            <w:shd w:fill="CCEEFF" w:val="clear"/>
            <w:vAlign w:val="center"/>
          </w:tcPr>
          <w:p>
            <w:pPr>
              <w:pStyle w:val="TableContents"/>
              <w:bidi w:val="0"/>
              <w:spacing w:before="0" w:after="283"/>
              <w:jc w:val="left"/>
              <w:rPr/>
            </w:pPr>
            <w:r>
              <w:rPr/>
              <w:t>Equipment and furniture</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283"/>
              <w:jc w:val="center"/>
              <w:rPr/>
            </w:pPr>
            <w:bookmarkStart w:id="1348" w:name="xdx_903_eus-gaap--PropertyPlantAndEquipm"/>
            <w:bookmarkEnd w:id="1348"/>
            <w:r>
              <w:rPr/>
              <w:t xml:space="preserve">5 - </w:t>
            </w:r>
            <w:bookmarkStart w:id="1349" w:name="xdx_909_eus-gaap--PropertyPlantAndEquipm"/>
            <w:bookmarkEnd w:id="1349"/>
            <w:r>
              <w:rPr/>
              <w:t>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948</w:t>
            </w:r>
          </w:p>
        </w:tc>
        <w:tc>
          <w:tcPr>
            <w:tcW w:w="110" w:type="dxa"/>
            <w:tcBorders/>
            <w:shd w:fill="CCEEFF" w:val="clear"/>
            <w:vAlign w:val="center"/>
          </w:tcPr>
          <w:p>
            <w:pPr>
              <w:pStyle w:val="TableContents"/>
              <w:bidi w:val="0"/>
              <w:spacing w:before="0" w:after="283"/>
              <w:jc w:val="left"/>
              <w:rPr/>
            </w:pPr>
            <w:r>
              <w:rPr/>
              <w:t> </w:t>
            </w:r>
            <w:bookmarkStart w:id="1350" w:name="xdx_40C_eus-gaap--PropertyPlantAndEquipm"/>
            <w:bookmarkEnd w:id="1350"/>
          </w:p>
        </w:tc>
      </w:tr>
      <w:tr>
        <w:trPr/>
        <w:tc>
          <w:tcPr>
            <w:tcW w:w="3065" w:type="dxa"/>
            <w:tcBorders/>
            <w:shd w:fill="FFFFFF" w:val="clear"/>
            <w:vAlign w:val="center"/>
          </w:tcPr>
          <w:p>
            <w:pPr>
              <w:pStyle w:val="TableContents"/>
              <w:bidi w:val="0"/>
              <w:spacing w:before="0" w:after="283"/>
              <w:jc w:val="left"/>
              <w:rPr/>
            </w:pPr>
            <w:r>
              <w:rPr/>
              <w:t>Laboratory equipment</w:t>
            </w:r>
          </w:p>
        </w:tc>
        <w:tc>
          <w:tcPr>
            <w:tcW w:w="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283"/>
              <w:jc w:val="center"/>
              <w:rPr/>
            </w:pPr>
            <w:bookmarkStart w:id="1351" w:name="xdx_90E_eus-gaap--PropertyPlantAndEquipm"/>
            <w:bookmarkEnd w:id="1351"/>
            <w:r>
              <w:rPr/>
              <w:t>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687</w:t>
            </w:r>
          </w:p>
        </w:tc>
        <w:tc>
          <w:tcPr>
            <w:tcW w:w="110" w:type="dxa"/>
            <w:tcBorders/>
            <w:shd w:fill="FFFFFF" w:val="clear"/>
            <w:vAlign w:val="center"/>
          </w:tcPr>
          <w:p>
            <w:pPr>
              <w:pStyle w:val="TableContents"/>
              <w:bidi w:val="0"/>
              <w:spacing w:before="0" w:after="283"/>
              <w:jc w:val="left"/>
              <w:rPr/>
            </w:pPr>
            <w:r>
              <w:rPr/>
              <w:t> </w:t>
            </w:r>
            <w:bookmarkStart w:id="1352" w:name="xdx_40A_eus-gaap--PropertyPlantAndEquipm"/>
            <w:bookmarkEnd w:id="1352"/>
          </w:p>
        </w:tc>
      </w:tr>
      <w:tr>
        <w:trPr/>
        <w:tc>
          <w:tcPr>
            <w:tcW w:w="306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283"/>
              <w:jc w:val="center"/>
              <w:rPr/>
            </w:pPr>
            <w:bookmarkStart w:id="1353" w:name="xdx_90E_eus-gaap--PropertyPlantAndEquipm"/>
            <w:bookmarkEnd w:id="1353"/>
            <w:r>
              <w:rPr/>
              <w:t>Shorter of estimated useful life or remaining lease term</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891</w:t>
            </w:r>
          </w:p>
        </w:tc>
        <w:tc>
          <w:tcPr>
            <w:tcW w:w="110" w:type="dxa"/>
            <w:tcBorders/>
            <w:shd w:fill="CCEEFF" w:val="clear"/>
            <w:vAlign w:val="center"/>
          </w:tcPr>
          <w:p>
            <w:pPr>
              <w:pStyle w:val="TableContents"/>
              <w:bidi w:val="0"/>
              <w:spacing w:before="0" w:after="283"/>
              <w:jc w:val="left"/>
              <w:rPr/>
            </w:pPr>
            <w:r>
              <w:rPr/>
              <w:t> </w:t>
            </w:r>
            <w:bookmarkStart w:id="1354" w:name="xdx_409_eus-gaap--PropertyPlantAndEquipm"/>
            <w:bookmarkEnd w:id="1354"/>
          </w:p>
        </w:tc>
      </w:tr>
      <w:tr>
        <w:trPr/>
        <w:tc>
          <w:tcPr>
            <w:tcW w:w="3065" w:type="dxa"/>
            <w:tcBorders/>
            <w:shd w:fill="FFFFFF" w:val="clear"/>
            <w:vAlign w:val="center"/>
          </w:tcPr>
          <w:p>
            <w:pPr>
              <w:pStyle w:val="TableContents"/>
              <w:bidi w:val="0"/>
              <w:spacing w:before="0" w:after="283"/>
              <w:jc w:val="left"/>
              <w:rPr/>
            </w:pPr>
            <w:r>
              <w:rPr/>
              <w:t>Property and equipment, gross</w:t>
            </w:r>
          </w:p>
        </w:tc>
        <w:tc>
          <w:tcPr>
            <w:tcW w:w="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2,526</w:t>
            </w:r>
          </w:p>
        </w:tc>
        <w:tc>
          <w:tcPr>
            <w:tcW w:w="110" w:type="dxa"/>
            <w:tcBorders/>
            <w:shd w:fill="FFFFFF" w:val="clear"/>
            <w:vAlign w:val="center"/>
          </w:tcPr>
          <w:p>
            <w:pPr>
              <w:pStyle w:val="TableContents"/>
              <w:bidi w:val="0"/>
              <w:spacing w:before="0" w:after="283"/>
              <w:jc w:val="left"/>
              <w:rPr/>
            </w:pPr>
            <w:r>
              <w:rPr/>
              <w:t> </w:t>
            </w:r>
            <w:bookmarkStart w:id="1355" w:name="xdx_40F_eus-gaap--AccumulatedDepreciatio"/>
            <w:bookmarkEnd w:id="1355"/>
          </w:p>
        </w:tc>
      </w:tr>
      <w:tr>
        <w:trPr/>
        <w:tc>
          <w:tcPr>
            <w:tcW w:w="306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(794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(1,349</w:t>
            </w:r>
          </w:p>
        </w:tc>
        <w:tc>
          <w:tcPr>
            <w:tcW w:w="110" w:type="dxa"/>
            <w:tcBorders/>
            <w:shd w:fill="CCEEFF" w:val="clear"/>
            <w:vAlign w:val="center"/>
          </w:tcPr>
          <w:p>
            <w:pPr>
              <w:pStyle w:val="TableContents"/>
              <w:bidi w:val="0"/>
              <w:spacing w:before="0" w:after="283"/>
              <w:jc w:val="left"/>
              <w:rPr/>
            </w:pPr>
            <w:r>
              <w:rPr/>
              <w:t>)</w:t>
            </w:r>
            <w:bookmarkStart w:id="1356" w:name="xdx_40A_eus-gaap--PropertyPlantAndEquipm"/>
            <w:bookmarkEnd w:id="1356"/>
          </w:p>
        </w:tc>
      </w:tr>
      <w:tr>
        <w:trPr/>
        <w:tc>
          <w:tcPr>
            <w:tcW w:w="306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1,177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357" w:name="xdx_8A4_zYn9PoLSGyYk"/>
      <w:bookmarkEnd w:id="135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years ended September 30, 2025 and 2024 was $</w:t>
      </w:r>
      <w:bookmarkStart w:id="1358" w:name="xdx_90B_eus-gaap--Depreciation_pn3n3_c20"/>
      <w:bookmarkEnd w:id="1358"/>
      <w:r>
        <w:rPr>
          <w:rFonts w:ascii="Times New Roman;Times;Serif" w:hAnsi="Times New Roman;Times;Serif"/>
          <w:b w:val="false"/>
          <w:i w:val="false"/>
          <w:caps w:val="false"/>
          <w:smallCaps w:val="false"/>
          <w:sz w:val="20"/>
        </w:rPr>
        <w:t>366 and $</w:t>
      </w:r>
      <w:bookmarkStart w:id="1359" w:name="xdx_90E_eus-gaap--Depreciation_pn3n3_c20"/>
      <w:bookmarkEnd w:id="1359"/>
      <w:r>
        <w:rPr>
          <w:rFonts w:ascii="Times New Roman;Times;Serif" w:hAnsi="Times New Roman;Times;Serif"/>
          <w:b w:val="false"/>
          <w:i w:val="false"/>
          <w:caps w:val="false"/>
          <w:smallCaps w:val="false"/>
          <w:sz w:val="20"/>
        </w:rPr>
        <w:t>472,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recognized losses of $</w:t>
      </w:r>
      <w:bookmarkStart w:id="1360" w:name="xdx_90A_eus-gaap--GainLossOnSaleOfProper"/>
      <w:bookmarkEnd w:id="1360"/>
      <w:r>
        <w:rPr>
          <w:rFonts w:ascii="Times New Roman;Times;Serif" w:hAnsi="Times New Roman;Times;Serif"/>
          <w:b w:val="false"/>
          <w:i w:val="false"/>
          <w:caps w:val="false"/>
          <w:smallCaps w:val="false"/>
          <w:sz w:val="20"/>
        </w:rPr>
        <w:t>472 on the disposal of certain assets, principally consisting of equipment and furniture and leasehold improvements, at a leased office the Company vacated. Such losses are principally included in selling, general and administrative expenses in the consolidated statements of operations and comprehensive loss. During the year ended September 30, 2024, the Company wrote off certain tooling having a carrying value of $</w:t>
      </w:r>
      <w:bookmarkStart w:id="1361" w:name="xdx_90B_eus-gaap--GainLossOnSaleOfProper"/>
      <w:bookmarkEnd w:id="1361"/>
      <w:r>
        <w:rPr>
          <w:rFonts w:ascii="Times New Roman;Times;Serif" w:hAnsi="Times New Roman;Times;Serif"/>
          <w:b w:val="false"/>
          <w:i w:val="false"/>
          <w:caps w:val="false"/>
          <w:smallCaps w:val="false"/>
          <w:sz w:val="20"/>
        </w:rPr>
        <w:t>584 which management determined it would not use in production. The charge is included in “Research and development”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62" w:name="xdx_80E_eus-gaap--IntangibleAssetsDisclo"/>
      <w:bookmarkEnd w:id="1362"/>
      <w:r>
        <w:rPr>
          <w:rFonts w:ascii="Times New Roman;Times;Serif" w:hAnsi="Times New Roman;Times;Serif"/>
          <w:b/>
          <w:i w:val="false"/>
          <w:caps w:val="false"/>
          <w:smallCaps w:val="false"/>
          <w:sz w:val="20"/>
        </w:rPr>
        <w:t xml:space="preserve">Note 7 — </w:t>
      </w:r>
      <w:bookmarkStart w:id="1363" w:name="xdx_827_zpW8jzlMZuxd"/>
      <w:bookmarkEnd w:id="1363"/>
      <w:r>
        <w:rPr>
          <w:rFonts w:ascii="Times New Roman;Times;Serif" w:hAnsi="Times New Roman;Times;Serif"/>
          <w:b/>
          <w:i w:val="false"/>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364" w:name="xdx_896_eus-gaap--ScheduleOfFiniteLivedI"/>
      <w:bookmarkEnd w:id="1364"/>
      <w:r>
        <w:rPr>
          <w:rFonts w:ascii="Times New Roman;Times;Serif" w:hAnsi="Times New Roman;Times;Serif"/>
          <w:b w:val="false"/>
          <w:i w:val="false"/>
          <w:caps w:val="false"/>
          <w:smallCaps w:val="false"/>
          <w:sz w:val="20"/>
        </w:rPr>
        <w:t>Intangible assets, net consist of the following:</w:t>
      </w:r>
    </w:p>
    <w:p>
      <w:pPr>
        <w:pStyle w:val="TextBody"/>
        <w:bidi w:val="0"/>
        <w:spacing w:before="0" w:after="0"/>
        <w:ind w:left="0" w:right="0" w:hanging="0"/>
        <w:jc w:val="left"/>
        <w:rPr>
          <w:caps w:val="false"/>
          <w:smallCaps w:val="false"/>
        </w:rPr>
      </w:pPr>
      <w:r>
        <w:rPr>
          <w:caps w:val="false"/>
          <w:smallCaps w:val="false"/>
        </w:rPr>
        <w:t> </w:t>
      </w:r>
      <w:bookmarkStart w:id="1365" w:name="xdx_8BE_zaafuSYHKgDd"/>
      <w:bookmarkEnd w:id="1365"/>
      <w:r>
        <w:rPr>
          <w:rFonts w:ascii="Times New Roman;Times;Serif" w:hAnsi="Times New Roman;Times;Serif"/>
          <w:b w:val="false"/>
          <w:i w:val="false"/>
          <w:caps w:val="false"/>
          <w:smallCaps w:val="false"/>
          <w:sz w:val="20"/>
        </w:rPr>
        <w:t>Schedule of Intangible Assets, Net </w:t>
      </w:r>
    </w:p>
    <w:tbl>
      <w:tblPr>
        <w:tblW w:w="9760" w:type="dxa"/>
        <w:jc w:val="left"/>
        <w:tblInd w:w="0" w:type="dxa"/>
        <w:tblLayout w:type="fixed"/>
        <w:tblCellMar>
          <w:top w:w="0" w:type="dxa"/>
          <w:left w:w="0" w:type="dxa"/>
          <w:bottom w:w="0" w:type="dxa"/>
          <w:right w:w="0" w:type="dxa"/>
        </w:tblCellMar>
      </w:tblPr>
      <w:tblGrid>
        <w:gridCol w:w="2195"/>
        <w:gridCol w:w="60"/>
        <w:gridCol w:w="128"/>
        <w:gridCol w:w="912"/>
        <w:gridCol w:w="60"/>
        <w:gridCol w:w="60"/>
        <w:gridCol w:w="140"/>
        <w:gridCol w:w="680"/>
        <w:gridCol w:w="60"/>
        <w:gridCol w:w="60"/>
        <w:gridCol w:w="209"/>
        <w:gridCol w:w="951"/>
        <w:gridCol w:w="95"/>
        <w:gridCol w:w="60"/>
        <w:gridCol w:w="140"/>
        <w:gridCol w:w="680"/>
        <w:gridCol w:w="60"/>
        <w:gridCol w:w="60"/>
        <w:gridCol w:w="140"/>
        <w:gridCol w:w="680"/>
        <w:gridCol w:w="60"/>
        <w:gridCol w:w="60"/>
        <w:gridCol w:w="209"/>
        <w:gridCol w:w="951"/>
        <w:gridCol w:w="95"/>
        <w:gridCol w:w="60"/>
        <w:gridCol w:w="140"/>
        <w:gridCol w:w="680"/>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Estimated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September 30, 2024</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sz w:val="20"/>
              </w:rPr>
            </w:pPr>
            <w:bookmarkStart w:id="1366" w:name="xdx_900_eus-gaap--FiniteLivedIntangibleA"/>
            <w:bookmarkEnd w:id="1366"/>
            <w:r>
              <w:rPr>
                <w:rFonts w:ascii="Times New Roman;Times;Serif" w:hAnsi="Times New Roman;Times;Serif"/>
                <w:sz w:val="20"/>
              </w:rPr>
              <w:t xml:space="preserve">7 – </w:t>
            </w:r>
            <w:bookmarkStart w:id="1367" w:name="xdx_902_eus-gaap--FiniteLivedIntangibleA"/>
            <w:bookmarkEnd w:id="1367"/>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368" w:name="xdx_982_eus-gaap--FiniteLivedIntangibleA"/>
            <w:bookmarkEnd w:id="1368"/>
          </w:p>
        </w:tc>
        <w:tc>
          <w:tcPr>
            <w:tcW w:w="680" w:type="dxa"/>
            <w:tcBorders/>
            <w:shd w:fill="CCEEFF" w:val="clear"/>
            <w:vAlign w:val="center"/>
          </w:tcPr>
          <w:p>
            <w:pPr>
              <w:pStyle w:val="TableContents"/>
              <w:bidi w:val="0"/>
              <w:spacing w:before="0" w:after="283"/>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bookmarkStart w:id="1369" w:name="xdx_98E_eus-gaap--FiniteLivedIntangibleA"/>
            <w:bookmarkEnd w:id="1369"/>
          </w:p>
        </w:tc>
        <w:tc>
          <w:tcPr>
            <w:tcW w:w="951" w:type="dxa"/>
            <w:tcBorders/>
            <w:shd w:fill="CCEEFF" w:val="clear"/>
            <w:vAlign w:val="center"/>
          </w:tcPr>
          <w:p>
            <w:pPr>
              <w:pStyle w:val="TableContents"/>
              <w:bidi w:val="0"/>
              <w:spacing w:before="0" w:after="283"/>
              <w:jc w:val="right"/>
              <w:rPr/>
            </w:pPr>
            <w:r>
              <w:rPr/>
              <w:t>(2,798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370" w:name="xdx_989_eus-gaap--FiniteLivedIntangibleA"/>
            <w:bookmarkEnd w:id="1370"/>
          </w:p>
        </w:tc>
        <w:tc>
          <w:tcPr>
            <w:tcW w:w="680" w:type="dxa"/>
            <w:tcBorders/>
            <w:shd w:fill="CCEEFF" w:val="clear"/>
            <w:vAlign w:val="center"/>
          </w:tcPr>
          <w:p>
            <w:pPr>
              <w:pStyle w:val="TableContents"/>
              <w:bidi w:val="0"/>
              <w:spacing w:before="0" w:after="283"/>
              <w:jc w:val="right"/>
              <w:rPr/>
            </w:pPr>
            <w:r>
              <w:rPr/>
              <w:t>2,891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371" w:name="xdx_988_eus-gaap--FiniteLivedIntangibleA"/>
            <w:bookmarkEnd w:id="1371"/>
          </w:p>
        </w:tc>
        <w:tc>
          <w:tcPr>
            <w:tcW w:w="680" w:type="dxa"/>
            <w:tcBorders/>
            <w:shd w:fill="CCEEFF" w:val="clear"/>
            <w:vAlign w:val="center"/>
          </w:tcPr>
          <w:p>
            <w:pPr>
              <w:pStyle w:val="TableContents"/>
              <w:bidi w:val="0"/>
              <w:spacing w:before="0" w:after="283"/>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bookmarkStart w:id="1372" w:name="xdx_980_eus-gaap--FiniteLivedIntangibleA"/>
            <w:bookmarkEnd w:id="1372"/>
          </w:p>
        </w:tc>
        <w:tc>
          <w:tcPr>
            <w:tcW w:w="951" w:type="dxa"/>
            <w:tcBorders/>
            <w:shd w:fill="CCEEFF" w:val="clear"/>
            <w:vAlign w:val="center"/>
          </w:tcPr>
          <w:p>
            <w:pPr>
              <w:pStyle w:val="TableContents"/>
              <w:bidi w:val="0"/>
              <w:spacing w:before="0" w:after="283"/>
              <w:jc w:val="right"/>
              <w:rPr/>
            </w:pPr>
            <w:r>
              <w:rPr/>
              <w:t>(2,216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373" w:name="xdx_98C_eus-gaap--FiniteLivedIntangibleA"/>
            <w:bookmarkEnd w:id="1373"/>
          </w:p>
        </w:tc>
        <w:tc>
          <w:tcPr>
            <w:tcW w:w="680" w:type="dxa"/>
            <w:tcBorders/>
            <w:shd w:fill="CCEEFF" w:val="clear"/>
            <w:vAlign w:val="center"/>
          </w:tcPr>
          <w:p>
            <w:pPr>
              <w:pStyle w:val="TableContents"/>
              <w:bidi w:val="0"/>
              <w:spacing w:before="0" w:after="283"/>
              <w:jc w:val="right"/>
              <w:rPr/>
            </w:pPr>
            <w:r>
              <w:rPr/>
              <w:t>3,473</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center"/>
              <w:rPr>
                <w:rFonts w:ascii="Times New Roman;Times;Serif" w:hAnsi="Times New Roman;Times;Serif"/>
                <w:sz w:val="20"/>
              </w:rPr>
            </w:pPr>
            <w:bookmarkStart w:id="1374" w:name="xdx_901_eus-gaap--FiniteLivedIntangibleA"/>
            <w:bookmarkEnd w:id="1374"/>
            <w:r>
              <w:rPr>
                <w:rFonts w:ascii="Times New Roman;Times;Serif" w:hAnsi="Times New Roman;Times;Serif"/>
                <w:sz w:val="20"/>
              </w:rPr>
              <w:t xml:space="preserve">12 – </w:t>
            </w:r>
            <w:bookmarkStart w:id="1375" w:name="xdx_906_eus-gaap--FiniteLivedIntangibleA"/>
            <w:bookmarkEnd w:id="1375"/>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376" w:name="xdx_989_eus-gaap--FiniteLivedIntangibleA"/>
            <w:bookmarkEnd w:id="1376"/>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bookmarkStart w:id="1377" w:name="xdx_98A_eus-gaap--FiniteLivedIntangibleA"/>
            <w:bookmarkEnd w:id="1377"/>
          </w:p>
        </w:tc>
        <w:tc>
          <w:tcPr>
            <w:tcW w:w="951" w:type="dxa"/>
            <w:tcBorders/>
            <w:shd w:fill="FFFFFF" w:val="clear"/>
            <w:vAlign w:val="center"/>
          </w:tcPr>
          <w:p>
            <w:pPr>
              <w:pStyle w:val="TableContents"/>
              <w:bidi w:val="0"/>
              <w:spacing w:before="0" w:after="283"/>
              <w:jc w:val="right"/>
              <w:rPr/>
            </w:pPr>
            <w:r>
              <w:rPr/>
              <w:t>(1,374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378" w:name="xdx_988_eus-gaap--FiniteLivedIntangibleA"/>
            <w:bookmarkEnd w:id="1378"/>
          </w:p>
        </w:tc>
        <w:tc>
          <w:tcPr>
            <w:tcW w:w="680" w:type="dxa"/>
            <w:tcBorders/>
            <w:shd w:fill="FFFFFF" w:val="clear"/>
            <w:vAlign w:val="center"/>
          </w:tcPr>
          <w:p>
            <w:pPr>
              <w:pStyle w:val="TableContents"/>
              <w:bidi w:val="0"/>
              <w:spacing w:before="0" w:after="283"/>
              <w:jc w:val="right"/>
              <w:rPr/>
            </w:pPr>
            <w:r>
              <w:rPr/>
              <w:t>10,526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379" w:name="xdx_983_eus-gaap--FiniteLivedIntangibleA"/>
            <w:bookmarkEnd w:id="1379"/>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bookmarkStart w:id="1380" w:name="xdx_989_eus-gaap--FiniteLivedIntangibleA"/>
            <w:bookmarkEnd w:id="1380"/>
          </w:p>
        </w:tc>
        <w:tc>
          <w:tcPr>
            <w:tcW w:w="951" w:type="dxa"/>
            <w:tcBorders/>
            <w:shd w:fill="FFFFFF" w:val="clear"/>
            <w:vAlign w:val="center"/>
          </w:tcPr>
          <w:p>
            <w:pPr>
              <w:pStyle w:val="TableContents"/>
              <w:bidi w:val="0"/>
              <w:spacing w:before="0" w:after="283"/>
              <w:jc w:val="right"/>
              <w:rPr/>
            </w:pPr>
            <w:r>
              <w:rPr/>
              <w:t>(458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381" w:name="xdx_986_eus-gaap--FiniteLivedIntangibleA"/>
            <w:bookmarkEnd w:id="1381"/>
          </w:p>
        </w:tc>
        <w:tc>
          <w:tcPr>
            <w:tcW w:w="680" w:type="dxa"/>
            <w:tcBorders/>
            <w:shd w:fill="FFFFFF" w:val="clear"/>
            <w:vAlign w:val="center"/>
          </w:tcPr>
          <w:p>
            <w:pPr>
              <w:pStyle w:val="TableContents"/>
              <w:bidi w:val="0"/>
              <w:spacing w:before="0" w:after="283"/>
              <w:jc w:val="right"/>
              <w:rPr/>
            </w:pPr>
            <w:r>
              <w:rPr/>
              <w:t>11,442</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Trade names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sz w:val="20"/>
              </w:rPr>
            </w:pPr>
            <w:bookmarkStart w:id="1382" w:name="xdx_909_eus-gaap--FiniteLivedIntangibleA"/>
            <w:bookmarkEnd w:id="1382"/>
            <w:r>
              <w:rPr>
                <w:rFonts w:ascii="Times New Roman;Times;Serif" w:hAnsi="Times New Roman;Times;Serif"/>
                <w:sz w:val="20"/>
              </w:rPr>
              <w:t xml:space="preserve">2 – </w:t>
            </w:r>
            <w:bookmarkStart w:id="1383" w:name="xdx_908_eus-gaap--FiniteLivedIntangibleA"/>
            <w:bookmarkEnd w:id="1383"/>
            <w:r>
              <w:rPr>
                <w:rFonts w:ascii="Times New Roman;Times;Serif" w:hAnsi="Times New Roman;Times;Serif"/>
                <w:sz w:val="20"/>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384" w:name="xdx_98D_eus-gaap--FiniteLivedIntangibleA"/>
            <w:bookmarkEnd w:id="1384"/>
          </w:p>
        </w:tc>
        <w:tc>
          <w:tcPr>
            <w:tcW w:w="680"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bookmarkStart w:id="1385" w:name="xdx_983_eus-gaap--FiniteLivedIntangibleA"/>
            <w:bookmarkEnd w:id="1385"/>
          </w:p>
        </w:tc>
        <w:tc>
          <w:tcPr>
            <w:tcW w:w="951" w:type="dxa"/>
            <w:tcBorders/>
            <w:shd w:fill="CCEEFF" w:val="cle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386" w:name="xdx_98B_eus-gaap--FiniteLivedIntangibleA"/>
            <w:bookmarkEnd w:id="1386"/>
          </w:p>
        </w:tc>
        <w:tc>
          <w:tcPr>
            <w:tcW w:w="680" w:type="dxa"/>
            <w:tcBorders/>
            <w:shd w:fill="CCEEFF" w:val="clear"/>
            <w:vAlign w:val="center"/>
          </w:tcPr>
          <w:p>
            <w:pPr>
              <w:pStyle w:val="TableContents"/>
              <w:bidi w:val="0"/>
              <w:spacing w:before="0" w:after="283"/>
              <w:jc w:val="right"/>
              <w:rPr/>
            </w:pPr>
            <w:r>
              <w:rPr/>
              <w:t>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387" w:name="xdx_985_eus-gaap--FiniteLivedIntangibleA"/>
            <w:bookmarkEnd w:id="1387"/>
          </w:p>
        </w:tc>
        <w:tc>
          <w:tcPr>
            <w:tcW w:w="680"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bookmarkStart w:id="1388" w:name="xdx_986_eus-gaap--FiniteLivedIntangibleA"/>
            <w:bookmarkEnd w:id="1388"/>
          </w:p>
        </w:tc>
        <w:tc>
          <w:tcPr>
            <w:tcW w:w="951" w:type="dxa"/>
            <w:tcBorders/>
            <w:shd w:fill="CCEEFF" w:val="cle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389" w:name="xdx_986_eus-gaap--FiniteLivedIntangibleA"/>
            <w:bookmarkEnd w:id="1389"/>
          </w:p>
        </w:tc>
        <w:tc>
          <w:tcPr>
            <w:tcW w:w="680" w:type="dxa"/>
            <w:tcBorders/>
            <w:shd w:fill="CCEEFF" w:val="clear"/>
            <w:vAlign w:val="center"/>
          </w:tcPr>
          <w:p>
            <w:pPr>
              <w:pStyle w:val="TableContents"/>
              <w:bidi w:val="0"/>
              <w:spacing w:before="0" w:after="283"/>
              <w:jc w:val="right"/>
              <w:rPr/>
            </w:pPr>
            <w:r>
              <w:rPr/>
              <w:t>232</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Backlog</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center"/>
              <w:rPr/>
            </w:pPr>
            <w:bookmarkStart w:id="1390" w:name="xdx_900_eus-gaap--FiniteLivedIntangibleA"/>
            <w:bookmarkEnd w:id="1390"/>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91" w:name="xdx_983_eus-gaap--FiniteLivedIntangibleA"/>
            <w:bookmarkEnd w:id="1391"/>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92" w:name="xdx_98B_eus-gaap--FiniteLivedIntangibleA"/>
            <w:bookmarkEnd w:id="1392"/>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93" w:name="xdx_989_eus-gaap--FiniteLivedIntangibleA"/>
            <w:bookmarkEnd w:id="1393"/>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94" w:name="xdx_981_eus-gaap--FiniteLivedIntangibleA"/>
            <w:bookmarkEnd w:id="1394"/>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95" w:name="xdx_98A_eus-gaap--FiniteLivedIntangibleA"/>
            <w:bookmarkEnd w:id="1395"/>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pPr>
            <w:r>
              <w:rPr/>
              <w:t>(236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96" w:name="xdx_981_eus-gaap--FiniteLivedIntangibleA"/>
            <w:bookmarkEnd w:id="1396"/>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64</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397" w:name="xdx_982_eus-gaap--FiniteLivedIntangibleA"/>
            <w:bookmarkEnd w:id="1397"/>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17,889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398" w:name="xdx_989_eus-gaap--FiniteLivedIntangibleA"/>
            <w:bookmarkEnd w:id="1398"/>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(4,370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399" w:name="xdx_98D_eus-gaap--FiniteLivedIntangibleA"/>
            <w:bookmarkEnd w:id="1399"/>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13,519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400" w:name="xdx_981_eus-gaap--FiniteLivedIntangibleA"/>
            <w:bookmarkEnd w:id="1400"/>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18,189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401" w:name="xdx_982_eus-gaap--FiniteLivedIntangibleA"/>
            <w:bookmarkEnd w:id="1401"/>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(2,978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402" w:name="xdx_989_eus-gaap--FiniteLivedIntangibleA"/>
            <w:bookmarkEnd w:id="1402"/>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15,211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403" w:name="xdx_8A0_zl6Hl6nflkE5"/>
      <w:bookmarkEnd w:id="140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amortization expense related to intangible assets of $</w:t>
      </w:r>
      <w:bookmarkStart w:id="1404" w:name="xdx_909_eus-gaap--AmortizationOfIntangib"/>
      <w:bookmarkEnd w:id="1404"/>
      <w:r>
        <w:rPr>
          <w:rFonts w:ascii="Times New Roman;Times;Serif" w:hAnsi="Times New Roman;Times;Serif"/>
          <w:b w:val="false"/>
          <w:i w:val="false"/>
          <w:caps w:val="false"/>
          <w:smallCaps w:val="false"/>
          <w:sz w:val="20"/>
        </w:rPr>
        <w:t>1,692 and $</w:t>
      </w:r>
      <w:bookmarkStart w:id="1405" w:name="xdx_909_eus-gaap--AmortizationOfIntangib"/>
      <w:bookmarkEnd w:id="1405"/>
      <w:r>
        <w:rPr>
          <w:rFonts w:ascii="Times New Roman;Times;Serif" w:hAnsi="Times New Roman;Times;Serif"/>
          <w:b w:val="false"/>
          <w:i w:val="false"/>
          <w:caps w:val="false"/>
          <w:smallCaps w:val="false"/>
          <w:sz w:val="20"/>
        </w:rPr>
        <w:t xml:space="preserve">1,543 during the years ended September 30, 2025 and 2024, respectively. The weighted-average remaining lives of intangible assets as of September 30, 2025 were developed technology </w:t>
      </w:r>
      <w:bookmarkStart w:id="1406" w:name="xdx_904_eus-gaap--AcquiredFiniteLivedInt"/>
      <w:bookmarkEnd w:id="1406"/>
      <w:r>
        <w:rPr>
          <w:rFonts w:ascii="Times New Roman;Times;Serif" w:hAnsi="Times New Roman;Times;Serif"/>
          <w:b w:val="false"/>
          <w:i w:val="false"/>
          <w:caps w:val="false"/>
          <w:smallCaps w:val="false"/>
          <w:sz w:val="20"/>
        </w:rPr>
        <w:t xml:space="preserve">5.0 years; customer relationships </w:t>
      </w:r>
      <w:bookmarkStart w:id="1407" w:name="xdx_90B_eus-gaap--AcquiredFiniteLivedInt"/>
      <w:bookmarkEnd w:id="1407"/>
      <w:r>
        <w:rPr>
          <w:rFonts w:ascii="Times New Roman;Times;Serif" w:hAnsi="Times New Roman;Times;Serif"/>
          <w:b w:val="false"/>
          <w:i w:val="false"/>
          <w:caps w:val="false"/>
          <w:smallCaps w:val="false"/>
          <w:sz w:val="20"/>
        </w:rPr>
        <w:t xml:space="preserve">11.6 years; and trade names </w:t>
      </w:r>
      <w:bookmarkStart w:id="1408" w:name="xdx_90F_eus-gaap--AcquiredFiniteLivedInt"/>
      <w:bookmarkEnd w:id="1408"/>
      <w:r>
        <w:rPr>
          <w:rFonts w:ascii="Times New Roman;Times;Serif" w:hAnsi="Times New Roman;Times;Serif"/>
          <w:b w:val="false"/>
          <w:i w:val="false"/>
          <w:caps w:val="false"/>
          <w:smallCaps w:val="false"/>
          <w:sz w:val="20"/>
        </w:rPr>
        <w:t>1.0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as a result of declining sales of AOCs and strategic decisions on investment across the Company’s product groups, the Company tested the related long-lived assets for possible impairment. Based on this test, the Company concluded that the carrying value of the AOCs asset group exceeded its estimated fair value, and the Company recorded an impairment charge of $</w:t>
      </w:r>
      <w:bookmarkStart w:id="1409" w:name="xdx_900_ecustom--ImpairmentChargesOfFini"/>
      <w:bookmarkEnd w:id="1409"/>
      <w:r>
        <w:rPr>
          <w:rFonts w:ascii="Times New Roman;Times;Serif" w:hAnsi="Times New Roman;Times;Serif"/>
          <w:b w:val="false"/>
          <w:i w:val="false"/>
          <w:caps w:val="false"/>
          <w:smallCaps w:val="false"/>
          <w:sz w:val="20"/>
        </w:rPr>
        <w:t>1,333 to write down the carrying value of the long-lived assets (consisting of developed technology and customer relationships). The Company estimated the fair value of the AOCs asset group using a discounted cash flow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10" w:name="xdx_89E_eus-gaap--ScheduleofFiniteLivedI"/>
      <w:bookmarkEnd w:id="1410"/>
      <w:r>
        <w:rPr>
          <w:rFonts w:ascii="Times New Roman;Times;Serif" w:hAnsi="Times New Roman;Times;Serif"/>
          <w:b w:val="false"/>
          <w:i w:val="false"/>
          <w:caps w:val="false"/>
          <w:smallCaps w:val="false"/>
          <w:sz w:val="20"/>
        </w:rPr>
        <w:t>Estimated future amortization expense for intangible assets by fiscal year as of September 30, 2025 is as follows:</w:t>
      </w:r>
    </w:p>
    <w:p>
      <w:pPr>
        <w:pStyle w:val="TextBody"/>
        <w:bidi w:val="0"/>
        <w:spacing w:before="0" w:after="0"/>
        <w:ind w:left="0" w:right="0" w:hanging="0"/>
        <w:jc w:val="left"/>
        <w:rPr>
          <w:caps w:val="false"/>
          <w:smallCaps w:val="false"/>
        </w:rPr>
      </w:pPr>
      <w:r>
        <w:rPr>
          <w:caps w:val="false"/>
          <w:smallCaps w:val="false"/>
        </w:rPr>
        <w:t> </w:t>
      </w:r>
      <w:bookmarkStart w:id="1411" w:name="xdx_8B5_zzQmMu1I4PT2"/>
      <w:bookmarkEnd w:id="1411"/>
      <w:r>
        <w:rPr>
          <w:rFonts w:ascii="Times New Roman;Times;Serif" w:hAnsi="Times New Roman;Times;Serif"/>
          <w:b w:val="false"/>
          <w:i w:val="false"/>
          <w:caps w:val="false"/>
          <w:smallCaps w:val="false"/>
          <w:sz w:val="20"/>
        </w:rPr>
        <w:t>Schedule of Estimated Future Amortization Expense for Intangible Assets </w:t>
      </w:r>
    </w:p>
    <w:tbl>
      <w:tblPr>
        <w:tblW w:w="3675" w:type="dxa"/>
        <w:jc w:val="left"/>
        <w:tblInd w:w="0" w:type="dxa"/>
        <w:tblLayout w:type="fixed"/>
        <w:tblCellMar>
          <w:top w:w="0" w:type="dxa"/>
          <w:left w:w="0" w:type="dxa"/>
          <w:bottom w:w="28" w:type="dxa"/>
          <w:right w:w="0" w:type="dxa"/>
        </w:tblCellMar>
      </w:tblPr>
      <w:tblGrid>
        <w:gridCol w:w="2720"/>
        <w:gridCol w:w="60"/>
        <w:gridCol w:w="140"/>
        <w:gridCol w:w="680"/>
        <w:gridCol w:w="75"/>
      </w:tblGrid>
      <w:tr>
        <w:trPr/>
        <w:tc>
          <w:tcPr>
            <w:tcW w:w="2720" w:type="dxa"/>
            <w:tcBorders>
              <w:bottom w:val="single" w:sz="8" w:space="0" w:color="000000"/>
            </w:tcBorders>
            <w:vAlign w:val="center"/>
          </w:tcPr>
          <w:p>
            <w:pPr>
              <w:pStyle w:val="TableContents"/>
              <w:bidi w:val="0"/>
              <w:spacing w:before="0" w:after="283"/>
              <w:jc w:val="left"/>
              <w:rPr/>
            </w:pPr>
            <w:r>
              <w:rPr/>
              <w:t>Years ending September 30,</w:t>
            </w:r>
          </w:p>
        </w:tc>
        <w:tc>
          <w:tcPr>
            <w:tcW w:w="60" w:type="dxa"/>
            <w:tcBorders/>
            <w:tcMar>
              <w:bottom w:w="0" w:type="dxa"/>
            </w:tcMar>
            <w:vAlign w:val="center"/>
          </w:tcPr>
          <w:p>
            <w:pPr>
              <w:pStyle w:val="TableContents"/>
              <w:bidi w:val="0"/>
              <w:spacing w:before="0" w:after="283"/>
              <w:jc w:val="left"/>
              <w:rPr/>
            </w:pPr>
            <w:r>
              <w:rPr/>
              <w:t> </w:t>
            </w:r>
            <w:bookmarkStart w:id="1412" w:name="xdx_49B_20250930_zm6HtvkAUcji"/>
            <w:bookmarkEnd w:id="1412"/>
          </w:p>
        </w:tc>
        <w:tc>
          <w:tcPr>
            <w:tcW w:w="8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1413" w:name="xdx_98D_eus-gaap--FiniteLivedIntangibleA"/>
            <w:bookmarkEnd w:id="1413"/>
          </w:p>
        </w:tc>
        <w:tc>
          <w:tcPr>
            <w:tcW w:w="680" w:type="dxa"/>
            <w:tcBorders/>
            <w:shd w:fill="CCEEFF" w:val="clear"/>
            <w:tcMar>
              <w:bottom w:w="0" w:type="dxa"/>
            </w:tcMar>
            <w:vAlign w:val="center"/>
          </w:tcPr>
          <w:p>
            <w:pPr>
              <w:pStyle w:val="TableContents"/>
              <w:bidi w:val="0"/>
              <w:spacing w:before="0" w:after="283"/>
              <w:jc w:val="right"/>
              <w:rPr/>
            </w:pPr>
            <w:r>
              <w:rPr/>
              <w:t>1,590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414" w:name="xdx_982_eus-gaap--FiniteLivedIntangibleA"/>
            <w:bookmarkEnd w:id="1414"/>
          </w:p>
        </w:tc>
        <w:tc>
          <w:tcPr>
            <w:tcW w:w="680" w:type="dxa"/>
            <w:tcBorders/>
            <w:shd w:fill="FFFFFF" w:val="clear"/>
            <w:tcMar>
              <w:bottom w:w="0" w:type="dxa"/>
            </w:tcMar>
            <w:vAlign w:val="center"/>
          </w:tcPr>
          <w:p>
            <w:pPr>
              <w:pStyle w:val="TableContents"/>
              <w:bidi w:val="0"/>
              <w:spacing w:before="0" w:after="283"/>
              <w:jc w:val="right"/>
              <w:rPr/>
            </w:pPr>
            <w:r>
              <w:rPr/>
              <w:t>1,510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415" w:name="xdx_988_eus-gaap--FiniteLivedIntangibleA"/>
            <w:bookmarkEnd w:id="1415"/>
          </w:p>
        </w:tc>
        <w:tc>
          <w:tcPr>
            <w:tcW w:w="680" w:type="dxa"/>
            <w:tcBorders/>
            <w:shd w:fill="CCEEFF" w:val="clear"/>
            <w:tcMar>
              <w:bottom w:w="0" w:type="dxa"/>
            </w:tcMar>
            <w:vAlign w:val="center"/>
          </w:tcPr>
          <w:p>
            <w:pPr>
              <w:pStyle w:val="TableContents"/>
              <w:bidi w:val="0"/>
              <w:spacing w:before="0" w:after="283"/>
              <w:jc w:val="right"/>
              <w:rPr/>
            </w:pPr>
            <w:r>
              <w:rPr/>
              <w:t>1,498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416" w:name="xdx_984_eus-gaap--FiniteLivedIntangibleA"/>
            <w:bookmarkEnd w:id="1416"/>
          </w:p>
        </w:tc>
        <w:tc>
          <w:tcPr>
            <w:tcW w:w="680" w:type="dxa"/>
            <w:tcBorders/>
            <w:shd w:fill="FFFFFF" w:val="clear"/>
            <w:tcMar>
              <w:bottom w:w="0" w:type="dxa"/>
            </w:tcMar>
            <w:vAlign w:val="center"/>
          </w:tcPr>
          <w:p>
            <w:pPr>
              <w:pStyle w:val="TableContents"/>
              <w:bidi w:val="0"/>
              <w:spacing w:before="0" w:after="283"/>
              <w:jc w:val="right"/>
              <w:rPr/>
            </w:pPr>
            <w:r>
              <w:rPr/>
              <w:t>1,498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417" w:name="xdx_981_eus-gaap--FiniteLivedIntangibleA"/>
            <w:bookmarkEnd w:id="1417"/>
          </w:p>
        </w:tc>
        <w:tc>
          <w:tcPr>
            <w:tcW w:w="680" w:type="dxa"/>
            <w:tcBorders/>
            <w:shd w:fill="CCEEFF" w:val="clear"/>
            <w:tcMar>
              <w:bottom w:w="0" w:type="dxa"/>
            </w:tcMar>
            <w:vAlign w:val="center"/>
          </w:tcPr>
          <w:p>
            <w:pPr>
              <w:pStyle w:val="TableContents"/>
              <w:bidi w:val="0"/>
              <w:spacing w:before="0" w:after="283"/>
              <w:jc w:val="right"/>
              <w:rPr/>
            </w:pPr>
            <w:r>
              <w:rPr/>
              <w:t>1,454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bookmarkStart w:id="1418" w:name="xdx_982_eus-gaap--FiniteLivedIntangibleA"/>
            <w:bookmarkEnd w:id="1418"/>
          </w:p>
        </w:tc>
        <w:tc>
          <w:tcPr>
            <w:tcW w:w="680" w:type="dxa"/>
            <w:tcBorders>
              <w:bottom w:val="single" w:sz="8" w:space="0" w:color="000000"/>
            </w:tcBorders>
            <w:shd w:fill="FFFFFF" w:val="clear"/>
            <w:vAlign w:val="center"/>
          </w:tcPr>
          <w:p>
            <w:pPr>
              <w:pStyle w:val="TableContents"/>
              <w:bidi w:val="0"/>
              <w:spacing w:before="0" w:after="283"/>
              <w:jc w:val="right"/>
              <w:rPr/>
            </w:pPr>
            <w:r>
              <w:rPr/>
              <w:t>5,969</w:t>
            </w:r>
          </w:p>
        </w:tc>
        <w:tc>
          <w:tcPr>
            <w:tcW w:w="75" w:type="dxa"/>
            <w:tcBorders/>
            <w:shd w:fill="FFFFFF" w:val="clear"/>
            <w:tcMar>
              <w:bottom w:w="0" w:type="dxa"/>
            </w:tcMar>
            <w:vAlign w:val="center"/>
          </w:tcPr>
          <w:p>
            <w:pPr>
              <w:pStyle w:val="TableContents"/>
              <w:bidi w:val="0"/>
              <w:spacing w:before="0" w:after="283"/>
              <w:jc w:val="left"/>
              <w:rPr/>
            </w:pPr>
            <w:r>
              <w:rPr/>
              <w:t> </w:t>
            </w:r>
            <w:bookmarkStart w:id="1419" w:name="xdx_40C_eus-gaap--FiniteLivedIntangibleA"/>
            <w:bookmarkEnd w:id="1419"/>
          </w:p>
        </w:tc>
      </w:tr>
      <w:tr>
        <w:trPr/>
        <w:tc>
          <w:tcPr>
            <w:tcW w:w="272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80" w:type="dxa"/>
            <w:tcBorders>
              <w:bottom w:val="double" w:sz="6" w:space="0" w:color="000000"/>
            </w:tcBorders>
            <w:shd w:fill="CCEEFF" w:val="clear"/>
            <w:vAlign w:val="center"/>
          </w:tcPr>
          <w:p>
            <w:pPr>
              <w:pStyle w:val="TableContents"/>
              <w:bidi w:val="0"/>
              <w:spacing w:before="0" w:after="283"/>
              <w:jc w:val="right"/>
              <w:rPr/>
            </w:pPr>
            <w:r>
              <w:rPr/>
              <w:t>13,519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420" w:name="xdx_8AF_zHVcHHc6Zm0d"/>
      <w:bookmarkEnd w:id="1420"/>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21" w:name="xdx_80E_eus-gaap--GoodwillDisclosureText"/>
      <w:bookmarkEnd w:id="1421"/>
      <w:r>
        <w:rPr>
          <w:rFonts w:ascii="Times New Roman;Times;Serif" w:hAnsi="Times New Roman;Times;Serif"/>
          <w:b/>
          <w:i w:val="false"/>
          <w:caps w:val="false"/>
          <w:smallCaps w:val="false"/>
          <w:sz w:val="20"/>
        </w:rPr>
        <w:t xml:space="preserve">Note 8 — </w:t>
      </w:r>
      <w:bookmarkStart w:id="1422" w:name="xdx_82D_zrlwCfxztYBd"/>
      <w:bookmarkEnd w:id="1422"/>
      <w:r>
        <w:rPr>
          <w:rFonts w:ascii="Times New Roman;Times;Serif" w:hAnsi="Times New Roman;Times;Serif"/>
          <w:b/>
          <w:i w:val="false"/>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23" w:name="xdx_89C_eus-gaap--ScheduleOfGoodwillText"/>
      <w:bookmarkEnd w:id="1423"/>
      <w:r>
        <w:rPr>
          <w:rFonts w:ascii="Times New Roman;Times;Serif" w:hAnsi="Times New Roman;Times;Serif"/>
          <w:b w:val="false"/>
          <w:i w:val="false"/>
          <w:caps w:val="false"/>
          <w:smallCaps w:val="false"/>
          <w:sz w:val="20"/>
        </w:rPr>
        <w:t>The following table summarizes changes in the carrying amount of goodwill during the years ended September 30, 2024. There were no changes in the carrying amount of goodwill during the year ended September 30, 2025.</w:t>
      </w:r>
    </w:p>
    <w:p>
      <w:pPr>
        <w:pStyle w:val="TextBody"/>
        <w:bidi w:val="0"/>
        <w:spacing w:before="0" w:after="0"/>
        <w:ind w:left="0" w:right="0" w:hanging="0"/>
        <w:jc w:val="left"/>
        <w:rPr>
          <w:caps w:val="false"/>
          <w:smallCaps w:val="false"/>
        </w:rPr>
      </w:pPr>
      <w:r>
        <w:rPr>
          <w:caps w:val="false"/>
          <w:smallCaps w:val="false"/>
        </w:rPr>
        <w:t> </w:t>
      </w:r>
      <w:bookmarkStart w:id="1424" w:name="xdx_8BF_zZD48SJepRL6"/>
      <w:bookmarkEnd w:id="1424"/>
      <w:r>
        <w:rPr>
          <w:rFonts w:ascii="Times New Roman;Times;Serif" w:hAnsi="Times New Roman;Times;Serif"/>
          <w:b w:val="false"/>
          <w:i w:val="false"/>
          <w:caps w:val="false"/>
          <w:smallCaps w:val="false"/>
          <w:sz w:val="20"/>
        </w:rPr>
        <w:t>Schedule of Changes in Carrying Amount of Goodwill </w:t>
      </w:r>
    </w:p>
    <w:tbl>
      <w:tblPr>
        <w:tblW w:w="4890" w:type="dxa"/>
        <w:jc w:val="left"/>
        <w:tblInd w:w="0" w:type="dxa"/>
        <w:tblLayout w:type="fixed"/>
        <w:tblCellMar>
          <w:top w:w="0" w:type="dxa"/>
          <w:left w:w="0" w:type="dxa"/>
          <w:bottom w:w="0" w:type="dxa"/>
          <w:right w:w="0" w:type="dxa"/>
        </w:tblCellMar>
      </w:tblPr>
      <w:tblGrid>
        <w:gridCol w:w="3935"/>
        <w:gridCol w:w="60"/>
        <w:gridCol w:w="140"/>
        <w:gridCol w:w="680"/>
        <w:gridCol w:w="75"/>
      </w:tblGrid>
      <w:tr>
        <w:trPr/>
        <w:tc>
          <w:tcPr>
            <w:tcW w:w="39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40" w:type="dxa"/>
            <w:tcBorders/>
            <w:shd w:fill="CCEEFF" w:val="clear"/>
            <w:vAlign w:val="center"/>
          </w:tcPr>
          <w:p>
            <w:pPr>
              <w:pStyle w:val="TableContents"/>
              <w:bidi w:val="0"/>
              <w:spacing w:before="0" w:after="283"/>
              <w:jc w:val="center"/>
              <w:rPr/>
            </w:pPr>
            <w:r>
              <w:rPr/>
              <w:t> </w:t>
            </w:r>
            <w:bookmarkStart w:id="1425" w:name="xdx_49E_20231001__20240930_zeTW9yOcaD84"/>
            <w:bookmarkEnd w:id="1425"/>
          </w:p>
        </w:tc>
        <w:tc>
          <w:tcPr>
            <w:tcW w:w="68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bookmarkStart w:id="1426" w:name="xdx_40E_eus-gaap--Goodwill_iS_zmVwhKVp9u"/>
            <w:bookmarkEnd w:id="1426"/>
          </w:p>
        </w:tc>
      </w:tr>
      <w:tr>
        <w:trPr/>
        <w:tc>
          <w:tcPr>
            <w:tcW w:w="3935" w:type="dxa"/>
            <w:tcBorders/>
            <w:shd w:fill="CCEEFF" w:val="clear"/>
            <w:vAlign w:val="center"/>
          </w:tcPr>
          <w:p>
            <w:pPr>
              <w:pStyle w:val="TableContents"/>
              <w:bidi w:val="0"/>
              <w:spacing w:before="0" w:after="283"/>
              <w:jc w:val="left"/>
              <w:rPr/>
            </w:pPr>
            <w:r>
              <w:rPr/>
              <w:t>Balance at September 30,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5,217</w:t>
            </w:r>
          </w:p>
        </w:tc>
        <w:tc>
          <w:tcPr>
            <w:tcW w:w="75" w:type="dxa"/>
            <w:tcBorders/>
            <w:shd w:fill="CCEEFF" w:val="clear"/>
            <w:vAlign w:val="center"/>
          </w:tcPr>
          <w:p>
            <w:pPr>
              <w:pStyle w:val="TableContents"/>
              <w:bidi w:val="0"/>
              <w:spacing w:before="0" w:after="283"/>
              <w:jc w:val="left"/>
              <w:rPr/>
            </w:pPr>
            <w:r>
              <w:rPr/>
              <w:t> </w:t>
            </w:r>
            <w:bookmarkStart w:id="1427" w:name="xdx_40A_eus-gaap--Goodwill_iS_zxIhp74A7w"/>
            <w:bookmarkEnd w:id="1427"/>
          </w:p>
        </w:tc>
      </w:tr>
      <w:tr>
        <w:trPr/>
        <w:tc>
          <w:tcPr>
            <w:tcW w:w="3935" w:type="dxa"/>
            <w:tcBorders/>
            <w:shd w:fill="CCEEFF" w:val="clear"/>
            <w:vAlign w:val="center"/>
          </w:tcPr>
          <w:p>
            <w:pPr>
              <w:pStyle w:val="TableContents"/>
              <w:bidi w:val="0"/>
              <w:spacing w:before="0" w:after="283"/>
              <w:jc w:val="left"/>
              <w:rPr/>
            </w:pPr>
            <w:r>
              <w:rPr/>
              <w:t xml:space="preserve">Balance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5,217</w:t>
            </w:r>
          </w:p>
        </w:tc>
        <w:tc>
          <w:tcPr>
            <w:tcW w:w="75" w:type="dxa"/>
            <w:tcBorders/>
            <w:shd w:fill="CCEEFF" w:val="clear"/>
            <w:vAlign w:val="center"/>
          </w:tcPr>
          <w:p>
            <w:pPr>
              <w:pStyle w:val="TableContents"/>
              <w:bidi w:val="0"/>
              <w:spacing w:before="0" w:after="283"/>
              <w:jc w:val="left"/>
              <w:rPr/>
            </w:pPr>
            <w:r>
              <w:rPr/>
              <w:t> </w:t>
            </w:r>
            <w:bookmarkStart w:id="1428" w:name="xdx_40B_eus-gaap--GoodwillAcquiredDuring"/>
            <w:bookmarkEnd w:id="1428"/>
          </w:p>
        </w:tc>
      </w:tr>
      <w:tr>
        <w:trPr/>
        <w:tc>
          <w:tcPr>
            <w:tcW w:w="3935" w:type="dxa"/>
            <w:tcBorders/>
            <w:shd w:fill="FFFFFF" w:val="clear"/>
            <w:vAlign w:val="center"/>
          </w:tcPr>
          <w:p>
            <w:pPr>
              <w:pStyle w:val="TableContents"/>
              <w:bidi w:val="0"/>
              <w:spacing w:before="0" w:after="283"/>
              <w:jc w:val="left"/>
              <w:rPr/>
            </w:pPr>
            <w:r>
              <w:rPr/>
              <w:t>Acquisition of EMI Solutions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6,841</w:t>
            </w:r>
          </w:p>
        </w:tc>
        <w:tc>
          <w:tcPr>
            <w:tcW w:w="75" w:type="dxa"/>
            <w:tcBorders/>
            <w:shd w:fill="FFFFFF" w:val="clear"/>
            <w:vAlign w:val="center"/>
          </w:tcPr>
          <w:p>
            <w:pPr>
              <w:pStyle w:val="TableContents"/>
              <w:bidi w:val="0"/>
              <w:spacing w:before="0" w:after="283"/>
              <w:jc w:val="left"/>
              <w:rPr/>
            </w:pPr>
            <w:r>
              <w:rPr/>
              <w:t> </w:t>
            </w:r>
            <w:bookmarkStart w:id="1429" w:name="xdx_408_ecustom--GoodwillAcquiredDuringP"/>
            <w:bookmarkEnd w:id="1429"/>
          </w:p>
        </w:tc>
      </w:tr>
      <w:tr>
        <w:trPr/>
        <w:tc>
          <w:tcPr>
            <w:tcW w:w="3935" w:type="dxa"/>
            <w:tcBorders/>
            <w:shd w:fill="CCEEFF" w:val="clear"/>
            <w:vAlign w:val="center"/>
          </w:tcPr>
          <w:p>
            <w:pPr>
              <w:pStyle w:val="TableContents"/>
              <w:bidi w:val="0"/>
              <w:spacing w:before="0" w:after="283"/>
              <w:jc w:val="left"/>
              <w:rPr/>
            </w:pPr>
            <w:r>
              <w:rPr/>
              <w:t>Acquisition of RaGE Systems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4,008</w:t>
            </w:r>
          </w:p>
        </w:tc>
        <w:tc>
          <w:tcPr>
            <w:tcW w:w="75" w:type="dxa"/>
            <w:tcBorders/>
            <w:shd w:fill="CCEEFF" w:val="clear"/>
            <w:vAlign w:val="center"/>
          </w:tcPr>
          <w:p>
            <w:pPr>
              <w:pStyle w:val="TableContents"/>
              <w:bidi w:val="0"/>
              <w:spacing w:before="0" w:after="283"/>
              <w:jc w:val="left"/>
              <w:rPr/>
            </w:pPr>
            <w:r>
              <w:rPr/>
              <w:t> </w:t>
            </w:r>
            <w:bookmarkStart w:id="1430" w:name="xdx_409_eus-gaap--Goodwill_iE_zjDGAwLmpY"/>
            <w:bookmarkEnd w:id="1430"/>
          </w:p>
        </w:tc>
      </w:tr>
      <w:tr>
        <w:trPr/>
        <w:tc>
          <w:tcPr>
            <w:tcW w:w="3935" w:type="dxa"/>
            <w:tcBorders/>
            <w:shd w:fill="FFFFFF" w:val="clear"/>
            <w:vAlign w:val="center"/>
          </w:tcPr>
          <w:p>
            <w:pPr>
              <w:pStyle w:val="TableContents"/>
              <w:bidi w:val="0"/>
              <w:spacing w:before="0" w:after="283"/>
              <w:jc w:val="left"/>
              <w:rPr/>
            </w:pPr>
            <w:r>
              <w:rPr/>
              <w:t>Balance at September 30, 2024 and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431" w:name="xdx_988_eus-gaap--Goodwill_iE_c20250930_"/>
            <w:bookmarkEnd w:id="1431"/>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16,066</w:t>
            </w:r>
          </w:p>
        </w:tc>
        <w:tc>
          <w:tcPr>
            <w:tcW w:w="75" w:type="dxa"/>
            <w:tcBorders/>
            <w:shd w:fill="FFFFFF" w:val="clear"/>
            <w:vAlign w:val="center"/>
          </w:tcPr>
          <w:p>
            <w:pPr>
              <w:pStyle w:val="TableContents"/>
              <w:bidi w:val="0"/>
              <w:spacing w:before="0" w:after="283"/>
              <w:jc w:val="left"/>
              <w:rPr/>
            </w:pPr>
            <w:r>
              <w:rPr/>
              <w:t> </w:t>
            </w:r>
            <w:bookmarkStart w:id="1432" w:name="xdx_400_eus-gaap--Goodwill_iE_zICPccj6Gt"/>
            <w:bookmarkEnd w:id="1432"/>
          </w:p>
        </w:tc>
      </w:tr>
      <w:tr>
        <w:trPr/>
        <w:tc>
          <w:tcPr>
            <w:tcW w:w="3935" w:type="dxa"/>
            <w:tcBorders/>
            <w:shd w:fill="FFFFFF" w:val="clear"/>
            <w:vAlign w:val="center"/>
          </w:tcPr>
          <w:p>
            <w:pPr>
              <w:pStyle w:val="TableContents"/>
              <w:bidi w:val="0"/>
              <w:spacing w:before="0" w:after="283"/>
              <w:jc w:val="left"/>
              <w:rPr/>
            </w:pPr>
            <w:r>
              <w:rPr/>
              <w:t xml:space="preserve">Balance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16,066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433" w:name="xdx_8A7_zkjLwppgaEk7"/>
      <w:bookmarkEnd w:id="143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performed its annual goodwill assessment as of July 31. The Company assessed all relevant qualitative factors to determine whether it was more likely than not that the fair value of a reporting unit was less than its carrying amount. Based on this assessment, the Company concluded that it was more likely than not that the fair value of each reporting unit was greater than its carrying amount, and that a quantitative goodwill impairment test was not necessary. The Company recorded </w:t>
      </w:r>
      <w:bookmarkStart w:id="1434" w:name="xdx_907_eus-gaap--GoodwillImpairmentLoss"/>
      <w:bookmarkStart w:id="1435" w:name="xdx_904_eus-gaap--GoodwillImpairmentLoss"/>
      <w:bookmarkEnd w:id="1434"/>
      <w:bookmarkEnd w:id="1435"/>
      <w:r>
        <w:rPr>
          <w:rFonts w:ascii="Times New Roman;Times;Serif" w:hAnsi="Times New Roman;Times;Serif"/>
          <w:b w:val="false"/>
          <w:i w:val="false"/>
          <w:caps w:val="false"/>
          <w:smallCaps w:val="false"/>
          <w:sz w:val="20"/>
        </w:rPr>
        <w:t>no impairment charges on goodwill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36" w:name="xdx_809_eus-gaap--AccountsPayableAccrued"/>
      <w:bookmarkEnd w:id="1436"/>
      <w:r>
        <w:rPr>
          <w:rFonts w:ascii="Times New Roman;Times;Serif" w:hAnsi="Times New Roman;Times;Serif"/>
          <w:b/>
          <w:i w:val="false"/>
          <w:caps w:val="false"/>
          <w:smallCaps w:val="false"/>
          <w:sz w:val="20"/>
        </w:rPr>
        <w:t xml:space="preserve">Note 9 — </w:t>
      </w:r>
      <w:bookmarkStart w:id="1437" w:name="xdx_82F_zARxr0yfi7Y1"/>
      <w:bookmarkEnd w:id="1437"/>
      <w:r>
        <w:rPr>
          <w:rFonts w:ascii="Times New Roman;Times;Serif" w:hAnsi="Times New Roman;Times;Serif"/>
          <w:b/>
          <w:i w:val="false"/>
          <w:caps w:val="false"/>
          <w:smallCaps w:val="false"/>
          <w:sz w:val="20"/>
        </w:rPr>
        <w:t>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438" w:name="xdx_89D_eus-gaap--ScheduleOfAccruedLiabi"/>
      <w:bookmarkEnd w:id="1438"/>
      <w:r>
        <w:rPr>
          <w:rFonts w:ascii="Times New Roman;Times;Serif" w:hAnsi="Times New Roman;Times;Serif"/>
          <w:b w:val="false"/>
          <w:i w:val="false"/>
          <w:caps w:val="false"/>
          <w:smallCaps w:val="false"/>
          <w:sz w:val="20"/>
        </w:rPr>
        <w:t>Accrued expenses and other current liabilities consist of the following:</w:t>
      </w:r>
    </w:p>
    <w:p>
      <w:pPr>
        <w:pStyle w:val="TextBody"/>
        <w:bidi w:val="0"/>
        <w:spacing w:before="0" w:after="0"/>
        <w:ind w:left="0" w:right="0" w:hanging="0"/>
        <w:jc w:val="left"/>
        <w:rPr>
          <w:caps w:val="false"/>
          <w:smallCaps w:val="false"/>
        </w:rPr>
      </w:pPr>
      <w:r>
        <w:rPr>
          <w:caps w:val="false"/>
          <w:smallCaps w:val="false"/>
        </w:rPr>
        <w:t> </w:t>
      </w:r>
      <w:bookmarkStart w:id="1439" w:name="xdx_8B9_zNC6hZ66Mj0c"/>
      <w:bookmarkEnd w:id="1439"/>
      <w:r>
        <w:rPr>
          <w:rFonts w:ascii="Times New Roman;Times;Serif" w:hAnsi="Times New Roman;Times;Serif"/>
          <w:b w:val="false"/>
          <w:i w:val="false"/>
          <w:caps w:val="false"/>
          <w:smallCaps w:val="false"/>
          <w:sz w:val="20"/>
        </w:rPr>
        <w:t>Schedule of Accrued Expenses and Other Current Liabilities </w:t>
      </w:r>
    </w:p>
    <w:tbl>
      <w:tblPr>
        <w:tblW w:w="6700" w:type="dxa"/>
        <w:jc w:val="left"/>
        <w:tblInd w:w="0" w:type="dxa"/>
        <w:tblLayout w:type="fixed"/>
        <w:tblCellMar>
          <w:top w:w="0" w:type="dxa"/>
          <w:left w:w="0" w:type="dxa"/>
          <w:bottom w:w="0" w:type="dxa"/>
          <w:right w:w="0" w:type="dxa"/>
        </w:tblCellMar>
      </w:tblPr>
      <w:tblGrid>
        <w:gridCol w:w="4805"/>
        <w:gridCol w:w="60"/>
        <w:gridCol w:w="140"/>
        <w:gridCol w:w="680"/>
        <w:gridCol w:w="60"/>
        <w:gridCol w:w="60"/>
        <w:gridCol w:w="140"/>
        <w:gridCol w:w="680"/>
        <w:gridCol w:w="75"/>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40" w:name="xdx_49E_20250930_zoSUA5Q54uQ4"/>
            <w:bookmarkEnd w:id="1440"/>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41" w:name="xdx_497_20240930_zGZryQ4tPJkb"/>
            <w:bookmarkEnd w:id="1441"/>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1442" w:name="xdx_406_eus-gaap--WorkersCompensationLia"/>
            <w:bookmarkEnd w:id="1442"/>
          </w:p>
        </w:tc>
      </w:tr>
      <w:tr>
        <w:trPr/>
        <w:tc>
          <w:tcPr>
            <w:tcW w:w="4805" w:type="dxa"/>
            <w:tcBorders/>
            <w:shd w:fill="CCEEFF" w:val="clear"/>
            <w:vAlign w:val="center"/>
          </w:tcPr>
          <w:p>
            <w:pPr>
              <w:pStyle w:val="TableContents"/>
              <w:bidi w:val="0"/>
              <w:spacing w:before="0" w:after="283"/>
              <w:jc w:val="left"/>
              <w:rPr/>
            </w:pPr>
            <w:r>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1,770</w:t>
            </w:r>
          </w:p>
        </w:tc>
        <w:tc>
          <w:tcPr>
            <w:tcW w:w="75" w:type="dxa"/>
            <w:tcBorders/>
            <w:shd w:fill="CCEEFF" w:val="clear"/>
            <w:vAlign w:val="center"/>
          </w:tcPr>
          <w:p>
            <w:pPr>
              <w:pStyle w:val="TableContents"/>
              <w:bidi w:val="0"/>
              <w:spacing w:before="0" w:after="283"/>
              <w:jc w:val="left"/>
              <w:rPr/>
            </w:pPr>
            <w:r>
              <w:rPr/>
              <w:t> </w:t>
            </w:r>
            <w:bookmarkStart w:id="1443" w:name="xdx_404_eus-gaap--AccruedProfessionalFee"/>
            <w:bookmarkEnd w:id="1443"/>
          </w:p>
        </w:tc>
      </w:tr>
      <w:tr>
        <w:trPr/>
        <w:tc>
          <w:tcPr>
            <w:tcW w:w="4805" w:type="dxa"/>
            <w:tcBorders/>
            <w:shd w:fill="FFFFFF" w:val="clear"/>
            <w:vAlign w:val="center"/>
          </w:tcPr>
          <w:p>
            <w:pPr>
              <w:pStyle w:val="TableContents"/>
              <w:bidi w:val="0"/>
              <w:spacing w:before="0" w:after="283"/>
              <w:jc w:val="left"/>
              <w:rPr/>
            </w:pPr>
            <w:r>
              <w:rPr/>
              <w:t>Accrued professional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340</w:t>
            </w:r>
          </w:p>
        </w:tc>
        <w:tc>
          <w:tcPr>
            <w:tcW w:w="75" w:type="dxa"/>
            <w:tcBorders/>
            <w:shd w:fill="FFFFFF" w:val="clear"/>
            <w:vAlign w:val="center"/>
          </w:tcPr>
          <w:p>
            <w:pPr>
              <w:pStyle w:val="TableContents"/>
              <w:bidi w:val="0"/>
              <w:spacing w:before="0" w:after="283"/>
              <w:jc w:val="left"/>
              <w:rPr/>
            </w:pPr>
            <w:r>
              <w:rPr/>
              <w:t> </w:t>
            </w:r>
            <w:bookmarkStart w:id="1444" w:name="xdx_406_eus-gaap--InterestPayableCurrent"/>
            <w:bookmarkEnd w:id="1444"/>
          </w:p>
        </w:tc>
      </w:tr>
      <w:tr>
        <w:trPr/>
        <w:tc>
          <w:tcPr>
            <w:tcW w:w="4805"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177</w:t>
            </w:r>
          </w:p>
        </w:tc>
        <w:tc>
          <w:tcPr>
            <w:tcW w:w="75" w:type="dxa"/>
            <w:tcBorders/>
            <w:shd w:fill="CCEEFF" w:val="clear"/>
            <w:vAlign w:val="center"/>
          </w:tcPr>
          <w:p>
            <w:pPr>
              <w:pStyle w:val="TableContents"/>
              <w:bidi w:val="0"/>
              <w:spacing w:before="0" w:after="283"/>
              <w:jc w:val="left"/>
              <w:rPr/>
            </w:pPr>
            <w:r>
              <w:rPr/>
              <w:t> </w:t>
            </w:r>
            <w:bookmarkStart w:id="1445" w:name="xdx_40E_eus-gaap--DeferredRevenueCurrent"/>
            <w:bookmarkEnd w:id="1445"/>
          </w:p>
        </w:tc>
      </w:tr>
      <w:tr>
        <w:trPr/>
        <w:tc>
          <w:tcPr>
            <w:tcW w:w="480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1,076</w:t>
            </w:r>
          </w:p>
        </w:tc>
        <w:tc>
          <w:tcPr>
            <w:tcW w:w="75" w:type="dxa"/>
            <w:tcBorders/>
            <w:shd w:fill="FFFFFF" w:val="clear"/>
            <w:vAlign w:val="center"/>
          </w:tcPr>
          <w:p>
            <w:pPr>
              <w:pStyle w:val="TableContents"/>
              <w:bidi w:val="0"/>
              <w:spacing w:before="0" w:after="283"/>
              <w:jc w:val="left"/>
              <w:rPr/>
            </w:pPr>
            <w:r>
              <w:rPr/>
              <w:t> </w:t>
            </w:r>
            <w:bookmarkStart w:id="1446" w:name="xdx_408_ecustom--CommittedEquityFacility"/>
            <w:bookmarkEnd w:id="1446"/>
          </w:p>
        </w:tc>
      </w:tr>
      <w:tr>
        <w:trPr/>
        <w:tc>
          <w:tcPr>
            <w:tcW w:w="4805" w:type="dxa"/>
            <w:tcBorders/>
            <w:shd w:fill="CCEEFF" w:val="clear"/>
            <w:vAlign w:val="center"/>
          </w:tcPr>
          <w:p>
            <w:pPr>
              <w:pStyle w:val="TableContents"/>
              <w:bidi w:val="0"/>
              <w:spacing w:before="0" w:after="283"/>
              <w:jc w:val="left"/>
              <w:rPr/>
            </w:pPr>
            <w:r>
              <w:rPr/>
              <w:t>Committed equity facility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1,553</w:t>
            </w:r>
          </w:p>
        </w:tc>
        <w:tc>
          <w:tcPr>
            <w:tcW w:w="75" w:type="dxa"/>
            <w:tcBorders/>
            <w:shd w:fill="CCEEFF" w:val="clear"/>
            <w:vAlign w:val="center"/>
          </w:tcPr>
          <w:p>
            <w:pPr>
              <w:pStyle w:val="TableContents"/>
              <w:bidi w:val="0"/>
              <w:spacing w:before="0" w:after="283"/>
              <w:jc w:val="left"/>
              <w:rPr/>
            </w:pPr>
            <w:r>
              <w:rPr/>
              <w:t> </w:t>
            </w:r>
            <w:bookmarkStart w:id="1447" w:name="xdx_400_ecustom--UnpaidMergerRelatedTran"/>
            <w:bookmarkEnd w:id="1447"/>
          </w:p>
        </w:tc>
      </w:tr>
      <w:tr>
        <w:trPr/>
        <w:tc>
          <w:tcPr>
            <w:tcW w:w="4805" w:type="dxa"/>
            <w:tcBorders/>
            <w:shd w:fill="FFFFFF" w:val="clear"/>
            <w:vAlign w:val="center"/>
          </w:tcPr>
          <w:p>
            <w:pPr>
              <w:pStyle w:val="TableContents"/>
              <w:bidi w:val="0"/>
              <w:spacing w:before="0" w:after="283"/>
              <w:jc w:val="left"/>
              <w:rPr/>
            </w:pPr>
            <w:r>
              <w:rPr/>
              <w:t>Unpaid Merger-related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1,090</w:t>
            </w:r>
          </w:p>
        </w:tc>
        <w:tc>
          <w:tcPr>
            <w:tcW w:w="75" w:type="dxa"/>
            <w:tcBorders/>
            <w:shd w:fill="FFFFFF" w:val="clear"/>
            <w:vAlign w:val="center"/>
          </w:tcPr>
          <w:p>
            <w:pPr>
              <w:pStyle w:val="TableContents"/>
              <w:bidi w:val="0"/>
              <w:spacing w:before="0" w:after="283"/>
              <w:jc w:val="left"/>
              <w:rPr/>
            </w:pPr>
            <w:r>
              <w:rPr/>
              <w:t> </w:t>
            </w:r>
            <w:bookmarkStart w:id="1448" w:name="xdx_40A_ecustom--EarnoutCurrent_iI_pn3n3"/>
            <w:bookmarkEnd w:id="1448"/>
          </w:p>
        </w:tc>
      </w:tr>
      <w:tr>
        <w:trPr/>
        <w:tc>
          <w:tcPr>
            <w:tcW w:w="4805" w:type="dxa"/>
            <w:tcBorders/>
            <w:shd w:fill="CCEEFF" w:val="clear"/>
            <w:vAlign w:val="center"/>
          </w:tcPr>
          <w:p>
            <w:pPr>
              <w:pStyle w:val="TableContents"/>
              <w:bidi w:val="0"/>
              <w:spacing w:before="0" w:after="283"/>
              <w:jc w:val="left"/>
              <w:rPr/>
            </w:pPr>
            <w:r>
              <w:rPr/>
              <w:t>RaGE Earnout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2,098</w:t>
            </w:r>
          </w:p>
        </w:tc>
        <w:tc>
          <w:tcPr>
            <w:tcW w:w="75" w:type="dxa"/>
            <w:tcBorders/>
            <w:shd w:fill="CCEEFF" w:val="clear"/>
            <w:vAlign w:val="center"/>
          </w:tcPr>
          <w:p>
            <w:pPr>
              <w:pStyle w:val="TableContents"/>
              <w:bidi w:val="0"/>
              <w:spacing w:before="0" w:after="283"/>
              <w:jc w:val="left"/>
              <w:rPr/>
            </w:pPr>
            <w:r>
              <w:rPr/>
              <w:t> </w:t>
            </w:r>
            <w:bookmarkStart w:id="1449" w:name="xdx_40C_eus-gaap--OtherAccruedLiabilitie"/>
            <w:bookmarkEnd w:id="1449"/>
          </w:p>
        </w:tc>
      </w:tr>
      <w:tr>
        <w:trPr/>
        <w:tc>
          <w:tcPr>
            <w:tcW w:w="480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2,221</w:t>
            </w:r>
          </w:p>
        </w:tc>
        <w:tc>
          <w:tcPr>
            <w:tcW w:w="75" w:type="dxa"/>
            <w:tcBorders/>
            <w:shd w:fill="FFFFFF" w:val="clear"/>
            <w:vAlign w:val="center"/>
          </w:tcPr>
          <w:p>
            <w:pPr>
              <w:pStyle w:val="TableContents"/>
              <w:bidi w:val="0"/>
              <w:spacing w:before="0" w:after="283"/>
              <w:jc w:val="left"/>
              <w:rPr/>
            </w:pPr>
            <w:r>
              <w:rPr/>
              <w:t> </w:t>
            </w:r>
            <w:bookmarkStart w:id="1450" w:name="xdx_406_eus-gaap--AccruedLiabilitiesCurr"/>
            <w:bookmarkEnd w:id="1450"/>
          </w:p>
        </w:tc>
      </w:tr>
      <w:tr>
        <w:trPr/>
        <w:tc>
          <w:tcPr>
            <w:tcW w:w="4805"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11,122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10,325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451" w:name="xdx_8A8_zpMkvrh4mpAg"/>
      <w:bookmarkEnd w:id="1451"/>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52" w:name="xdx_804_eus-gaap--DebtDisclosureTextBloc"/>
      <w:bookmarkEnd w:id="1452"/>
      <w:r>
        <w:rPr>
          <w:rFonts w:ascii="Times New Roman;Times;Serif" w:hAnsi="Times New Roman;Times;Serif"/>
          <w:b/>
          <w:i w:val="false"/>
          <w:caps w:val="false"/>
          <w:smallCaps w:val="false"/>
          <w:sz w:val="20"/>
        </w:rPr>
        <w:t xml:space="preserve">Note 10 — </w:t>
      </w:r>
      <w:bookmarkStart w:id="1453" w:name="xdx_82A_zfjByGOTWqwl"/>
      <w:bookmarkEnd w:id="1453"/>
      <w:r>
        <w:rPr>
          <w:rFonts w:ascii="Times New Roman;Times;Serif" w:hAnsi="Times New Roman;Times;Serif"/>
          <w:b/>
          <w:i w:val="false"/>
          <w:caps w:val="false"/>
          <w:smallCaps w:val="false"/>
          <w:sz w:val="20"/>
        </w:rPr>
        <w:t>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454" w:name="xdx_895_eus-gaap--ScheduleOfDebtTableTex"/>
      <w:bookmarkEnd w:id="1454"/>
      <w:r>
        <w:rPr>
          <w:rFonts w:ascii="Times New Roman;Times;Serif" w:hAnsi="Times New Roman;Times;Serif"/>
          <w:b w:val="false"/>
          <w:i w:val="false"/>
          <w:caps w:val="false"/>
          <w:smallCaps w:val="false"/>
          <w:sz w:val="20"/>
        </w:rPr>
        <w:t>Debt consists of the following:</w:t>
      </w:r>
    </w:p>
    <w:p>
      <w:pPr>
        <w:pStyle w:val="TextBody"/>
        <w:bidi w:val="0"/>
        <w:spacing w:before="0" w:after="0"/>
        <w:ind w:left="0" w:right="0" w:hanging="0"/>
        <w:jc w:val="left"/>
        <w:rPr>
          <w:caps w:val="false"/>
          <w:smallCaps w:val="false"/>
        </w:rPr>
      </w:pPr>
      <w:r>
        <w:rPr>
          <w:caps w:val="false"/>
          <w:smallCaps w:val="false"/>
        </w:rPr>
        <w:t> </w:t>
      </w:r>
      <w:bookmarkStart w:id="1455" w:name="xdx_8BD_z1m0aUHj9Q84"/>
      <w:bookmarkEnd w:id="1455"/>
      <w:r>
        <w:rPr>
          <w:rFonts w:ascii="Times New Roman;Times;Serif" w:hAnsi="Times New Roman;Times;Serif"/>
          <w:b w:val="false"/>
          <w:i w:val="false"/>
          <w:caps w:val="false"/>
          <w:smallCaps w:val="false"/>
          <w:sz w:val="20"/>
        </w:rPr>
        <w:t>Schedule of Debt </w:t>
      </w:r>
    </w:p>
    <w:tbl>
      <w:tblPr>
        <w:tblW w:w="5435" w:type="dxa"/>
        <w:jc w:val="left"/>
        <w:tblInd w:w="0" w:type="dxa"/>
        <w:tblLayout w:type="fixed"/>
        <w:tblCellMar>
          <w:top w:w="0" w:type="dxa"/>
          <w:left w:w="0" w:type="dxa"/>
          <w:bottom w:w="0" w:type="dxa"/>
          <w:right w:w="0" w:type="dxa"/>
        </w:tblCellMar>
      </w:tblPr>
      <w:tblGrid>
        <w:gridCol w:w="3560"/>
        <w:gridCol w:w="60"/>
        <w:gridCol w:w="140"/>
        <w:gridCol w:w="635"/>
        <w:gridCol w:w="95"/>
        <w:gridCol w:w="60"/>
        <w:gridCol w:w="140"/>
        <w:gridCol w:w="635"/>
        <w:gridCol w:w="11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56" w:name="xdx_49B_20250930_z6xid2gtRqT7"/>
            <w:bookmarkEnd w:id="1456"/>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57" w:name="xdx_492_20240930_zEoTqsFZjxkf"/>
            <w:bookmarkEnd w:id="1457"/>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458" w:name="xdx_405_eus-gaap--NotesPayable_iI_pn3n3_"/>
            <w:bookmarkEnd w:id="1458"/>
          </w:p>
        </w:tc>
      </w:tr>
      <w:tr>
        <w:trPr/>
        <w:tc>
          <w:tcPr>
            <w:tcW w:w="3560"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598</w:t>
            </w:r>
          </w:p>
        </w:tc>
        <w:tc>
          <w:tcPr>
            <w:tcW w:w="110" w:type="dxa"/>
            <w:tcBorders/>
            <w:shd w:fill="CCEEFF" w:val="clear"/>
            <w:vAlign w:val="center"/>
          </w:tcPr>
          <w:p>
            <w:pPr>
              <w:pStyle w:val="TableContents"/>
              <w:bidi w:val="0"/>
              <w:spacing w:before="0" w:after="283"/>
              <w:jc w:val="left"/>
              <w:rPr/>
            </w:pPr>
            <w:r>
              <w:rPr/>
              <w:t> </w:t>
            </w:r>
            <w:bookmarkStart w:id="1459" w:name="xdx_40A_eus-gaap--NotesPayable_iI_pn3n3_"/>
            <w:bookmarkEnd w:id="1459"/>
          </w:p>
        </w:tc>
      </w:tr>
      <w:tr>
        <w:trPr/>
        <w:tc>
          <w:tcPr>
            <w:tcW w:w="3560" w:type="dxa"/>
            <w:tcBorders/>
            <w:shd w:fill="FFFFFF" w:val="clear"/>
            <w:vAlign w:val="center"/>
          </w:tcPr>
          <w:p>
            <w:pPr>
              <w:pStyle w:val="TableContents"/>
              <w:bidi w:val="0"/>
              <w:spacing w:before="0" w:after="283"/>
              <w:jc w:val="left"/>
              <w:rPr/>
            </w:pPr>
            <w:r>
              <w:rPr/>
              <w:t>7% promissory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2,495</w:t>
            </w:r>
          </w:p>
        </w:tc>
        <w:tc>
          <w:tcPr>
            <w:tcW w:w="110" w:type="dxa"/>
            <w:tcBorders/>
            <w:shd w:fill="FFFFFF" w:val="clear"/>
            <w:vAlign w:val="center"/>
          </w:tcPr>
          <w:p>
            <w:pPr>
              <w:pStyle w:val="TableContents"/>
              <w:bidi w:val="0"/>
              <w:spacing w:before="0" w:after="283"/>
              <w:jc w:val="left"/>
              <w:rPr/>
            </w:pPr>
            <w:r>
              <w:rPr/>
              <w:t> </w:t>
            </w:r>
            <w:bookmarkStart w:id="1460" w:name="xdx_404_eus-gaap--NotesPayable_iI_pn3n3_"/>
            <w:bookmarkEnd w:id="1460"/>
          </w:p>
        </w:tc>
      </w:tr>
      <w:tr>
        <w:trPr/>
        <w:tc>
          <w:tcPr>
            <w:tcW w:w="3560" w:type="dxa"/>
            <w:tcBorders/>
            <w:shd w:fill="CCEEFF" w:val="clear"/>
            <w:vAlign w:val="center"/>
          </w:tcPr>
          <w:p>
            <w:pPr>
              <w:pStyle w:val="TableContents"/>
              <w:bidi w:val="0"/>
              <w:spacing w:before="0" w:after="283"/>
              <w:jc w:val="left"/>
              <w:rPr/>
            </w:pPr>
            <w:r>
              <w:rPr/>
              <w:t>Notes payable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330</w:t>
            </w:r>
          </w:p>
        </w:tc>
        <w:tc>
          <w:tcPr>
            <w:tcW w:w="110" w:type="dxa"/>
            <w:tcBorders/>
            <w:shd w:fill="CCEEFF" w:val="clear"/>
            <w:vAlign w:val="center"/>
          </w:tcPr>
          <w:p>
            <w:pPr>
              <w:pStyle w:val="TableContents"/>
              <w:bidi w:val="0"/>
              <w:spacing w:before="0" w:after="283"/>
              <w:jc w:val="left"/>
              <w:rPr/>
            </w:pPr>
            <w:r>
              <w:rPr/>
              <w:t> </w:t>
            </w:r>
            <w:bookmarkStart w:id="1461" w:name="xdx_40D_eus-gaap--NotesPayable_iI_pn3n3_"/>
            <w:bookmarkEnd w:id="1461"/>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w:t>
            </w:r>
          </w:p>
        </w:tc>
        <w:tc>
          <w:tcPr>
            <w:tcW w:w="110" w:type="dxa"/>
            <w:tcBorders/>
            <w:shd w:fill="CCEEFF" w:val="clear"/>
            <w:vAlign w:val="center"/>
          </w:tcPr>
          <w:p>
            <w:pPr>
              <w:pStyle w:val="TableContents"/>
              <w:bidi w:val="0"/>
              <w:spacing w:before="0" w:after="283"/>
              <w:jc w:val="left"/>
              <w:rPr/>
            </w:pPr>
            <w:r>
              <w:rPr/>
              <w:t> </w:t>
            </w:r>
            <w:bookmarkStart w:id="1462" w:name="xdx_400_eus-gaap--LongTermDebt_iI_pn3n3_"/>
            <w:bookmarkEnd w:id="1462"/>
          </w:p>
        </w:tc>
      </w:tr>
      <w:tr>
        <w:trPr/>
        <w:tc>
          <w:tcPr>
            <w:tcW w:w="3560" w:type="dxa"/>
            <w:tcBorders/>
            <w:shd w:fill="FFFFFF" w:val="clear"/>
            <w:vAlign w:val="center"/>
          </w:tcPr>
          <w:p>
            <w:pPr>
              <w:pStyle w:val="TableContents"/>
              <w:bidi w:val="0"/>
              <w:spacing w:before="0" w:after="283"/>
              <w:jc w:val="left"/>
              <w:rPr/>
            </w:pPr>
            <w:r>
              <w:rPr/>
              <w:t>Total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3,423</w:t>
            </w:r>
          </w:p>
        </w:tc>
        <w:tc>
          <w:tcPr>
            <w:tcW w:w="110" w:type="dxa"/>
            <w:tcBorders/>
            <w:shd w:fill="FFFFFF" w:val="clear"/>
            <w:vAlign w:val="center"/>
          </w:tcPr>
          <w:p>
            <w:pPr>
              <w:pStyle w:val="TableContents"/>
              <w:bidi w:val="0"/>
              <w:spacing w:before="0" w:after="283"/>
              <w:jc w:val="left"/>
              <w:rPr/>
            </w:pPr>
            <w:r>
              <w:rPr/>
              <w:t> </w:t>
            </w:r>
            <w:bookmarkStart w:id="1463" w:name="xdx_402_eus-gaap--DebtCurrent_iNI_pn3n3_"/>
            <w:bookmarkEnd w:id="1463"/>
          </w:p>
        </w:tc>
      </w:tr>
      <w:tr>
        <w:trPr/>
        <w:tc>
          <w:tcPr>
            <w:tcW w:w="3560" w:type="dxa"/>
            <w:tcBorders/>
            <w:shd w:fill="CCEEFF" w:val="clear"/>
            <w:vAlign w:val="center"/>
          </w:tcPr>
          <w:p>
            <w:pPr>
              <w:pStyle w:val="TableContents"/>
              <w:bidi w:val="0"/>
              <w:spacing w:before="0" w:after="283"/>
              <w:jc w:val="left"/>
              <w:rPr/>
            </w:pPr>
            <w:r>
              <w:rPr/>
              <w:t>Less: Amounts classified as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(5,086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(2,141</w:t>
            </w:r>
          </w:p>
        </w:tc>
        <w:tc>
          <w:tcPr>
            <w:tcW w:w="110" w:type="dxa"/>
            <w:tcBorders/>
            <w:shd w:fill="CCEEFF" w:val="clear"/>
            <w:vAlign w:val="center"/>
          </w:tcPr>
          <w:p>
            <w:pPr>
              <w:pStyle w:val="TableContents"/>
              <w:bidi w:val="0"/>
              <w:spacing w:before="0" w:after="283"/>
              <w:jc w:val="left"/>
              <w:rPr/>
            </w:pPr>
            <w:r>
              <w:rPr/>
              <w:t>)</w:t>
            </w:r>
            <w:bookmarkStart w:id="1464" w:name="xdx_408_eus-gaap--LongTermDebtNoncurrent"/>
            <w:bookmarkEnd w:id="1464"/>
          </w:p>
        </w:tc>
      </w:tr>
      <w:tr>
        <w:trPr/>
        <w:tc>
          <w:tcPr>
            <w:tcW w:w="3560" w:type="dxa"/>
            <w:tcBorders/>
            <w:shd w:fill="FFFFFF" w:val="clear"/>
            <w:vAlign w:val="center"/>
          </w:tcPr>
          <w:p>
            <w:pPr>
              <w:pStyle w:val="TableContents"/>
              <w:bidi w:val="0"/>
              <w:spacing w:before="0" w:after="283"/>
              <w:jc w:val="left"/>
              <w:rPr/>
            </w:pPr>
            <w:r>
              <w:rPr/>
              <w:t>Noncurrent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1,099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1,282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465" w:name="xdx_8A6_zOqRFgNMDSD6"/>
      <w:bookmarkEnd w:id="1465"/>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entered into three notes payable with financial institutions for net proceeds of $</w:t>
      </w:r>
      <w:bookmarkStart w:id="1466" w:name="xdx_90C_eus-gaap--ProceedsFromNotesPayab"/>
      <w:bookmarkEnd w:id="1466"/>
      <w:r>
        <w:rPr>
          <w:rFonts w:ascii="Times New Roman;Times;Serif" w:hAnsi="Times New Roman;Times;Serif"/>
          <w:b w:val="false"/>
          <w:i w:val="false"/>
          <w:caps w:val="false"/>
          <w:smallCaps w:val="false"/>
          <w:sz w:val="20"/>
        </w:rPr>
        <w:t>1,734. The notes have terms of seven to eighteen months and require weekly payments, including finance charges, totaling $</w:t>
      </w:r>
      <w:bookmarkStart w:id="1467" w:name="xdx_903_eus-gaap--NotesPayable_iI_pn3n3_"/>
      <w:bookmarkEnd w:id="1467"/>
      <w:r>
        <w:rPr>
          <w:rFonts w:ascii="Times New Roman;Times;Serif" w:hAnsi="Times New Roman;Times;Serif"/>
          <w:b w:val="false"/>
          <w:i w:val="false"/>
          <w:caps w:val="false"/>
          <w:smallCaps w:val="false"/>
          <w:sz w:val="20"/>
        </w:rPr>
        <w:t>2,791. The notes are secured by substantially all of the Company’s assets and one note is guaranteed by an officer and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into four additional notes payable having an aggregate principal amount of $</w:t>
      </w:r>
      <w:bookmarkStart w:id="1468" w:name="xdx_900_eus-gaap--DebtInstrumentFaceAmou"/>
      <w:bookmarkEnd w:id="1468"/>
      <w:r>
        <w:rPr>
          <w:rFonts w:ascii="Times New Roman;Times;Serif" w:hAnsi="Times New Roman;Times;Serif"/>
          <w:b w:val="false"/>
          <w:i w:val="false"/>
          <w:caps w:val="false"/>
          <w:smallCaps w:val="false"/>
          <w:sz w:val="20"/>
        </w:rPr>
        <w:t>1,275 with unrelated investors to meet its working capital needs. Net proceeds from the issuance of the notes were $</w:t>
      </w:r>
      <w:bookmarkStart w:id="1469" w:name="xdx_90F_eus-gaap--ProceedsFromNotesPayab"/>
      <w:bookmarkEnd w:id="1469"/>
      <w:r>
        <w:rPr>
          <w:rFonts w:ascii="Times New Roman;Times;Serif" w:hAnsi="Times New Roman;Times;Serif"/>
          <w:b w:val="false"/>
          <w:i w:val="false"/>
          <w:caps w:val="false"/>
          <w:smallCaps w:val="false"/>
          <w:sz w:val="20"/>
        </w:rPr>
        <w:t xml:space="preserve">1,152. Two of the notes bear interest at rates ranging from </w:t>
      </w:r>
      <w:bookmarkStart w:id="1470" w:name="xdx_90B_eus-gaap--DebtInstrumentInterest"/>
      <w:bookmarkEnd w:id="1470"/>
      <w:r>
        <w:rPr>
          <w:rFonts w:ascii="Times New Roman;Times;Serif" w:hAnsi="Times New Roman;Times;Serif"/>
          <w:b w:val="false"/>
          <w:i w:val="false"/>
          <w:caps w:val="false"/>
          <w:smallCaps w:val="false"/>
          <w:sz w:val="20"/>
        </w:rPr>
        <w:t xml:space="preserve">7% to </w:t>
      </w:r>
      <w:bookmarkStart w:id="1471" w:name="xdx_905_eus-gaap--DebtInstrumentInterest"/>
      <w:bookmarkEnd w:id="1471"/>
      <w:r>
        <w:rPr>
          <w:rFonts w:ascii="Times New Roman;Times;Serif" w:hAnsi="Times New Roman;Times;Serif"/>
          <w:b w:val="false"/>
          <w:i w:val="false"/>
          <w:caps w:val="false"/>
          <w:smallCaps w:val="false"/>
          <w:sz w:val="20"/>
        </w:rPr>
        <w:t xml:space="preserve">12% per annum; the remaining notes were issued at a discount and bear no interest. </w:t>
      </w:r>
      <w:bookmarkStart w:id="1472" w:name="xdx_904_eus-gaap--DebtInstrumentMaturity"/>
      <w:bookmarkEnd w:id="1472"/>
      <w:r>
        <w:rPr>
          <w:rFonts w:ascii="Times New Roman;Times;Serif" w:hAnsi="Times New Roman;Times;Serif"/>
          <w:b w:val="false"/>
          <w:i w:val="false"/>
          <w:caps w:val="false"/>
          <w:smallCaps w:val="false"/>
          <w:sz w:val="20"/>
        </w:rPr>
        <w:t>The notes mature at various dates from February 2025 to August 2026. One note requires monthly principal payments of $</w:t>
      </w:r>
      <w:bookmarkStart w:id="1473" w:name="xdx_907_eus-gaap--DebtInstrumentPeriodic"/>
      <w:bookmarkEnd w:id="1473"/>
      <w:r>
        <w:rPr>
          <w:rFonts w:ascii="Times New Roman;Times;Serif" w:hAnsi="Times New Roman;Times;Serif"/>
          <w:b w:val="false"/>
          <w:i w:val="false"/>
          <w:caps w:val="false"/>
          <w:smallCaps w:val="false"/>
          <w:sz w:val="20"/>
        </w:rPr>
        <w:t>103 commencing in March 2026; the remainder of the notes require payment of the principal balance upon maturity. One note, having a principal amount of $</w:t>
      </w:r>
      <w:bookmarkStart w:id="1474" w:name="xdx_90B_eus-gaap--DebtInstrumentAnnualPr"/>
      <w:bookmarkEnd w:id="1474"/>
      <w:r>
        <w:rPr>
          <w:rFonts w:ascii="Times New Roman;Times;Serif" w:hAnsi="Times New Roman;Times;Serif"/>
          <w:b w:val="false"/>
          <w:i w:val="false"/>
          <w:caps w:val="false"/>
          <w:smallCaps w:val="false"/>
          <w:sz w:val="20"/>
        </w:rPr>
        <w:t>550, provides that the principal and accrued interest thereon, totaling $</w:t>
      </w:r>
      <w:bookmarkStart w:id="1475" w:name="xdx_905_eus-gaap--DebtDefaultLongtermDeb"/>
      <w:bookmarkEnd w:id="1475"/>
      <w:r>
        <w:rPr>
          <w:rFonts w:ascii="Times New Roman;Times;Serif" w:hAnsi="Times New Roman;Times;Serif"/>
          <w:b w:val="false"/>
          <w:i w:val="false"/>
          <w:caps w:val="false"/>
          <w:smallCaps w:val="false"/>
          <w:sz w:val="20"/>
        </w:rPr>
        <w:t xml:space="preserve">616, may at the option of the investor be converted into shares of the Company’s Class A Common Stock at any time prior to maturity in August 2026. The Company also entered into a stock pledge agreement with an investor, pursuant to which the Company issued </w:t>
      </w:r>
      <w:bookmarkStart w:id="1476" w:name="xdx_90C_eus-gaap--SharesIssued_iI_pn3n3_"/>
      <w:bookmarkEnd w:id="1476"/>
      <w:r>
        <w:rPr>
          <w:rFonts w:ascii="Times New Roman;Times;Serif" w:hAnsi="Times New Roman;Times;Serif"/>
          <w:b w:val="false"/>
          <w:i w:val="false"/>
          <w:caps w:val="false"/>
          <w:smallCaps w:val="false"/>
          <w:sz w:val="20"/>
        </w:rPr>
        <w:t>150,000 shares of its Class A Common Stock as security for the Company’s payment of amounts owed under the note. While such shares are held as collateral the investor is entitled to voting and other rights relating to the shares and, in the event of a default by the Company, the investor would be entitled to sell the pledged shares and apply the proceeds to the balance due under the note. Upon the Company’s repayment of the note, all interest in the pledged shares will revert to the Company.</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issuance of two notes payable, during the year ended September 30, 2025, the Company issued </w:t>
      </w:r>
      <w:bookmarkStart w:id="1477" w:name="xdx_902_eus-gaap--SharesIssued_iI_pn3n3_"/>
      <w:bookmarkEnd w:id="1477"/>
      <w:r>
        <w:rPr>
          <w:rFonts w:ascii="Times New Roman;Times;Serif" w:hAnsi="Times New Roman;Times;Serif"/>
          <w:b w:val="false"/>
          <w:i w:val="false"/>
          <w:caps w:val="false"/>
          <w:smallCaps w:val="false"/>
          <w:sz w:val="20"/>
        </w:rPr>
        <w:t>34,375 shares of its Class A Common Stock to the investors. The Company accounted for the shares at their fair value of $</w:t>
      </w:r>
      <w:bookmarkStart w:id="1478" w:name="xdx_905_eus-gaap--DebtInstrumentFairValu"/>
      <w:bookmarkEnd w:id="1478"/>
      <w:r>
        <w:rPr>
          <w:rFonts w:ascii="Times New Roman;Times;Serif" w:hAnsi="Times New Roman;Times;Serif"/>
          <w:b w:val="false"/>
          <w:i w:val="false"/>
          <w:caps w:val="false"/>
          <w:smallCaps w:val="false"/>
          <w:sz w:val="20"/>
        </w:rPr>
        <w:t>212 which was recorded as an increase to additional paid-in capital and as a discount to notes payable on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entered into three agreements for the purchase and sale of future receipts with unrelated buyers, pursuant to which the Company agreed to sell to the buyers certain future trade receipts in the aggregate amount of $</w:t>
      </w:r>
      <w:bookmarkStart w:id="1479" w:name="xdx_900_ecustom--FutureReceiptsPurchased"/>
      <w:bookmarkEnd w:id="1479"/>
      <w:r>
        <w:rPr>
          <w:rFonts w:ascii="Times New Roman;Times;Serif" w:hAnsi="Times New Roman;Times;Serif"/>
          <w:b w:val="false"/>
          <w:i w:val="false"/>
          <w:caps w:val="false"/>
          <w:smallCaps w:val="false"/>
          <w:sz w:val="20"/>
        </w:rPr>
        <w:t>4,417 (the “Future Receipts Purchased Amount”) for net proceeds to the Company of $</w:t>
      </w:r>
      <w:bookmarkStart w:id="1480" w:name="xdx_90B_eus-gaap--ProceedsFromIssuanceOf"/>
      <w:bookmarkEnd w:id="1480"/>
      <w:r>
        <w:rPr>
          <w:rFonts w:ascii="Times New Roman;Times;Serif" w:hAnsi="Times New Roman;Times;Serif"/>
          <w:b w:val="false"/>
          <w:i w:val="false"/>
          <w:caps w:val="false"/>
          <w:smallCaps w:val="false"/>
          <w:sz w:val="20"/>
        </w:rPr>
        <w:t>2,430.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March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entered into six promissory notes having an aggregate principal amount of $</w:t>
      </w:r>
      <w:bookmarkStart w:id="1481" w:name="xdx_900_eus-gaap--DebtInstrumentFaceAmou"/>
      <w:bookmarkEnd w:id="1481"/>
      <w:r>
        <w:rPr>
          <w:rFonts w:ascii="Times New Roman;Times;Serif" w:hAnsi="Times New Roman;Times;Serif"/>
          <w:b w:val="false"/>
          <w:i w:val="false"/>
          <w:caps w:val="false"/>
          <w:smallCaps w:val="false"/>
          <w:sz w:val="20"/>
        </w:rPr>
        <w:t>1,069 with unrelated investors to meet its working capital needs. The Company also issued convertible notes with an aggregate principal amount of $</w:t>
      </w:r>
      <w:bookmarkStart w:id="1482" w:name="xdx_904_eus-gaap--ConvertibleNotesPayabl"/>
      <w:bookmarkEnd w:id="1482"/>
      <w:r>
        <w:rPr>
          <w:rFonts w:ascii="Times New Roman;Times;Serif" w:hAnsi="Times New Roman;Times;Serif"/>
          <w:b w:val="false"/>
          <w:i w:val="false"/>
          <w:caps w:val="false"/>
          <w:smallCaps w:val="false"/>
          <w:sz w:val="20"/>
        </w:rPr>
        <w:t>200 to unrelated investors. Net proceeds from the issuance of the notes were $</w:t>
      </w:r>
      <w:bookmarkStart w:id="1483" w:name="xdx_903_eus-gaap--ProceedsFromNotesPayab"/>
      <w:bookmarkEnd w:id="1483"/>
      <w:r>
        <w:rPr>
          <w:rFonts w:ascii="Times New Roman;Times;Serif" w:hAnsi="Times New Roman;Times;Serif"/>
          <w:b w:val="false"/>
          <w:i w:val="false"/>
          <w:caps w:val="false"/>
          <w:smallCaps w:val="false"/>
          <w:sz w:val="20"/>
        </w:rPr>
        <w:t xml:space="preserve">1,198. The notes bear interest at rates ranging from </w:t>
      </w:r>
      <w:bookmarkStart w:id="1484" w:name="xdx_905_eus-gaap--DebtInstrumentInterest"/>
      <w:bookmarkEnd w:id="1484"/>
      <w:r>
        <w:rPr>
          <w:rFonts w:ascii="Times New Roman;Times;Serif" w:hAnsi="Times New Roman;Times;Serif"/>
          <w:b w:val="false"/>
          <w:i w:val="false"/>
          <w:caps w:val="false"/>
          <w:smallCaps w:val="false"/>
          <w:sz w:val="20"/>
        </w:rPr>
        <w:t xml:space="preserve">6% to </w:t>
      </w:r>
      <w:bookmarkStart w:id="1485" w:name="xdx_90F_eus-gaap--DebtInstrumentInterest"/>
      <w:bookmarkEnd w:id="1485"/>
      <w:r>
        <w:rPr>
          <w:rFonts w:ascii="Times New Roman;Times;Serif" w:hAnsi="Times New Roman;Times;Serif"/>
          <w:b w:val="false"/>
          <w:i w:val="false"/>
          <w:caps w:val="false"/>
          <w:smallCaps w:val="false"/>
          <w:sz w:val="20"/>
        </w:rPr>
        <w:t xml:space="preserve">76% per annum; one note was issued at a discount and bears no interest. </w:t>
      </w:r>
      <w:bookmarkStart w:id="1486" w:name="xdx_90E_eus-gaap--DebtInstrumentMaturity"/>
      <w:bookmarkEnd w:id="1486"/>
      <w:r>
        <w:rPr>
          <w:rFonts w:ascii="Times New Roman;Times;Serif" w:hAnsi="Times New Roman;Times;Serif"/>
          <w:b w:val="false"/>
          <w:i w:val="false"/>
          <w:caps w:val="false"/>
          <w:smallCaps w:val="false"/>
          <w:sz w:val="20"/>
        </w:rPr>
        <w:t>The notes mature at various dates through December 2024 and are unsecured. One note required weekly payments of $</w:t>
      </w:r>
      <w:bookmarkStart w:id="1487" w:name="xdx_90E_eus-gaap--DebtInstrumentPeriodic"/>
      <w:bookmarkEnd w:id="1487"/>
      <w:r>
        <w:rPr>
          <w:rFonts w:ascii="Times New Roman;Times;Serif" w:hAnsi="Times New Roman;Times;Serif"/>
          <w:b w:val="false"/>
          <w:i w:val="false"/>
          <w:caps w:val="false"/>
          <w:smallCaps w:val="false"/>
          <w:sz w:val="20"/>
        </w:rPr>
        <w:t xml:space="preserve">4. In connection with the Merger, all outstanding convertible notes were converted into </w:t>
      </w:r>
      <w:bookmarkStart w:id="1488" w:name="xdx_90A_eus-gaap--DebtConversionConverte"/>
      <w:bookmarkEnd w:id="1488"/>
      <w:r>
        <w:rPr>
          <w:rFonts w:ascii="Times New Roman;Times;Serif" w:hAnsi="Times New Roman;Times;Serif"/>
          <w:b w:val="false"/>
          <w:i w:val="false"/>
          <w:caps w:val="false"/>
          <w:smallCaps w:val="false"/>
          <w:sz w:val="20"/>
        </w:rPr>
        <w:t>3,004 shares of the Company’s Class A Common Stock and the $</w:t>
      </w:r>
      <w:bookmarkStart w:id="1489" w:name="xdx_90E_eus-gaap--DebtConversionConverte"/>
      <w:bookmarkEnd w:id="1489"/>
      <w:r>
        <w:rPr>
          <w:rFonts w:ascii="Times New Roman;Times;Serif" w:hAnsi="Times New Roman;Times;Serif"/>
          <w:b w:val="false"/>
          <w:i w:val="false"/>
          <w:caps w:val="false"/>
          <w:smallCaps w:val="false"/>
          <w:sz w:val="20"/>
        </w:rPr>
        <w:t>206 carrying amount of the notes and accrued interest thereon was credited to equity, with no gain or loss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2024, the Company issued immediately exercisable warrants to purchase an aggregate of </w:t>
      </w:r>
      <w:bookmarkStart w:id="1490" w:name="xdx_906_eus-gaap--ClassOfWarrantOrRightN"/>
      <w:bookmarkEnd w:id="1490"/>
      <w:r>
        <w:rPr>
          <w:rFonts w:ascii="Times New Roman;Times;Serif" w:hAnsi="Times New Roman;Times;Serif"/>
          <w:b w:val="false"/>
          <w:i w:val="false"/>
          <w:caps w:val="false"/>
          <w:smallCaps w:val="false"/>
          <w:sz w:val="20"/>
        </w:rPr>
        <w:t>20,196 shares of its common stock in connection with the issuance of certain notes. The warrants had exercise prices ranging from $</w:t>
      </w:r>
      <w:bookmarkStart w:id="1491" w:name="xdx_90C_eus-gaap--ClassOfWarrantOrRightE"/>
      <w:bookmarkEnd w:id="1491"/>
      <w:r>
        <w:rPr>
          <w:rFonts w:ascii="Times New Roman;Times;Serif" w:hAnsi="Times New Roman;Times;Serif"/>
          <w:b w:val="false"/>
          <w:i w:val="false"/>
          <w:caps w:val="false"/>
          <w:smallCaps w:val="false"/>
          <w:sz w:val="20"/>
        </w:rPr>
        <w:t>0.10 to $</w:t>
      </w:r>
      <w:bookmarkStart w:id="1492" w:name="xdx_90B_eus-gaap--ClassOfWarrantOrRightE"/>
      <w:bookmarkEnd w:id="1492"/>
      <w:r>
        <w:rPr>
          <w:rFonts w:ascii="Times New Roman;Times;Serif" w:hAnsi="Times New Roman;Times;Serif"/>
          <w:b w:val="false"/>
          <w:i w:val="false"/>
          <w:caps w:val="false"/>
          <w:smallCaps w:val="false"/>
          <w:sz w:val="20"/>
        </w:rPr>
        <w:t>20.00 per share and terms of one to two years. The Company evaluated the warrants and determined that they met all the requirements for equity classification under ASC 815. The Company accounted for each of the warrants as detachable warrants at their fair value, using the relative fair value method, and allocated $</w:t>
      </w:r>
      <w:bookmarkStart w:id="1493" w:name="xdx_90F_eus-gaap--ProceedsFromIssuanceOf"/>
      <w:bookmarkEnd w:id="1493"/>
      <w:r>
        <w:rPr>
          <w:rFonts w:ascii="Times New Roman;Times;Serif" w:hAnsi="Times New Roman;Times;Serif"/>
          <w:b w:val="false"/>
          <w:i w:val="false"/>
          <w:caps w:val="false"/>
          <w:smallCaps w:val="false"/>
          <w:sz w:val="20"/>
        </w:rPr>
        <w:t xml:space="preserve">155 of the proceeds to the warrants. This amount was recorded as an increase to additional paid-in capital and as a discount to notes payable on the consolidated balance sheets. The Company amortized the discount over the term of the related notes using the effective interest method. The Company valued the warrants at the time of issuance using the Black-Scholes option pricing model with the following assumptions: expected volatility of </w:t>
      </w:r>
      <w:bookmarkStart w:id="1494" w:name="xdx_900_eus-gaap--WarrantsAndRightsOutst"/>
      <w:bookmarkEnd w:id="1494"/>
      <w:r>
        <w:rPr>
          <w:rFonts w:ascii="Times New Roman;Times;Serif" w:hAnsi="Times New Roman;Times;Serif"/>
          <w:b w:val="false"/>
          <w:i w:val="false"/>
          <w:caps w:val="false"/>
          <w:smallCaps w:val="false"/>
          <w:sz w:val="20"/>
        </w:rPr>
        <w:t>55.0-</w:t>
      </w:r>
      <w:bookmarkStart w:id="1495" w:name="xdx_90A_eus-gaap--WarrantsAndRightsOutst"/>
      <w:bookmarkEnd w:id="1495"/>
      <w:r>
        <w:rPr>
          <w:rFonts w:ascii="Times New Roman;Times;Serif" w:hAnsi="Times New Roman;Times;Serif"/>
          <w:b w:val="false"/>
          <w:i w:val="false"/>
          <w:caps w:val="false"/>
          <w:smallCaps w:val="false"/>
          <w:sz w:val="20"/>
        </w:rPr>
        <w:t xml:space="preserve">55.6%; </w:t>
      </w:r>
      <w:bookmarkStart w:id="1496" w:name="xdx_90A_eus-gaap--WarrantsAndRightsOutst"/>
      <w:bookmarkEnd w:id="1496"/>
      <w:r>
        <w:rPr>
          <w:rFonts w:ascii="Times New Roman;Times;Serif" w:hAnsi="Times New Roman;Times;Serif"/>
          <w:b w:val="false"/>
          <w:i w:val="false"/>
          <w:caps w:val="false"/>
          <w:smallCaps w:val="false"/>
          <w:sz w:val="20"/>
        </w:rPr>
        <w:t xml:space="preserve">no expected dividend yield; risk-free interest rate of </w:t>
      </w:r>
      <w:bookmarkStart w:id="1497" w:name="xdx_90E_eus-gaap--WarrantsAndRightsOutst"/>
      <w:bookmarkEnd w:id="1497"/>
      <w:r>
        <w:rPr>
          <w:rFonts w:ascii="Times New Roman;Times;Serif" w:hAnsi="Times New Roman;Times;Serif"/>
          <w:b w:val="false"/>
          <w:i w:val="false"/>
          <w:caps w:val="false"/>
          <w:smallCaps w:val="false"/>
          <w:sz w:val="20"/>
        </w:rPr>
        <w:t>4.7-</w:t>
      </w:r>
      <w:bookmarkStart w:id="1498" w:name="xdx_90A_eus-gaap--WarrantsAndRightsOutst"/>
      <w:bookmarkEnd w:id="1498"/>
      <w:r>
        <w:rPr>
          <w:rFonts w:ascii="Times New Roman;Times;Serif" w:hAnsi="Times New Roman;Times;Serif"/>
          <w:b w:val="false"/>
          <w:i w:val="false"/>
          <w:caps w:val="false"/>
          <w:smallCaps w:val="false"/>
          <w:sz w:val="20"/>
        </w:rPr>
        <w:t>5.3%; and expected term of one</w:t>
      </w:r>
      <w:bookmarkStart w:id="1499" w:name="xdx_901_eus-gaap--WarrantsAndRightsOutst"/>
      <w:bookmarkEnd w:id="1499"/>
      <w:r>
        <w:rPr>
          <w:rFonts w:ascii="Times New Roman;Times;Serif" w:hAnsi="Times New Roman;Times;Serif"/>
          <w:b w:val="false"/>
          <w:i w:val="false"/>
          <w:caps w:val="false"/>
          <w:smallCaps w:val="false"/>
          <w:sz w:val="18"/>
        </w:rPr>
        <w:t>1</w:t>
      </w:r>
      <w:r>
        <w:rPr>
          <w:rFonts w:ascii="Times New Roman;Times;Serif" w:hAnsi="Times New Roman;Times;Serif"/>
          <w:b w:val="false"/>
          <w:i w:val="false"/>
          <w:caps w:val="false"/>
          <w:smallCaps w:val="false"/>
          <w:sz w:val="20"/>
        </w:rPr>
        <w:t xml:space="preserve"> to </w:t>
      </w:r>
      <w:bookmarkStart w:id="1500" w:name="xdx_90A_eus-gaap--WarrantsAndRightsOutst"/>
      <w:bookmarkEnd w:id="1500"/>
      <w:r>
        <w:rPr>
          <w:rFonts w:ascii="Times New Roman;Times;Serif" w:hAnsi="Times New Roman;Times;Serif"/>
          <w:b w:val="false"/>
          <w:i w:val="false"/>
          <w:caps w:val="false"/>
          <w:smallCaps w:val="false"/>
          <w:sz w:val="20"/>
        </w:rPr>
        <w:t>two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and the holders of three notes agreed to settle the outstanding principal and accrued interest, totaling $</w:t>
      </w:r>
      <w:bookmarkStart w:id="1501" w:name="xdx_905_eus-gaap--DebtConversionConverte"/>
      <w:bookmarkEnd w:id="1501"/>
      <w:r>
        <w:rPr>
          <w:rFonts w:ascii="Times New Roman;Times;Serif" w:hAnsi="Times New Roman;Times;Serif"/>
          <w:b w:val="false"/>
          <w:i w:val="false"/>
          <w:caps w:val="false"/>
          <w:smallCaps w:val="false"/>
          <w:sz w:val="20"/>
        </w:rPr>
        <w:t xml:space="preserve">661, in exchange for </w:t>
      </w:r>
      <w:bookmarkStart w:id="1502" w:name="xdx_904_eus-gaap--DebtConversionConverte"/>
      <w:bookmarkEnd w:id="1502"/>
      <w:r>
        <w:rPr>
          <w:rFonts w:ascii="Times New Roman;Times;Serif" w:hAnsi="Times New Roman;Times;Serif"/>
          <w:b w:val="false"/>
          <w:i w:val="false"/>
          <w:caps w:val="false"/>
          <w:smallCaps w:val="false"/>
          <w:sz w:val="20"/>
        </w:rPr>
        <w:t>79,868 shares of the Company’s Class A Common Stock. The Company recognized a loss on the extinguishment of debt of $</w:t>
      </w:r>
      <w:bookmarkStart w:id="1503" w:name="xdx_90B_eus-gaap--GainsLossesOnExtinguis"/>
      <w:bookmarkEnd w:id="1503"/>
      <w:r>
        <w:rPr>
          <w:rFonts w:ascii="Times New Roman;Times;Serif" w:hAnsi="Times New Roman;Times;Serif"/>
          <w:b w:val="false"/>
          <w:i w:val="false"/>
          <w:caps w:val="false"/>
          <w:smallCaps w:val="false"/>
          <w:sz w:val="20"/>
        </w:rPr>
        <w:t>300, which is included in “Other non-operating losses, net”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2025 and 2024 the Company made principal payments of $</w:t>
      </w:r>
      <w:bookmarkStart w:id="1504" w:name="xdx_905_eus-gaap--DebtInstrumentAnnualPr"/>
      <w:bookmarkEnd w:id="1504"/>
      <w:r>
        <w:rPr>
          <w:rFonts w:ascii="Times New Roman;Times;Serif" w:hAnsi="Times New Roman;Times;Serif"/>
          <w:b w:val="false"/>
          <w:i w:val="false"/>
          <w:caps w:val="false"/>
          <w:smallCaps w:val="false"/>
          <w:sz w:val="20"/>
        </w:rPr>
        <w:t>1,215 and $</w:t>
      </w:r>
      <w:bookmarkStart w:id="1505" w:name="xdx_90E_eus-gaap--DebtInstrumentAnnualPr"/>
      <w:bookmarkEnd w:id="1505"/>
      <w:r>
        <w:rPr>
          <w:rFonts w:ascii="Times New Roman;Times;Serif" w:hAnsi="Times New Roman;Times;Serif"/>
          <w:b w:val="false"/>
          <w:i w:val="false"/>
          <w:caps w:val="false"/>
          <w:smallCaps w:val="false"/>
          <w:sz w:val="20"/>
        </w:rPr>
        <w:t>1,749, respectively, on notes payable. As of September 30, 2025, notes payable having a remaining principal balance of $</w:t>
      </w:r>
      <w:bookmarkStart w:id="1506" w:name="xdx_905_ecustom--DebtInstrumentRemaining"/>
      <w:bookmarkEnd w:id="1506"/>
      <w:r>
        <w:rPr>
          <w:rFonts w:ascii="Times New Roman;Times;Serif" w:hAnsi="Times New Roman;Times;Serif"/>
          <w:b w:val="false"/>
          <w:i w:val="false"/>
          <w:caps w:val="false"/>
          <w:smallCaps w:val="false"/>
          <w:sz w:val="20"/>
        </w:rPr>
        <w:t>4,264 were outstanding and are included in “Notes payable, current” at a carrying amount of $</w:t>
      </w:r>
      <w:bookmarkStart w:id="1507" w:name="xdx_90C_eus-gaap--DebtInstrumentCarrying"/>
      <w:bookmarkEnd w:id="1507"/>
      <w:r>
        <w:rPr>
          <w:rFonts w:ascii="Times New Roman;Times;Serif" w:hAnsi="Times New Roman;Times;Serif"/>
          <w:b w:val="false"/>
          <w:i w:val="false"/>
          <w:caps w:val="false"/>
          <w:smallCaps w:val="false"/>
          <w:sz w:val="20"/>
        </w:rPr>
        <w:t>3,934 (net of unamortized discount of $</w:t>
      </w:r>
      <w:bookmarkStart w:id="1508" w:name="xdx_907_eus-gaap--DebtInstrumentUnamorti"/>
      <w:bookmarkEnd w:id="1508"/>
      <w:r>
        <w:rPr>
          <w:rFonts w:ascii="Times New Roman;Times;Serif" w:hAnsi="Times New Roman;Times;Serif"/>
          <w:b w:val="false"/>
          <w:i w:val="false"/>
          <w:caps w:val="false"/>
          <w:smallCaps w:val="false"/>
          <w:sz w:val="20"/>
        </w:rPr>
        <w:t>330) in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 Promissory Notes —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two outstanding promissory notes with related parties which the Company assumed in 2020 as part of an asset acquisition. The promissory notes bear interest at </w:t>
      </w:r>
      <w:bookmarkStart w:id="1509" w:name="xdx_909_eus-gaap--DebtInstrumentInterest"/>
      <w:bookmarkEnd w:id="1509"/>
      <w:r>
        <w:rPr>
          <w:rFonts w:ascii="Times New Roman;Times;Serif" w:hAnsi="Times New Roman;Times;Serif"/>
          <w:b w:val="false"/>
          <w:i w:val="false"/>
          <w:caps w:val="false"/>
          <w:smallCaps w:val="false"/>
          <w:sz w:val="20"/>
        </w:rPr>
        <w:t xml:space="preserve">7% per annum and are unsecured. During the year ended September 30, 2025, the Company and the holders of the </w:t>
      </w:r>
      <w:bookmarkStart w:id="1510" w:name="xdx_90B_eus-gaap--DebtInstrumentInterest"/>
      <w:bookmarkEnd w:id="1510"/>
      <w:r>
        <w:rPr>
          <w:rFonts w:ascii="Times New Roman;Times;Serif" w:hAnsi="Times New Roman;Times;Serif"/>
          <w:b w:val="false"/>
          <w:i w:val="false"/>
          <w:caps w:val="false"/>
          <w:smallCaps w:val="false"/>
          <w:sz w:val="20"/>
        </w:rPr>
        <w:t>7% promissory notes each agreed to extend the payment terms, such that the outstanding principal and accrued interest will be repaid in monthly payments of varying amounts through March 2027, with the remaining principal balance of $</w:t>
      </w:r>
      <w:bookmarkStart w:id="1511" w:name="xdx_903_eus-gaap--DebtInstrumentPeriodic"/>
      <w:bookmarkEnd w:id="1511"/>
      <w:r>
        <w:rPr>
          <w:rFonts w:ascii="Times New Roman;Times;Serif" w:hAnsi="Times New Roman;Times;Serif"/>
          <w:b w:val="false"/>
          <w:i w:val="false"/>
          <w:caps w:val="false"/>
          <w:smallCaps w:val="false"/>
          <w:sz w:val="20"/>
        </w:rPr>
        <w:t>979 payable on May 15, 2027. As a result of these agreements, the Company has reclassified $</w:t>
      </w:r>
      <w:bookmarkStart w:id="1512" w:name="xdx_903_eus-gaap--LongTermNotesPayable_i"/>
      <w:bookmarkEnd w:id="1512"/>
      <w:r>
        <w:rPr>
          <w:rFonts w:ascii="Times New Roman;Times;Serif" w:hAnsi="Times New Roman;Times;Serif"/>
          <w:b w:val="false"/>
          <w:i w:val="false"/>
          <w:caps w:val="false"/>
          <w:smallCaps w:val="false"/>
          <w:sz w:val="20"/>
        </w:rPr>
        <w:t xml:space="preserve">1,099 of the outstanding principal balance of the </w:t>
      </w:r>
      <w:bookmarkStart w:id="1513" w:name="xdx_905_eus-gaap--DebtInstrumentInterest"/>
      <w:bookmarkEnd w:id="1513"/>
      <w:r>
        <w:rPr>
          <w:rFonts w:ascii="Times New Roman;Times;Serif" w:hAnsi="Times New Roman;Times;Serif"/>
          <w:b w:val="false"/>
          <w:i w:val="false"/>
          <w:caps w:val="false"/>
          <w:smallCaps w:val="false"/>
          <w:sz w:val="20"/>
        </w:rPr>
        <w:t xml:space="preserve">7% promissory notes to “Notes payable — related parties, noncurrent” in the consolidated balance sheet as of September 30, 2025. The portion of the </w:t>
      </w:r>
      <w:bookmarkStart w:id="1514" w:name="xdx_906_eus-gaap--DebtInstrumentInterest"/>
      <w:bookmarkEnd w:id="1514"/>
      <w:r>
        <w:rPr>
          <w:rFonts w:ascii="Times New Roman;Times;Serif" w:hAnsi="Times New Roman;Times;Serif"/>
          <w:b w:val="false"/>
          <w:i w:val="false"/>
          <w:caps w:val="false"/>
          <w:smallCaps w:val="false"/>
          <w:sz w:val="20"/>
        </w:rPr>
        <w:t>7% promissory notes due within one year is included in “Notes payable — related parties, current” in the consolidated balance sheets. During the years ended September 30, 2025 and 2024, the Company made principal payments of $</w:t>
      </w:r>
      <w:bookmarkStart w:id="1515" w:name="xdx_908_eus-gaap--DebtInstrumentPeriodic"/>
      <w:bookmarkEnd w:id="1515"/>
      <w:r>
        <w:rPr>
          <w:rFonts w:ascii="Times New Roman;Times;Serif" w:hAnsi="Times New Roman;Times;Serif"/>
          <w:b w:val="false"/>
          <w:i w:val="false"/>
          <w:caps w:val="false"/>
          <w:smallCaps w:val="false"/>
          <w:sz w:val="20"/>
        </w:rPr>
        <w:t>244 and $</w:t>
      </w:r>
      <w:bookmarkStart w:id="1516" w:name="xdx_90C_eus-gaap--DebtInstrumentPeriodic"/>
      <w:bookmarkEnd w:id="1516"/>
      <w:r>
        <w:rPr>
          <w:rFonts w:ascii="Times New Roman;Times;Serif" w:hAnsi="Times New Roman;Times;Serif"/>
          <w:b w:val="false"/>
          <w:i w:val="false"/>
          <w:caps w:val="false"/>
          <w:smallCaps w:val="false"/>
          <w:sz w:val="20"/>
        </w:rPr>
        <w:t xml:space="preserve">854 on the </w:t>
      </w:r>
      <w:bookmarkStart w:id="1517" w:name="xdx_909_eus-gaap--DebtInstrumentInterest"/>
      <w:bookmarkEnd w:id="1517"/>
      <w:r>
        <w:rPr>
          <w:rFonts w:ascii="Times New Roman;Times;Serif" w:hAnsi="Times New Roman;Times;Serif"/>
          <w:b w:val="false"/>
          <w:i w:val="false"/>
          <w:caps w:val="false"/>
          <w:smallCaps w:val="false"/>
          <w:sz w:val="20"/>
        </w:rPr>
        <w:t>7% promissory notes.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entered into two promissory notes having an aggregate principal amount of $</w:t>
      </w:r>
      <w:bookmarkStart w:id="1518" w:name="xdx_906_eus-gaap--DebtInstrumentFaceAmou"/>
      <w:bookmarkEnd w:id="1518"/>
      <w:r>
        <w:rPr>
          <w:rFonts w:ascii="Times New Roman;Times;Serif" w:hAnsi="Times New Roman;Times;Serif"/>
          <w:b w:val="false"/>
          <w:i w:val="false"/>
          <w:caps w:val="false"/>
          <w:smallCaps w:val="false"/>
          <w:sz w:val="20"/>
        </w:rPr>
        <w:t>495 with a related party to meet its working capital needs. Net proceeds from the issuance of the notes were $</w:t>
      </w:r>
      <w:bookmarkStart w:id="1519" w:name="xdx_903_eus-gaap--ProceedsFromNotesPayab"/>
      <w:bookmarkEnd w:id="1519"/>
      <w:r>
        <w:rPr>
          <w:rFonts w:ascii="Times New Roman;Times;Serif" w:hAnsi="Times New Roman;Times;Serif"/>
          <w:b w:val="false"/>
          <w:i w:val="false"/>
          <w:caps w:val="false"/>
          <w:smallCaps w:val="false"/>
          <w:sz w:val="20"/>
        </w:rPr>
        <w:t xml:space="preserve">450. </w:t>
      </w:r>
      <w:bookmarkStart w:id="1520" w:name="xdx_905_eus-gaap--DebtInstrumentMaturity"/>
      <w:bookmarkEnd w:id="1520"/>
      <w:r>
        <w:rPr>
          <w:rFonts w:ascii="Times New Roman;Times;Serif" w:hAnsi="Times New Roman;Times;Serif"/>
          <w:b w:val="false"/>
          <w:i w:val="false"/>
          <w:caps w:val="false"/>
          <w:smallCaps w:val="false"/>
          <w:sz w:val="20"/>
        </w:rPr>
        <w:t>The notes bear no interest, are unsecured and matured at various dates through November 2024. The Company repaid one of the notes, having a principal balance of $</w:t>
      </w:r>
      <w:bookmarkStart w:id="1521" w:name="xdx_90A_eus-gaap--RepaymentsOfNotesPayab"/>
      <w:bookmarkEnd w:id="1521"/>
      <w:r>
        <w:rPr>
          <w:rFonts w:ascii="Times New Roman;Times;Serif" w:hAnsi="Times New Roman;Times;Serif"/>
          <w:b w:val="false"/>
          <w:i w:val="false"/>
          <w:caps w:val="false"/>
          <w:smallCaps w:val="false"/>
          <w:sz w:val="20"/>
        </w:rPr>
        <w:t>165, during the year ended September 30, 2024 and repaid the remaining note, having a principal balance of $</w:t>
      </w:r>
      <w:bookmarkStart w:id="1522" w:name="xdx_908_eus-gaap--RepaymentsOfNotesPayab"/>
      <w:bookmarkEnd w:id="1522"/>
      <w:r>
        <w:rPr>
          <w:rFonts w:ascii="Times New Roman;Times;Serif" w:hAnsi="Times New Roman;Times;Serif"/>
          <w:b w:val="false"/>
          <w:i w:val="false"/>
          <w:caps w:val="false"/>
          <w:smallCaps w:val="false"/>
          <w:sz w:val="20"/>
        </w:rPr>
        <w:t>330, during the year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23" w:name="xdx_80A_eus-gaap--LesseeOperatingLeasesT"/>
      <w:bookmarkEnd w:id="1523"/>
      <w:r>
        <w:rPr>
          <w:rFonts w:ascii="Times New Roman;Times;Serif" w:hAnsi="Times New Roman;Times;Serif"/>
          <w:b/>
          <w:i w:val="false"/>
          <w:caps w:val="false"/>
          <w:smallCaps w:val="false"/>
          <w:sz w:val="20"/>
        </w:rPr>
        <w:t xml:space="preserve">Note 11 — </w:t>
      </w:r>
      <w:bookmarkStart w:id="1524" w:name="xdx_82A_z90Voj1TlFw9"/>
      <w:bookmarkEnd w:id="1524"/>
      <w:r>
        <w:rPr>
          <w:rFonts w:ascii="Times New Roman;Times;Serif" w:hAnsi="Times New Roman;Times;Serif"/>
          <w:b/>
          <w:i w:val="false"/>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entered into operating leases for office space. </w:t>
      </w:r>
      <w:bookmarkStart w:id="1525" w:name="xdx_904_eus-gaap--LesseeOperatingLeaseOp"/>
      <w:bookmarkEnd w:id="1525"/>
      <w:r>
        <w:rPr>
          <w:rFonts w:ascii="Times New Roman;Times;Serif" w:hAnsi="Times New Roman;Times;Serif"/>
          <w:b w:val="false"/>
          <w:i w:val="false"/>
          <w:caps w:val="false"/>
          <w:smallCaps w:val="false"/>
          <w:sz w:val="20"/>
        </w:rPr>
        <w:t>The leases have remaining terms ranging from three months to 1.8 years and expire at various dates through July 2027. The leases do not contain residual value guarantees or restrictive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entered into new or amended leases relating to four properties. In connection with these leases, the Company recognized additional right-of-use assets and operating lease liabilities of $</w:t>
      </w:r>
      <w:bookmarkStart w:id="1526" w:name="xdx_908_eus-gaap--OperatingLeaseRightOfU"/>
      <w:bookmarkStart w:id="1527" w:name="xdx_905_eus-gaap--OperatingLeaseLiabilit"/>
      <w:bookmarkEnd w:id="1526"/>
      <w:bookmarkEnd w:id="1527"/>
      <w:r>
        <w:rPr>
          <w:rFonts w:ascii="Times New Roman;Times;Serif" w:hAnsi="Times New Roman;Times;Serif"/>
          <w:b w:val="false"/>
          <w:i w:val="false"/>
          <w:caps w:val="false"/>
          <w:smallCaps w:val="false"/>
          <w:sz w:val="20"/>
        </w:rPr>
        <w:t>528. The Company also modified the lease on one property it occupies in Lowell, Massachusetts to reduce the remaining lease term. As a result of the modification, the Company recognized an $</w:t>
      </w:r>
      <w:bookmarkStart w:id="1528" w:name="xdx_908_eus-gaap--OperatingLeaseLiabilit"/>
      <w:bookmarkStart w:id="1529" w:name="xdx_904_eus-gaap--OperatingLeaseRightOfU"/>
      <w:bookmarkEnd w:id="1528"/>
      <w:bookmarkEnd w:id="1529"/>
      <w:r>
        <w:rPr>
          <w:rFonts w:ascii="Times New Roman;Times;Serif" w:hAnsi="Times New Roman;Times;Serif"/>
          <w:b w:val="false"/>
          <w:i w:val="false"/>
          <w:caps w:val="false"/>
          <w:smallCaps w:val="false"/>
          <w:sz w:val="20"/>
        </w:rPr>
        <w:t>86 reduction in the related ROU asset and operating lease liability. There were no leases that had not yet commenced as of September 30, 2025 that will create significant additional rights and obligations for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2025, the Company vacated a leased </w:t>
      </w:r>
      <w:bookmarkStart w:id="1530" w:name="xdx_905_eus-gaap--AreaOfLand_iI_uSqft_c2"/>
      <w:bookmarkEnd w:id="1530"/>
      <w:r>
        <w:rPr>
          <w:rFonts w:ascii="Times New Roman;Times;Serif" w:hAnsi="Times New Roman;Times;Serif"/>
          <w:b w:val="false"/>
          <w:i w:val="false"/>
          <w:caps w:val="false"/>
          <w:smallCaps w:val="false"/>
          <w:sz w:val="20"/>
        </w:rPr>
        <w:t xml:space="preserve">19,436 square foot office in Irvine, California, having a remaining lease term of </w:t>
      </w:r>
      <w:bookmarkStart w:id="1531" w:name="xdx_903_eus-gaap--LesseeOperatingLeaseRe"/>
      <w:bookmarkEnd w:id="1531"/>
      <w:r>
        <w:rPr>
          <w:rFonts w:ascii="Times New Roman;Times;Serif" w:hAnsi="Times New Roman;Times;Serif"/>
          <w:b w:val="false"/>
          <w:i w:val="false"/>
          <w:caps w:val="false"/>
          <w:smallCaps w:val="false"/>
          <w:sz w:val="20"/>
        </w:rPr>
        <w:t>2.4 years and in April 2025 the lease was terminated. As a result of the termination of the lease, the Company recognized an impairment loss of $</w:t>
      </w:r>
      <w:bookmarkStart w:id="1532" w:name="xdx_905_eus-gaap--OperatingLeaseImpairme"/>
      <w:bookmarkEnd w:id="1532"/>
      <w:r>
        <w:rPr>
          <w:rFonts w:ascii="Times New Roman;Times;Serif" w:hAnsi="Times New Roman;Times;Serif"/>
          <w:b w:val="false"/>
          <w:i w:val="false"/>
          <w:caps w:val="false"/>
          <w:smallCaps w:val="false"/>
          <w:sz w:val="20"/>
        </w:rPr>
        <w:t>725 to reduce the carrying value of this asset group to its estimated fair value. The resulting impairment loss is included in “Impairment of long-lived assets”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33" w:name="xdx_89F_eus-gaap--LeaseCostTableTextBloc"/>
      <w:bookmarkEnd w:id="1533"/>
      <w:r>
        <w:rPr>
          <w:rFonts w:ascii="Times New Roman;Times;Serif" w:hAnsi="Times New Roman;Times;Serif"/>
          <w:b w:val="false"/>
          <w:i w:val="false"/>
          <w:caps w:val="false"/>
          <w:smallCaps w:val="false"/>
          <w:sz w:val="20"/>
        </w:rPr>
        <w:t>The following lease costs are included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bookmarkStart w:id="1534" w:name="xdx_8B4_ztwj4aJ6QAsc"/>
      <w:bookmarkEnd w:id="1534"/>
      <w:r>
        <w:rPr>
          <w:rFonts w:ascii="Times New Roman;Times;Serif" w:hAnsi="Times New Roman;Times;Serif"/>
          <w:b w:val="false"/>
          <w:i w:val="false"/>
          <w:caps w:val="false"/>
          <w:smallCaps w:val="false"/>
          <w:sz w:val="20"/>
        </w:rPr>
        <w:t>Schedule of Lease Costs </w:t>
      </w:r>
    </w:p>
    <w:tbl>
      <w:tblPr>
        <w:tblW w:w="3609" w:type="dxa"/>
        <w:jc w:val="left"/>
        <w:tblInd w:w="0" w:type="dxa"/>
        <w:tblLayout w:type="fixed"/>
        <w:tblCellMar>
          <w:top w:w="0" w:type="dxa"/>
          <w:left w:w="0" w:type="dxa"/>
          <w:bottom w:w="0" w:type="dxa"/>
          <w:right w:w="0" w:type="dxa"/>
        </w:tblCellMar>
      </w:tblPr>
      <w:tblGrid>
        <w:gridCol w:w="2000"/>
        <w:gridCol w:w="60"/>
        <w:gridCol w:w="178"/>
        <w:gridCol w:w="483"/>
        <w:gridCol w:w="76"/>
        <w:gridCol w:w="76"/>
        <w:gridCol w:w="178"/>
        <w:gridCol w:w="483"/>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35" w:name="xdx_49E_20241001__20250930_zGYiCohPX2Qb"/>
            <w:bookmarkEnd w:id="1535"/>
          </w:p>
        </w:tc>
        <w:tc>
          <w:tcPr>
            <w:tcW w:w="6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bookmarkStart w:id="1536" w:name="xdx_49B_20231001__20240930_z7Ux0UzLqike"/>
            <w:bookmarkEnd w:id="1536"/>
          </w:p>
        </w:tc>
        <w:tc>
          <w:tcPr>
            <w:tcW w:w="6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661"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1537" w:name="xdx_40E_eus-gaap--OperatingLeaseCost_pn3"/>
            <w:bookmarkEnd w:id="1537"/>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483" w:type="dxa"/>
            <w:tcBorders/>
            <w:shd w:fill="CCEEFF" w:val="clear"/>
            <w:vAlign w:val="center"/>
          </w:tcPr>
          <w:p>
            <w:pPr>
              <w:pStyle w:val="TableContents"/>
              <w:bidi w:val="0"/>
              <w:spacing w:before="0" w:after="283"/>
              <w:jc w:val="right"/>
              <w:rPr/>
            </w:pPr>
            <w:r>
              <w:rPr/>
              <w:t>546</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483" w:type="dxa"/>
            <w:tcBorders/>
            <w:shd w:fill="CCEEFF" w:val="clear"/>
            <w:vAlign w:val="center"/>
          </w:tcPr>
          <w:p>
            <w:pPr>
              <w:pStyle w:val="TableContents"/>
              <w:bidi w:val="0"/>
              <w:spacing w:before="0" w:after="283"/>
              <w:jc w:val="right"/>
              <w:rPr/>
            </w:pPr>
            <w:r>
              <w:rPr/>
              <w:t>429</w:t>
            </w:r>
          </w:p>
        </w:tc>
        <w:tc>
          <w:tcPr>
            <w:tcW w:w="75" w:type="dxa"/>
            <w:tcBorders/>
            <w:shd w:fill="CCEEFF" w:val="clear"/>
            <w:vAlign w:val="center"/>
          </w:tcPr>
          <w:p>
            <w:pPr>
              <w:pStyle w:val="TableContents"/>
              <w:bidi w:val="0"/>
              <w:spacing w:before="0" w:after="283"/>
              <w:jc w:val="left"/>
              <w:rPr/>
            </w:pPr>
            <w:r>
              <w:rPr/>
              <w:t> </w:t>
            </w:r>
            <w:bookmarkStart w:id="1538" w:name="xdx_405_eus-gaap--ShortTermLeaseCost_pn3"/>
            <w:bookmarkEnd w:id="1538"/>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3" w:type="dxa"/>
            <w:tcBorders>
              <w:bottom w:val="single" w:sz="8" w:space="0" w:color="000000"/>
            </w:tcBorders>
            <w:shd w:fill="FFFFFF" w:val="clear"/>
            <w:tcMar>
              <w:bottom w:w="28" w:type="dxa"/>
            </w:tcMar>
            <w:vAlign w:val="center"/>
          </w:tcPr>
          <w:p>
            <w:pPr>
              <w:pStyle w:val="TableContents"/>
              <w:bidi w:val="0"/>
              <w:spacing w:before="0" w:after="283"/>
              <w:jc w:val="right"/>
              <w:rPr/>
            </w:pPr>
            <w:r>
              <w:rPr/>
              <w:t>42</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3" w:type="dxa"/>
            <w:tcBorders>
              <w:bottom w:val="single" w:sz="8" w:space="0" w:color="000000"/>
            </w:tcBorders>
            <w:shd w:fill="FFFFFF" w:val="clear"/>
            <w:tcMar>
              <w:bottom w:w="28" w:type="dxa"/>
            </w:tcMar>
            <w:vAlign w:val="center"/>
          </w:tcPr>
          <w:p>
            <w:pPr>
              <w:pStyle w:val="TableContents"/>
              <w:bidi w:val="0"/>
              <w:spacing w:before="0" w:after="283"/>
              <w:jc w:val="right"/>
              <w:rPr/>
            </w:pPr>
            <w:r>
              <w:rPr/>
              <w:t>135</w:t>
            </w:r>
          </w:p>
        </w:tc>
        <w:tc>
          <w:tcPr>
            <w:tcW w:w="75" w:type="dxa"/>
            <w:tcBorders/>
            <w:shd w:fill="FFFFFF" w:val="clear"/>
            <w:vAlign w:val="center"/>
          </w:tcPr>
          <w:p>
            <w:pPr>
              <w:pStyle w:val="TableContents"/>
              <w:bidi w:val="0"/>
              <w:spacing w:before="0" w:after="283"/>
              <w:jc w:val="left"/>
              <w:rPr/>
            </w:pPr>
            <w:r>
              <w:rPr/>
              <w:t> </w:t>
            </w:r>
            <w:bookmarkStart w:id="1539" w:name="xdx_40E_eus-gaap--LeaseCost_iT_pn3n3_mtL"/>
            <w:bookmarkEnd w:id="1539"/>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3" w:type="dxa"/>
            <w:tcBorders>
              <w:bottom w:val="double" w:sz="6" w:space="0" w:color="000000"/>
            </w:tcBorders>
            <w:shd w:fill="CCEEFF" w:val="clear"/>
            <w:tcMar>
              <w:bottom w:w="28" w:type="dxa"/>
            </w:tcMar>
            <w:vAlign w:val="center"/>
          </w:tcPr>
          <w:p>
            <w:pPr>
              <w:pStyle w:val="TableContents"/>
              <w:bidi w:val="0"/>
              <w:spacing w:before="0" w:after="283"/>
              <w:jc w:val="right"/>
              <w:rPr/>
            </w:pPr>
            <w:r>
              <w:rPr/>
              <w:t>588</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3" w:type="dxa"/>
            <w:tcBorders>
              <w:bottom w:val="double" w:sz="6" w:space="0" w:color="000000"/>
            </w:tcBorders>
            <w:shd w:fill="CCEEFF" w:val="clear"/>
            <w:tcMar>
              <w:bottom w:w="28" w:type="dxa"/>
            </w:tcMar>
            <w:vAlign w:val="center"/>
          </w:tcPr>
          <w:p>
            <w:pPr>
              <w:pStyle w:val="TableContents"/>
              <w:bidi w:val="0"/>
              <w:spacing w:before="0" w:after="283"/>
              <w:jc w:val="right"/>
              <w:rPr/>
            </w:pPr>
            <w:r>
              <w:rPr/>
              <w:t>564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540" w:name="xdx_8A1_zriczbDSU4ob"/>
      <w:bookmarkEnd w:id="154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for the years ended September 30, 2025 and 2024 was $</w:t>
      </w:r>
      <w:bookmarkStart w:id="1541" w:name="xdx_90B_eus-gaap--OperatingLeasePayments"/>
      <w:bookmarkEnd w:id="1541"/>
      <w:r>
        <w:rPr>
          <w:rFonts w:ascii="Times New Roman;Times;Serif" w:hAnsi="Times New Roman;Times;Serif"/>
          <w:b w:val="false"/>
          <w:i w:val="false"/>
          <w:caps w:val="false"/>
          <w:smallCaps w:val="false"/>
          <w:sz w:val="20"/>
        </w:rPr>
        <w:t>549 and $</w:t>
      </w:r>
      <w:bookmarkStart w:id="1542" w:name="xdx_901_eus-gaap--OperatingLeasePayments"/>
      <w:bookmarkEnd w:id="1542"/>
      <w:r>
        <w:rPr>
          <w:rFonts w:ascii="Times New Roman;Times;Serif" w:hAnsi="Times New Roman;Times;Serif"/>
          <w:b w:val="false"/>
          <w:i w:val="false"/>
          <w:caps w:val="false"/>
          <w:smallCaps w:val="false"/>
          <w:sz w:val="20"/>
        </w:rPr>
        <w:t xml:space="preserve">563, respectively. As of September 30, 2025, the weighted-average remaining lease term was </w:t>
      </w:r>
      <w:bookmarkStart w:id="1543" w:name="xdx_90B_eus-gaap--OperatingLeaseWeighted"/>
      <w:bookmarkEnd w:id="1543"/>
      <w:r>
        <w:rPr>
          <w:rFonts w:ascii="Times New Roman;Times;Serif" w:hAnsi="Times New Roman;Times;Serif"/>
          <w:b w:val="false"/>
          <w:i w:val="false"/>
          <w:caps w:val="false"/>
          <w:smallCaps w:val="false"/>
          <w:sz w:val="20"/>
        </w:rPr>
        <w:t xml:space="preserve">1.3 years, and the weighted-average discount rate was </w:t>
      </w:r>
      <w:bookmarkStart w:id="1544" w:name="xdx_902_eus-gaap--OperatingLeaseWeighted"/>
      <w:bookmarkEnd w:id="1544"/>
      <w:r>
        <w:rPr>
          <w:rFonts w:ascii="Times New Roman;Times;Serif" w:hAnsi="Times New Roman;Times;Serif"/>
          <w:b w:val="false"/>
          <w:i w:val="false"/>
          <w:caps w:val="false"/>
          <w:smallCaps w:val="false"/>
          <w:sz w:val="20"/>
        </w:rPr>
        <w:t>15.6%.</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45" w:name="xdx_897_eus-gaap--LesseeOperatingLeaseLi"/>
      <w:bookmarkEnd w:id="1545"/>
      <w:r>
        <w:rPr>
          <w:rFonts w:ascii="Times New Roman;Times;Serif" w:hAnsi="Times New Roman;Times;Serif"/>
          <w:b w:val="false"/>
          <w:i w:val="false"/>
          <w:caps w:val="false"/>
          <w:smallCaps w:val="false"/>
          <w:sz w:val="20"/>
        </w:rPr>
        <w:t>The following table reconciles the undiscounted cash flows to the operating lease liabilities recorded on the consolidated balance sheet as of September 30, 2025:</w:t>
      </w:r>
    </w:p>
    <w:p>
      <w:pPr>
        <w:pStyle w:val="TextBody"/>
        <w:bidi w:val="0"/>
        <w:spacing w:before="0" w:after="0"/>
        <w:ind w:left="0" w:right="0" w:hanging="0"/>
        <w:jc w:val="left"/>
        <w:rPr>
          <w:caps w:val="false"/>
          <w:smallCaps w:val="false"/>
        </w:rPr>
      </w:pPr>
      <w:r>
        <w:rPr>
          <w:caps w:val="false"/>
          <w:smallCaps w:val="false"/>
        </w:rPr>
        <w:t> </w:t>
      </w:r>
      <w:bookmarkStart w:id="1546" w:name="xdx_8BA_zj9fUYSV9Gpj"/>
      <w:bookmarkEnd w:id="1546"/>
      <w:r>
        <w:rPr>
          <w:rFonts w:ascii="Times New Roman;Times;Serif" w:hAnsi="Times New Roman;Times;Serif"/>
          <w:b w:val="false"/>
          <w:i w:val="false"/>
          <w:caps w:val="false"/>
          <w:smallCaps w:val="false"/>
          <w:sz w:val="20"/>
        </w:rPr>
        <w:t>Schedule of Operating Lease Liability Maturity </w:t>
      </w:r>
    </w:p>
    <w:tbl>
      <w:tblPr>
        <w:tblW w:w="5375" w:type="dxa"/>
        <w:jc w:val="left"/>
        <w:tblInd w:w="0" w:type="dxa"/>
        <w:tblLayout w:type="fixed"/>
        <w:tblCellMar>
          <w:top w:w="0" w:type="dxa"/>
          <w:left w:w="0" w:type="dxa"/>
          <w:bottom w:w="0" w:type="dxa"/>
          <w:right w:w="0" w:type="dxa"/>
        </w:tblCellMar>
      </w:tblPr>
      <w:tblGrid>
        <w:gridCol w:w="4610"/>
        <w:gridCol w:w="60"/>
        <w:gridCol w:w="140"/>
        <w:gridCol w:w="455"/>
        <w:gridCol w:w="110"/>
      </w:tblGrid>
      <w:tr>
        <w:trPr/>
        <w:tc>
          <w:tcPr>
            <w:tcW w:w="4610" w:type="dxa"/>
            <w:tcBorders/>
            <w:vAlign w:val="center"/>
          </w:tcPr>
          <w:p>
            <w:pPr>
              <w:pStyle w:val="TableContents"/>
              <w:bidi w:val="0"/>
              <w:spacing w:before="0" w:after="283"/>
              <w:jc w:val="left"/>
              <w:rPr>
                <w:b/>
              </w:rPr>
            </w:pPr>
            <w:r>
              <w:rPr>
                <w:b/>
              </w:rPr>
              <w:t>Years ending September 30,</w:t>
            </w:r>
          </w:p>
        </w:tc>
        <w:tc>
          <w:tcPr>
            <w:tcW w:w="60" w:type="dxa"/>
            <w:tcBorders/>
            <w:vAlign w:val="center"/>
          </w:tcPr>
          <w:p>
            <w:pPr>
              <w:pStyle w:val="TableContents"/>
              <w:bidi w:val="0"/>
              <w:spacing w:before="0" w:after="283"/>
              <w:jc w:val="left"/>
              <w:rPr/>
            </w:pPr>
            <w:r>
              <w:rPr/>
              <w:t> </w:t>
            </w:r>
            <w:bookmarkStart w:id="1547" w:name="xdx_49E_20250930_zMp84HabW0Xd"/>
            <w:bookmarkEnd w:id="1547"/>
          </w:p>
        </w:tc>
        <w:tc>
          <w:tcPr>
            <w:tcW w:w="5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548" w:name="xdx_984_eus-gaap--LesseeOperatingLeaseLi"/>
            <w:bookmarkEnd w:id="1548"/>
          </w:p>
        </w:tc>
        <w:tc>
          <w:tcPr>
            <w:tcW w:w="455" w:type="dxa"/>
            <w:tcBorders/>
            <w:shd w:fill="CCEEFF" w:val="clear"/>
            <w:vAlign w:val="center"/>
          </w:tcPr>
          <w:p>
            <w:pPr>
              <w:pStyle w:val="TableContents"/>
              <w:bidi w:val="0"/>
              <w:spacing w:before="0" w:after="283"/>
              <w:jc w:val="right"/>
              <w:rPr/>
            </w:pPr>
            <w:r>
              <w:rPr/>
              <w:t>308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49" w:name="xdx_981_eus-gaap--LesseeOperatingLeaseLi"/>
            <w:bookmarkEnd w:id="1549"/>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99</w:t>
            </w:r>
          </w:p>
        </w:tc>
        <w:tc>
          <w:tcPr>
            <w:tcW w:w="110" w:type="dxa"/>
            <w:tcBorders/>
            <w:shd w:fill="FFFFFF" w:val="clear"/>
            <w:vAlign w:val="center"/>
          </w:tcPr>
          <w:p>
            <w:pPr>
              <w:pStyle w:val="TableContents"/>
              <w:bidi w:val="0"/>
              <w:spacing w:before="0" w:after="283"/>
              <w:jc w:val="left"/>
              <w:rPr/>
            </w:pPr>
            <w:r>
              <w:rPr/>
              <w:t> </w:t>
            </w:r>
            <w:bookmarkStart w:id="1550" w:name="xdx_407_eus-gaap--LesseeOperatingLeaseLi"/>
            <w:bookmarkEnd w:id="1550"/>
          </w:p>
        </w:tc>
      </w:tr>
      <w:tr>
        <w:trPr/>
        <w:tc>
          <w:tcPr>
            <w:tcW w:w="4610" w:type="dxa"/>
            <w:tcBorders/>
            <w:shd w:fill="CCEEFF" w:val="clear"/>
            <w:vAlign w:val="center"/>
          </w:tcPr>
          <w:p>
            <w:pPr>
              <w:pStyle w:val="TableContents"/>
              <w:bidi w:val="0"/>
              <w:spacing w:before="0" w:after="283"/>
              <w:jc w:val="left"/>
              <w:rPr/>
            </w:pPr>
            <w:r>
              <w:rPr/>
              <w:t>Total minimum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407</w:t>
            </w:r>
          </w:p>
        </w:tc>
        <w:tc>
          <w:tcPr>
            <w:tcW w:w="110" w:type="dxa"/>
            <w:tcBorders/>
            <w:shd w:fill="CCEEFF" w:val="clear"/>
            <w:vAlign w:val="center"/>
          </w:tcPr>
          <w:p>
            <w:pPr>
              <w:pStyle w:val="TableContents"/>
              <w:bidi w:val="0"/>
              <w:spacing w:before="0" w:after="283"/>
              <w:jc w:val="left"/>
              <w:rPr/>
            </w:pPr>
            <w:r>
              <w:rPr/>
              <w:t> </w:t>
            </w:r>
            <w:bookmarkStart w:id="1551" w:name="xdx_401_eus-gaap--LesseeOperatingLeaseLi"/>
            <w:bookmarkEnd w:id="1551"/>
          </w:p>
        </w:tc>
      </w:tr>
      <w:tr>
        <w:trPr/>
        <w:tc>
          <w:tcPr>
            <w:tcW w:w="461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110" w:type="dxa"/>
            <w:tcBorders/>
            <w:shd w:fill="FFFFFF" w:val="clear"/>
            <w:vAlign w:val="center"/>
          </w:tcPr>
          <w:p>
            <w:pPr>
              <w:pStyle w:val="TableContents"/>
              <w:bidi w:val="0"/>
              <w:spacing w:before="0" w:after="283"/>
              <w:jc w:val="left"/>
              <w:rPr/>
            </w:pPr>
            <w:r>
              <w:rPr/>
              <w:t>)</w:t>
            </w:r>
            <w:bookmarkStart w:id="1552" w:name="xdx_40A_eus-gaap--OperatingLeaseLiabilit"/>
            <w:bookmarkEnd w:id="1552"/>
          </w:p>
        </w:tc>
      </w:tr>
      <w:tr>
        <w:trPr/>
        <w:tc>
          <w:tcPr>
            <w:tcW w:w="4610" w:type="dxa"/>
            <w:tcBorders/>
            <w:shd w:fill="CCEEFF" w:val="clear"/>
            <w:vAlign w:val="center"/>
          </w:tcPr>
          <w:p>
            <w:pPr>
              <w:pStyle w:val="TableContents"/>
              <w:bidi w:val="0"/>
              <w:spacing w:before="0" w:after="283"/>
              <w:jc w:val="left"/>
              <w:rPr/>
            </w:pPr>
            <w:r>
              <w:rPr/>
              <w:t>Present value of future minimum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370</w:t>
            </w:r>
          </w:p>
        </w:tc>
        <w:tc>
          <w:tcPr>
            <w:tcW w:w="110" w:type="dxa"/>
            <w:tcBorders/>
            <w:shd w:fill="CCEEFF" w:val="clear"/>
            <w:vAlign w:val="center"/>
          </w:tcPr>
          <w:p>
            <w:pPr>
              <w:pStyle w:val="TableContents"/>
              <w:bidi w:val="0"/>
              <w:spacing w:before="0" w:after="283"/>
              <w:jc w:val="left"/>
              <w:rPr/>
            </w:pPr>
            <w:r>
              <w:rPr/>
              <w:t> </w:t>
            </w:r>
            <w:bookmarkStart w:id="1553" w:name="xdx_403_eus-gaap--OperatingLeaseLiabilit"/>
            <w:bookmarkEnd w:id="1553"/>
          </w:p>
        </w:tc>
      </w:tr>
      <w:tr>
        <w:trPr/>
        <w:tc>
          <w:tcPr>
            <w:tcW w:w="4610" w:type="dxa"/>
            <w:tcBorders/>
            <w:shd w:fill="FFFFFF" w:val="clear"/>
            <w:vAlign w:val="center"/>
          </w:tcPr>
          <w:p>
            <w:pPr>
              <w:pStyle w:val="TableContents"/>
              <w:bidi w:val="0"/>
              <w:spacing w:before="0" w:after="283"/>
              <w:jc w:val="left"/>
              <w:rPr/>
            </w:pPr>
            <w:r>
              <w:rPr/>
              <w:t>Less: current obligations under leases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(274</w:t>
            </w:r>
          </w:p>
        </w:tc>
        <w:tc>
          <w:tcPr>
            <w:tcW w:w="110" w:type="dxa"/>
            <w:tcBorders/>
            <w:shd w:fill="FFFFFF" w:val="clear"/>
            <w:vAlign w:val="center"/>
          </w:tcPr>
          <w:p>
            <w:pPr>
              <w:pStyle w:val="TableContents"/>
              <w:bidi w:val="0"/>
              <w:spacing w:before="0" w:after="283"/>
              <w:jc w:val="left"/>
              <w:rPr/>
            </w:pPr>
            <w:r>
              <w:rPr/>
              <w:t>)</w:t>
            </w:r>
            <w:bookmarkStart w:id="1554" w:name="xdx_409_eus-gaap--OperatingLeaseLiabilit"/>
            <w:bookmarkEnd w:id="1554"/>
          </w:p>
        </w:tc>
      </w:tr>
      <w:tr>
        <w:trPr/>
        <w:tc>
          <w:tcPr>
            <w:tcW w:w="4610" w:type="dxa"/>
            <w:tcBorders/>
            <w:shd w:fill="CCEEFF" w:val="clear"/>
            <w:vAlign w:val="center"/>
          </w:tcPr>
          <w:p>
            <w:pPr>
              <w:pStyle w:val="TableContents"/>
              <w:bidi w:val="0"/>
              <w:spacing w:before="0" w:after="283"/>
              <w:jc w:val="left"/>
              <w:rPr/>
            </w:pPr>
            <w:r>
              <w:rPr/>
              <w:t>Long-term lease obligations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pPr>
            <w:r>
              <w:rPr/>
              <w:t>96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555" w:name="xdx_8A1_zGSYj6DjT4ll"/>
      <w:bookmarkEnd w:id="1555"/>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56" w:name="xdx_808_eus-gaap--IncomeTaxDisclosureTex"/>
      <w:bookmarkEnd w:id="1556"/>
      <w:r>
        <w:rPr>
          <w:rFonts w:ascii="Times New Roman;Times;Serif" w:hAnsi="Times New Roman;Times;Serif"/>
          <w:b/>
          <w:i w:val="false"/>
          <w:caps w:val="false"/>
          <w:smallCaps w:val="false"/>
          <w:sz w:val="20"/>
        </w:rPr>
        <w:t xml:space="preserve">Note 12 — </w:t>
      </w:r>
      <w:bookmarkStart w:id="1557" w:name="xdx_82B_z33MHd3mBxc1"/>
      <w:bookmarkEnd w:id="1557"/>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58" w:name="xdx_89A_eus-gaap--ScheduleOfComponentsOf"/>
      <w:bookmarkEnd w:id="1558"/>
      <w:r>
        <w:rPr>
          <w:rFonts w:ascii="Times New Roman;Times;Serif" w:hAnsi="Times New Roman;Times;Serif"/>
          <w:b w:val="false"/>
          <w:i w:val="false"/>
          <w:caps w:val="false"/>
          <w:smallCaps w:val="false"/>
          <w:sz w:val="20"/>
        </w:rPr>
        <w:t>Substantially all of the Company’s pretax loss was generated in the United States. The provision (benefit) for income taxes consists of the following:</w:t>
      </w:r>
    </w:p>
    <w:p>
      <w:pPr>
        <w:pStyle w:val="TextBody"/>
        <w:bidi w:val="0"/>
        <w:spacing w:before="0" w:after="0"/>
        <w:ind w:left="0" w:right="0" w:hanging="0"/>
        <w:jc w:val="both"/>
        <w:rPr>
          <w:caps w:val="false"/>
          <w:smallCaps w:val="false"/>
        </w:rPr>
      </w:pPr>
      <w:r>
        <w:rPr>
          <w:caps w:val="false"/>
          <w:smallCaps w:val="false"/>
        </w:rPr>
        <w:t> </w:t>
      </w:r>
      <w:bookmarkStart w:id="1559" w:name="xdx_8B6_z8DBJi92tvqh"/>
      <w:bookmarkEnd w:id="1559"/>
      <w:r>
        <w:rPr>
          <w:rFonts w:ascii="Times New Roman;Times;Serif" w:hAnsi="Times New Roman;Times;Serif"/>
          <w:b w:val="false"/>
          <w:i w:val="false"/>
          <w:caps w:val="false"/>
          <w:smallCaps w:val="false"/>
          <w:sz w:val="20"/>
        </w:rPr>
        <w:t>Schedule of Provision for Income Taxes</w:t>
      </w:r>
    </w:p>
    <w:tbl>
      <w:tblPr>
        <w:tblW w:w="4975" w:type="dxa"/>
        <w:jc w:val="left"/>
        <w:tblInd w:w="0" w:type="dxa"/>
        <w:tblLayout w:type="fixed"/>
        <w:tblCellMar>
          <w:top w:w="0" w:type="dxa"/>
          <w:left w:w="0" w:type="dxa"/>
          <w:bottom w:w="0" w:type="dxa"/>
          <w:right w:w="0" w:type="dxa"/>
        </w:tblCellMar>
      </w:tblPr>
      <w:tblGrid>
        <w:gridCol w:w="3410"/>
        <w:gridCol w:w="60"/>
        <w:gridCol w:w="175"/>
        <w:gridCol w:w="325"/>
        <w:gridCol w:w="60"/>
        <w:gridCol w:w="60"/>
        <w:gridCol w:w="140"/>
        <w:gridCol w:w="635"/>
        <w:gridCol w:w="110"/>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60" w:name="xdx_493_20241001__20250930_z1xlmT2xXr2b"/>
            <w:bookmarkEnd w:id="1560"/>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61" w:name="xdx_49D_20231001__20240930_ztesAm6OTUBj"/>
            <w:bookmarkEnd w:id="1561"/>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562" w:name="xdx_401_eus-gaap--CurrentFederalStateAnd"/>
            <w:bookmarkEnd w:id="1562"/>
          </w:p>
        </w:tc>
      </w:tr>
      <w:tr>
        <w:trPr/>
        <w:tc>
          <w:tcPr>
            <w:tcW w:w="3410"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63" w:name="xdx_409_eus-gaap--CurrentFederalTaxExpen"/>
            <w:bookmarkEnd w:id="1563"/>
          </w:p>
        </w:tc>
      </w:tr>
      <w:tr>
        <w:trPr/>
        <w:tc>
          <w:tcPr>
            <w:tcW w:w="3410"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32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64" w:name="xdx_400_eus-gaap--CurrentStateAndLocalTa"/>
            <w:bookmarkEnd w:id="1564"/>
          </w:p>
        </w:tc>
      </w:tr>
      <w:tr>
        <w:trPr/>
        <w:tc>
          <w:tcPr>
            <w:tcW w:w="3410" w:type="dxa"/>
            <w:tcBorders/>
            <w:shd w:fill="CCEEFF" w:val="clear"/>
            <w:vAlign w:val="center"/>
          </w:tcPr>
          <w:p>
            <w:pPr>
              <w:pStyle w:val="TableContents"/>
              <w:bidi w:val="0"/>
              <w:spacing w:before="0" w:after="283"/>
              <w:jc w:val="left"/>
              <w:rPr/>
            </w:pPr>
            <w:r>
              <w:rPr/>
              <w:t>State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bookmarkStart w:id="1565" w:name="xdx_409_eus-gaap--CurrentIncomeTaxExpens"/>
            <w:bookmarkEnd w:id="1565"/>
          </w:p>
        </w:tc>
      </w:tr>
      <w:tr>
        <w:trPr/>
        <w:tc>
          <w:tcPr>
            <w:tcW w:w="3410" w:type="dxa"/>
            <w:tcBorders/>
            <w:shd w:fill="FFFFFF" w:val="clear"/>
            <w:vAlign w:val="center"/>
          </w:tcPr>
          <w:p>
            <w:pPr>
              <w:pStyle w:val="TableContents"/>
              <w:bidi w:val="0"/>
              <w:spacing w:before="0" w:after="283"/>
              <w:jc w:val="left"/>
              <w:rPr/>
            </w:pPr>
            <w:r>
              <w:rPr/>
              <w:t>Total current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66" w:name="xdx_408_eus-gaap--DeferredFederalStateAn"/>
            <w:bookmarkEnd w:id="1566"/>
          </w:p>
        </w:tc>
      </w:tr>
      <w:tr>
        <w:trPr/>
        <w:tc>
          <w:tcPr>
            <w:tcW w:w="3410" w:type="dxa"/>
            <w:tcBorders/>
            <w:shd w:fill="FFFFFF" w:val="clear"/>
            <w:vAlign w:val="center"/>
          </w:tcPr>
          <w:p>
            <w:pPr>
              <w:pStyle w:val="TableContents"/>
              <w:bidi w:val="0"/>
              <w:spacing w:before="0" w:after="283"/>
              <w:jc w:val="left"/>
              <w:rPr/>
            </w:pPr>
            <w:r>
              <w:rPr/>
              <w:t>Deferred</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67" w:name="xdx_400_eus-gaap--DeferredFederalIncomeT"/>
            <w:bookmarkEnd w:id="1567"/>
          </w:p>
        </w:tc>
      </w:tr>
      <w:tr>
        <w:trPr/>
        <w:tc>
          <w:tcPr>
            <w:tcW w:w="341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(2,198</w:t>
            </w:r>
          </w:p>
        </w:tc>
        <w:tc>
          <w:tcPr>
            <w:tcW w:w="110" w:type="dxa"/>
            <w:tcBorders/>
            <w:shd w:fill="CCEEFF" w:val="clear"/>
            <w:vAlign w:val="center"/>
          </w:tcPr>
          <w:p>
            <w:pPr>
              <w:pStyle w:val="TableContents"/>
              <w:bidi w:val="0"/>
              <w:spacing w:before="0" w:after="283"/>
              <w:jc w:val="left"/>
              <w:rPr/>
            </w:pPr>
            <w:r>
              <w:rPr/>
              <w:t>)</w:t>
            </w:r>
            <w:bookmarkStart w:id="1568" w:name="xdx_404_eus-gaap--DeferredStateAndLocalI"/>
            <w:bookmarkEnd w:id="1568"/>
          </w:p>
        </w:tc>
      </w:tr>
      <w:tr>
        <w:trPr/>
        <w:tc>
          <w:tcPr>
            <w:tcW w:w="3410"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(234</w:t>
            </w:r>
          </w:p>
        </w:tc>
        <w:tc>
          <w:tcPr>
            <w:tcW w:w="110" w:type="dxa"/>
            <w:tcBorders/>
            <w:shd w:fill="FFFFFF" w:val="clear"/>
            <w:vAlign w:val="center"/>
          </w:tcPr>
          <w:p>
            <w:pPr>
              <w:pStyle w:val="TableContents"/>
              <w:bidi w:val="0"/>
              <w:spacing w:before="0" w:after="283"/>
              <w:jc w:val="left"/>
              <w:rPr/>
            </w:pPr>
            <w:r>
              <w:rPr/>
              <w:t>)</w:t>
            </w:r>
            <w:bookmarkStart w:id="1569" w:name="xdx_40C_eus-gaap--DeferredIncomeTaxExpen"/>
            <w:bookmarkEnd w:id="1569"/>
          </w:p>
        </w:tc>
      </w:tr>
      <w:tr>
        <w:trPr/>
        <w:tc>
          <w:tcPr>
            <w:tcW w:w="3410" w:type="dxa"/>
            <w:tcBorders/>
            <w:shd w:fill="CCEEFF" w:val="clear"/>
            <w:vAlign w:val="center"/>
          </w:tcPr>
          <w:p>
            <w:pPr>
              <w:pStyle w:val="TableContents"/>
              <w:bidi w:val="0"/>
              <w:spacing w:before="0" w:after="283"/>
              <w:jc w:val="left"/>
              <w:rPr/>
            </w:pPr>
            <w:r>
              <w:rPr/>
              <w:t>Total deferred</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(2,432</w:t>
            </w:r>
          </w:p>
        </w:tc>
        <w:tc>
          <w:tcPr>
            <w:tcW w:w="110" w:type="dxa"/>
            <w:tcBorders/>
            <w:shd w:fill="CCEEFF" w:val="clear"/>
            <w:vAlign w:val="center"/>
          </w:tcPr>
          <w:p>
            <w:pPr>
              <w:pStyle w:val="TableContents"/>
              <w:bidi w:val="0"/>
              <w:spacing w:before="0" w:after="283"/>
              <w:jc w:val="left"/>
              <w:rPr/>
            </w:pPr>
            <w:r>
              <w:rPr/>
              <w:t>)</w:t>
            </w:r>
            <w:bookmarkStart w:id="1570" w:name="xdx_40C_eus-gaap--IncomeTaxExpenseBenefi"/>
            <w:bookmarkEnd w:id="1570"/>
          </w:p>
        </w:tc>
      </w:tr>
      <w:tr>
        <w:trPr/>
        <w:tc>
          <w:tcPr>
            <w:tcW w:w="3410"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(2,429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1571" w:name="xdx_8AF_zGuM5rdgumEl"/>
      <w:bookmarkEnd w:id="157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72" w:name="xdx_897_eus-gaap--ScheduleOfEffectiveInc"/>
      <w:bookmarkEnd w:id="1572"/>
      <w:r>
        <w:rPr>
          <w:rFonts w:ascii="Times New Roman;Times;Serif" w:hAnsi="Times New Roman;Times;Serif"/>
          <w:b w:val="false"/>
          <w:i w:val="false"/>
          <w:caps w:val="false"/>
          <w:smallCaps w:val="false"/>
          <w:sz w:val="20"/>
        </w:rPr>
        <w:t>The provision (benefit) for income taxes differs from the amount computed by applying the U.S. federal statutory rate of 21% to the Company’s loss before income taxes as follows:</w:t>
      </w:r>
    </w:p>
    <w:p>
      <w:pPr>
        <w:pStyle w:val="TextBody"/>
        <w:bidi w:val="0"/>
        <w:spacing w:before="0" w:after="0"/>
        <w:ind w:left="0" w:right="0" w:hanging="0"/>
        <w:jc w:val="left"/>
        <w:rPr>
          <w:caps w:val="false"/>
          <w:smallCaps w:val="false"/>
        </w:rPr>
      </w:pPr>
      <w:r>
        <w:rPr>
          <w:caps w:val="false"/>
          <w:smallCaps w:val="false"/>
        </w:rPr>
        <w:t> </w:t>
      </w:r>
      <w:bookmarkStart w:id="1573" w:name="xdx_8BF_znTpU6vY8hg5"/>
      <w:bookmarkEnd w:id="1573"/>
      <w:r>
        <w:rPr>
          <w:rFonts w:ascii="Times New Roman;Times;Serif" w:hAnsi="Times New Roman;Times;Serif"/>
          <w:b w:val="false"/>
          <w:i w:val="false"/>
          <w:caps w:val="false"/>
          <w:smallCaps w:val="false"/>
          <w:sz w:val="20"/>
        </w:rPr>
        <w:t>Schedule of Loss Before Income Tax</w:t>
      </w:r>
    </w:p>
    <w:tbl>
      <w:tblPr>
        <w:tblW w:w="7700" w:type="dxa"/>
        <w:jc w:val="left"/>
        <w:tblInd w:w="0" w:type="dxa"/>
        <w:tblLayout w:type="fixed"/>
        <w:tblCellMar>
          <w:top w:w="0" w:type="dxa"/>
          <w:left w:w="0" w:type="dxa"/>
          <w:bottom w:w="0" w:type="dxa"/>
          <w:right w:w="0" w:type="dxa"/>
        </w:tblCellMar>
      </w:tblPr>
      <w:tblGrid>
        <w:gridCol w:w="5825"/>
        <w:gridCol w:w="60"/>
        <w:gridCol w:w="140"/>
        <w:gridCol w:w="635"/>
        <w:gridCol w:w="95"/>
        <w:gridCol w:w="60"/>
        <w:gridCol w:w="140"/>
        <w:gridCol w:w="635"/>
        <w:gridCol w:w="110"/>
      </w:tblGrid>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74" w:name="xdx_495_20241001__20250930_zLxoBwzKJ5e1"/>
            <w:bookmarkEnd w:id="1574"/>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75" w:name="xdx_493_20231001__20240930_z3dlSxUSofHj"/>
            <w:bookmarkEnd w:id="1575"/>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576" w:name="xdx_408_eus-gaap--IncomeTaxReconciliatio"/>
            <w:bookmarkEnd w:id="1576"/>
          </w:p>
        </w:tc>
      </w:tr>
      <w:tr>
        <w:trPr/>
        <w:tc>
          <w:tcPr>
            <w:tcW w:w="5825" w:type="dxa"/>
            <w:tcBorders/>
            <w:shd w:fill="CCEEFF" w:val="clear"/>
            <w:vAlign w:val="center"/>
          </w:tcPr>
          <w:p>
            <w:pPr>
              <w:pStyle w:val="TableContents"/>
              <w:bidi w:val="0"/>
              <w:spacing w:before="0" w:after="283"/>
              <w:jc w:val="left"/>
              <w:rPr/>
            </w:pPr>
            <w:r>
              <w:rPr/>
              <w:t>Income tax benefit computed at the U.S. federal statutory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(9,685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(4,717</w:t>
            </w:r>
          </w:p>
        </w:tc>
        <w:tc>
          <w:tcPr>
            <w:tcW w:w="110" w:type="dxa"/>
            <w:tcBorders/>
            <w:shd w:fill="CCEEFF" w:val="clear"/>
            <w:vAlign w:val="center"/>
          </w:tcPr>
          <w:p>
            <w:pPr>
              <w:pStyle w:val="TableContents"/>
              <w:bidi w:val="0"/>
              <w:spacing w:before="0" w:after="283"/>
              <w:jc w:val="left"/>
              <w:rPr/>
            </w:pPr>
            <w:r>
              <w:rPr/>
              <w:t>)</w:t>
            </w:r>
            <w:bookmarkStart w:id="1577" w:name="xdx_405_eus-gaap--IncomeTaxReconciliatio"/>
            <w:bookmarkEnd w:id="1577"/>
          </w:p>
        </w:tc>
      </w:tr>
      <w:tr>
        <w:trPr/>
        <w:tc>
          <w:tcPr>
            <w:tcW w:w="5825" w:type="dxa"/>
            <w:tcBorders/>
            <w:shd w:fill="FFFFFF" w:val="clear"/>
            <w:vAlign w:val="center"/>
          </w:tcPr>
          <w:p>
            <w:pPr>
              <w:pStyle w:val="TableContents"/>
              <w:bidi w:val="0"/>
              <w:spacing w:before="0" w:after="283"/>
              <w:jc w:val="left"/>
              <w:rPr/>
            </w:pPr>
            <w:r>
              <w:rPr/>
              <w:t>State and local income tax benefits, net of federal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(731</w:t>
            </w:r>
          </w:p>
        </w:tc>
        <w:tc>
          <w:tcPr>
            <w:tcW w:w="110" w:type="dxa"/>
            <w:tcBorders/>
            <w:shd w:fill="FFFFFF" w:val="clear"/>
            <w:vAlign w:val="center"/>
          </w:tcPr>
          <w:p>
            <w:pPr>
              <w:pStyle w:val="TableContents"/>
              <w:bidi w:val="0"/>
              <w:spacing w:before="0" w:after="283"/>
              <w:jc w:val="left"/>
              <w:rPr/>
            </w:pPr>
            <w:r>
              <w:rPr/>
              <w:t>)</w:t>
            </w:r>
            <w:bookmarkStart w:id="1578" w:name="xdx_404_eus-gaap--IncomeTaxReconciliatio"/>
            <w:bookmarkEnd w:id="1578"/>
          </w:p>
        </w:tc>
      </w:tr>
      <w:tr>
        <w:trPr/>
        <w:tc>
          <w:tcPr>
            <w:tcW w:w="5825"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4,865</w:t>
            </w:r>
          </w:p>
        </w:tc>
        <w:tc>
          <w:tcPr>
            <w:tcW w:w="110" w:type="dxa"/>
            <w:tcBorders/>
            <w:shd w:fill="CCEEFF" w:val="clear"/>
            <w:vAlign w:val="center"/>
          </w:tcPr>
          <w:p>
            <w:pPr>
              <w:pStyle w:val="TableContents"/>
              <w:bidi w:val="0"/>
              <w:spacing w:before="0" w:after="283"/>
              <w:jc w:val="left"/>
              <w:rPr/>
            </w:pPr>
            <w:r>
              <w:rPr/>
              <w:t> </w:t>
            </w:r>
            <w:bookmarkStart w:id="1579" w:name="xdx_406_eus-gaap--IncomeTaxReconciliatio"/>
            <w:bookmarkEnd w:id="1579"/>
          </w:p>
        </w:tc>
      </w:tr>
      <w:tr>
        <w:trPr/>
        <w:tc>
          <w:tcPr>
            <w:tcW w:w="5825" w:type="dxa"/>
            <w:tcBorders/>
            <w:shd w:fill="FFFFFF" w:val="clear"/>
            <w:vAlign w:val="center"/>
          </w:tcPr>
          <w:p>
            <w:pPr>
              <w:pStyle w:val="TableContents"/>
              <w:bidi w:val="0"/>
              <w:spacing w:before="0" w:after="283"/>
              <w:jc w:val="left"/>
              <w:rPr/>
            </w:pPr>
            <w:r>
              <w:rPr/>
              <w:t>Non-deductible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1,181</w:t>
            </w:r>
          </w:p>
        </w:tc>
        <w:tc>
          <w:tcPr>
            <w:tcW w:w="110" w:type="dxa"/>
            <w:tcBorders/>
            <w:shd w:fill="FFFFFF" w:val="clear"/>
            <w:vAlign w:val="center"/>
          </w:tcPr>
          <w:p>
            <w:pPr>
              <w:pStyle w:val="TableContents"/>
              <w:bidi w:val="0"/>
              <w:spacing w:before="0" w:after="283"/>
              <w:jc w:val="left"/>
              <w:rPr/>
            </w:pPr>
            <w:r>
              <w:rPr/>
              <w:t> </w:t>
            </w:r>
            <w:bookmarkStart w:id="1580" w:name="xdx_40F_ecustom--IncomeTaxReconciliation"/>
            <w:bookmarkEnd w:id="1580"/>
          </w:p>
        </w:tc>
      </w:tr>
      <w:tr>
        <w:trPr/>
        <w:tc>
          <w:tcPr>
            <w:tcW w:w="5825" w:type="dxa"/>
            <w:tcBorders/>
            <w:shd w:fill="CCEEFF" w:val="clear"/>
            <w:vAlign w:val="center"/>
          </w:tcPr>
          <w:p>
            <w:pPr>
              <w:pStyle w:val="TableContents"/>
              <w:bidi w:val="0"/>
              <w:spacing w:before="0" w:after="283"/>
              <w:jc w:val="left"/>
              <w:rPr/>
            </w:pPr>
            <w:r>
              <w:rPr/>
              <w:t>Fair value of warrants issued to investors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154</w:t>
            </w:r>
          </w:p>
        </w:tc>
        <w:tc>
          <w:tcPr>
            <w:tcW w:w="110" w:type="dxa"/>
            <w:tcBorders/>
            <w:shd w:fill="CCEEFF" w:val="clear"/>
            <w:vAlign w:val="center"/>
          </w:tcPr>
          <w:p>
            <w:pPr>
              <w:pStyle w:val="TableContents"/>
              <w:bidi w:val="0"/>
              <w:spacing w:before="0" w:after="283"/>
              <w:jc w:val="left"/>
              <w:rPr/>
            </w:pPr>
            <w:r>
              <w:rPr/>
              <w:t> </w:t>
            </w:r>
            <w:bookmarkStart w:id="1581" w:name="xdx_408_eus-gaap--IncomeTaxReconciliatio"/>
            <w:bookmarkEnd w:id="1581"/>
          </w:p>
        </w:tc>
      </w:tr>
      <w:tr>
        <w:trPr/>
        <w:tc>
          <w:tcPr>
            <w:tcW w:w="5825" w:type="dxa"/>
            <w:tcBorders/>
            <w:shd w:fill="FFFFFF" w:val="clear"/>
            <w:vAlign w:val="center"/>
          </w:tcPr>
          <w:p>
            <w:pPr>
              <w:pStyle w:val="TableContents"/>
              <w:bidi w:val="0"/>
              <w:spacing w:before="0" w:after="283"/>
              <w:jc w:val="left"/>
              <w:rPr/>
            </w:pPr>
            <w:r>
              <w:rPr/>
              <w:t>State tax rate change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(14</w:t>
            </w:r>
          </w:p>
        </w:tc>
        <w:tc>
          <w:tcPr>
            <w:tcW w:w="110" w:type="dxa"/>
            <w:tcBorders/>
            <w:shd w:fill="FFFFFF" w:val="clear"/>
            <w:vAlign w:val="center"/>
          </w:tcPr>
          <w:p>
            <w:pPr>
              <w:pStyle w:val="TableContents"/>
              <w:bidi w:val="0"/>
              <w:spacing w:before="0" w:after="283"/>
              <w:jc w:val="left"/>
              <w:rPr/>
            </w:pPr>
            <w:r>
              <w:rPr/>
              <w:t>)</w:t>
            </w:r>
            <w:bookmarkStart w:id="1582" w:name="xdx_40D_ecustom--DeferredTaxesChangeInFa"/>
            <w:bookmarkEnd w:id="1582"/>
          </w:p>
        </w:tc>
      </w:tr>
      <w:tr>
        <w:trPr/>
        <w:tc>
          <w:tcPr>
            <w:tcW w:w="5825" w:type="dxa"/>
            <w:tcBorders/>
            <w:shd w:fill="CCEEFF" w:val="clear"/>
            <w:vAlign w:val="center"/>
          </w:tcPr>
          <w:p>
            <w:pPr>
              <w:pStyle w:val="TableContents"/>
              <w:bidi w:val="0"/>
              <w:spacing w:before="0" w:after="283"/>
              <w:jc w:val="left"/>
              <w:rPr/>
            </w:pPr>
            <w:r>
              <w:rPr/>
              <w:t>Change in fair value of 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(6,695</w:t>
            </w:r>
          </w:p>
        </w:tc>
        <w:tc>
          <w:tcPr>
            <w:tcW w:w="110" w:type="dxa"/>
            <w:tcBorders/>
            <w:shd w:fill="CCEEFF" w:val="clear"/>
            <w:vAlign w:val="center"/>
          </w:tcPr>
          <w:p>
            <w:pPr>
              <w:pStyle w:val="TableContents"/>
              <w:bidi w:val="0"/>
              <w:spacing w:before="0" w:after="283"/>
              <w:jc w:val="left"/>
              <w:rPr/>
            </w:pPr>
            <w:r>
              <w:rPr/>
              <w:t>)</w:t>
            </w:r>
            <w:bookmarkStart w:id="1583" w:name="xdx_40F_eus-gaap--IncomeTaxReconciliatio"/>
            <w:bookmarkEnd w:id="1583"/>
          </w:p>
        </w:tc>
      </w:tr>
      <w:tr>
        <w:trPr/>
        <w:tc>
          <w:tcPr>
            <w:tcW w:w="582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1,107</w:t>
            </w:r>
          </w:p>
        </w:tc>
        <w:tc>
          <w:tcPr>
            <w:tcW w:w="110" w:type="dxa"/>
            <w:tcBorders/>
            <w:shd w:fill="FFFFFF" w:val="clear"/>
            <w:vAlign w:val="center"/>
          </w:tcPr>
          <w:p>
            <w:pPr>
              <w:pStyle w:val="TableContents"/>
              <w:bidi w:val="0"/>
              <w:spacing w:before="0" w:after="283"/>
              <w:jc w:val="left"/>
              <w:rPr/>
            </w:pPr>
            <w:r>
              <w:rPr/>
              <w:t> </w:t>
            </w:r>
            <w:bookmarkStart w:id="1584" w:name="xdx_40D_ecustom--IncomeTaxReconciliation"/>
            <w:bookmarkEnd w:id="1584"/>
          </w:p>
        </w:tc>
      </w:tr>
      <w:tr>
        <w:trPr/>
        <w:tc>
          <w:tcPr>
            <w:tcW w:w="5825" w:type="dxa"/>
            <w:tcBorders/>
            <w:shd w:fill="CCEEFF" w:val="clear"/>
            <w:vAlign w:val="center"/>
          </w:tcPr>
          <w:p>
            <w:pPr>
              <w:pStyle w:val="TableContents"/>
              <w:bidi w:val="0"/>
              <w:spacing w:before="0" w:after="283"/>
              <w:jc w:val="left"/>
              <w:rPr/>
            </w:pPr>
            <w:r>
              <w:rPr/>
              <w:t>Non-deductible executive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1,916</w:t>
            </w:r>
          </w:p>
        </w:tc>
        <w:tc>
          <w:tcPr>
            <w:tcW w:w="110" w:type="dxa"/>
            <w:tcBorders/>
            <w:shd w:fill="CCEEFF" w:val="clear"/>
            <w:vAlign w:val="center"/>
          </w:tcPr>
          <w:p>
            <w:pPr>
              <w:pStyle w:val="TableContents"/>
              <w:bidi w:val="0"/>
              <w:spacing w:before="0" w:after="283"/>
              <w:jc w:val="left"/>
              <w:rPr/>
            </w:pPr>
            <w:r>
              <w:rPr/>
              <w:t> </w:t>
            </w:r>
            <w:bookmarkStart w:id="1585" w:name="xdx_405_eus-gaap--IncomeTaxReconciliatio"/>
            <w:bookmarkEnd w:id="1585"/>
          </w:p>
        </w:tc>
      </w:tr>
      <w:tr>
        <w:trPr/>
        <w:tc>
          <w:tcPr>
            <w:tcW w:w="582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505</w:t>
            </w:r>
          </w:p>
        </w:tc>
        <w:tc>
          <w:tcPr>
            <w:tcW w:w="110" w:type="dxa"/>
            <w:tcBorders/>
            <w:shd w:fill="FFFFFF" w:val="clear"/>
            <w:vAlign w:val="center"/>
          </w:tcPr>
          <w:p>
            <w:pPr>
              <w:pStyle w:val="TableContents"/>
              <w:bidi w:val="0"/>
              <w:spacing w:before="0" w:after="283"/>
              <w:jc w:val="left"/>
              <w:rPr/>
            </w:pPr>
            <w:r>
              <w:rPr/>
              <w:t> </w:t>
            </w:r>
            <w:bookmarkStart w:id="1586" w:name="xdx_409_eus-gaap--IncomeTaxExpenseBenefi"/>
            <w:bookmarkEnd w:id="1586"/>
          </w:p>
        </w:tc>
      </w:tr>
      <w:tr>
        <w:trPr/>
        <w:tc>
          <w:tcPr>
            <w:tcW w:w="5825" w:type="dxa"/>
            <w:tcBorders/>
            <w:shd w:fill="CCEEFF" w:val="clear"/>
            <w:vAlign w:val="center"/>
          </w:tcPr>
          <w:p>
            <w:pPr>
              <w:pStyle w:val="TableContents"/>
              <w:bidi w:val="0"/>
              <w:spacing w:before="0" w:after="283"/>
              <w:jc w:val="left"/>
              <w:rPr/>
            </w:pPr>
            <w:r>
              <w:rPr/>
              <w:t>Provision (benefit)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(2,429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1587" w:name="xdx_8A9_zMzDSfLzhcsj"/>
      <w:bookmarkEnd w:id="158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588" w:name="xdx_89E_eus-gaap--ScheduleOfDeferredTaxA"/>
      <w:bookmarkEnd w:id="1588"/>
      <w:r>
        <w:rPr>
          <w:rFonts w:ascii="Times New Roman;Times;Serif" w:hAnsi="Times New Roman;Times;Serif"/>
          <w:b w:val="false"/>
          <w:i w:val="false"/>
          <w:caps w:val="false"/>
          <w:smallCaps w:val="false"/>
          <w:sz w:val="20"/>
        </w:rPr>
        <w:t>Deferred tax liabilities, net consist of the following:</w:t>
      </w:r>
    </w:p>
    <w:p>
      <w:pPr>
        <w:pStyle w:val="TextBody"/>
        <w:bidi w:val="0"/>
        <w:spacing w:before="0" w:after="0"/>
        <w:ind w:left="0" w:right="0" w:hanging="0"/>
        <w:jc w:val="left"/>
        <w:rPr>
          <w:caps w:val="false"/>
          <w:smallCaps w:val="false"/>
        </w:rPr>
      </w:pPr>
      <w:r>
        <w:rPr>
          <w:caps w:val="false"/>
          <w:smallCaps w:val="false"/>
        </w:rPr>
        <w:t> </w:t>
      </w:r>
      <w:bookmarkStart w:id="1589" w:name="xdx_8B4_zSsstshcrgNf"/>
      <w:bookmarkEnd w:id="1589"/>
      <w:r>
        <w:rPr>
          <w:rFonts w:ascii="Times New Roman;Times;Serif" w:hAnsi="Times New Roman;Times;Serif"/>
          <w:b w:val="false"/>
          <w:i w:val="false"/>
          <w:caps w:val="false"/>
          <w:smallCaps w:val="false"/>
          <w:sz w:val="20"/>
        </w:rPr>
        <w:t>Schedule of Deferred Liabilities</w:t>
      </w:r>
    </w:p>
    <w:tbl>
      <w:tblPr>
        <w:tblW w:w="5285" w:type="dxa"/>
        <w:jc w:val="left"/>
        <w:tblInd w:w="0" w:type="dxa"/>
        <w:tblLayout w:type="fixed"/>
        <w:tblCellMar>
          <w:top w:w="0" w:type="dxa"/>
          <w:left w:w="0" w:type="dxa"/>
          <w:bottom w:w="0" w:type="dxa"/>
          <w:right w:w="0" w:type="dxa"/>
        </w:tblCellMar>
      </w:tblPr>
      <w:tblGrid>
        <w:gridCol w:w="3170"/>
        <w:gridCol w:w="60"/>
        <w:gridCol w:w="140"/>
        <w:gridCol w:w="755"/>
        <w:gridCol w:w="95"/>
        <w:gridCol w:w="60"/>
        <w:gridCol w:w="140"/>
        <w:gridCol w:w="755"/>
        <w:gridCol w:w="11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90" w:name="xdx_49B_20250930_z8JtOhhh15bc"/>
            <w:bookmarkEnd w:id="1590"/>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91" w:name="xdx_492_20240930_zdybmUZ7HU37"/>
            <w:bookmarkEnd w:id="1591"/>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592" w:name="xdx_404_eus-gaap--DeferredTaxAssetsGross"/>
            <w:bookmarkEnd w:id="1592"/>
          </w:p>
        </w:tc>
      </w:tr>
      <w:tr>
        <w:trPr/>
        <w:tc>
          <w:tcPr>
            <w:tcW w:w="317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93" w:name="xdx_40E_eus-gaap--DeferredTaxAssetsOpera"/>
            <w:bookmarkEnd w:id="1593"/>
          </w:p>
        </w:tc>
      </w:tr>
      <w:tr>
        <w:trPr/>
        <w:tc>
          <w:tcPr>
            <w:tcW w:w="3170" w:type="dxa"/>
            <w:tcBorders/>
            <w:shd w:fill="FFFFFF" w:val="clear"/>
            <w:vAlign w:val="center"/>
          </w:tcPr>
          <w:p>
            <w:pPr>
              <w:pStyle w:val="TableContents"/>
              <w:bidi w:val="0"/>
              <w:spacing w:before="0" w:after="283"/>
              <w:jc w:val="left"/>
              <w:rPr/>
            </w:pPr>
            <w:r>
              <w:rPr/>
              <w:t>Net operating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18,686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14,312</w:t>
            </w:r>
          </w:p>
        </w:tc>
        <w:tc>
          <w:tcPr>
            <w:tcW w:w="110" w:type="dxa"/>
            <w:tcBorders/>
            <w:shd w:fill="FFFFFF" w:val="clear"/>
            <w:vAlign w:val="center"/>
          </w:tcPr>
          <w:p>
            <w:pPr>
              <w:pStyle w:val="TableContents"/>
              <w:bidi w:val="0"/>
              <w:spacing w:before="0" w:after="283"/>
              <w:jc w:val="left"/>
              <w:rPr/>
            </w:pPr>
            <w:r>
              <w:rPr/>
              <w:t> </w:t>
            </w:r>
            <w:bookmarkStart w:id="1594" w:name="xdx_401_eus-gaap--DeferredTaxAssetsTaxDe"/>
            <w:bookmarkEnd w:id="1594"/>
          </w:p>
        </w:tc>
      </w:tr>
      <w:tr>
        <w:trPr/>
        <w:tc>
          <w:tcPr>
            <w:tcW w:w="317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4,190</w:t>
            </w:r>
          </w:p>
        </w:tc>
        <w:tc>
          <w:tcPr>
            <w:tcW w:w="110" w:type="dxa"/>
            <w:tcBorders/>
            <w:shd w:fill="CCEEFF" w:val="clear"/>
            <w:vAlign w:val="center"/>
          </w:tcPr>
          <w:p>
            <w:pPr>
              <w:pStyle w:val="TableContents"/>
              <w:bidi w:val="0"/>
              <w:spacing w:before="0" w:after="283"/>
              <w:jc w:val="left"/>
              <w:rPr/>
            </w:pPr>
            <w:r>
              <w:rPr/>
              <w:t> </w:t>
            </w:r>
            <w:bookmarkStart w:id="1595" w:name="xdx_401_ecustom--DeferredTaxAssetsCapita"/>
            <w:bookmarkEnd w:id="1595"/>
          </w:p>
        </w:tc>
      </w:tr>
      <w:tr>
        <w:trPr/>
        <w:tc>
          <w:tcPr>
            <w:tcW w:w="3170" w:type="dxa"/>
            <w:tcBorders/>
            <w:shd w:fill="FFFFFF" w:val="clear"/>
            <w:vAlign w:val="center"/>
          </w:tcPr>
          <w:p>
            <w:pPr>
              <w:pStyle w:val="TableContents"/>
              <w:bidi w:val="0"/>
              <w:spacing w:before="0" w:after="283"/>
              <w:jc w:val="left"/>
              <w:rPr/>
            </w:pPr>
            <w:r>
              <w:rPr/>
              <w:t>Section 174 capitalized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2,843</w:t>
            </w:r>
          </w:p>
        </w:tc>
        <w:tc>
          <w:tcPr>
            <w:tcW w:w="110" w:type="dxa"/>
            <w:tcBorders/>
            <w:shd w:fill="FFFFFF" w:val="clear"/>
            <w:vAlign w:val="center"/>
          </w:tcPr>
          <w:p>
            <w:pPr>
              <w:pStyle w:val="TableContents"/>
              <w:bidi w:val="0"/>
              <w:spacing w:before="0" w:after="283"/>
              <w:jc w:val="left"/>
              <w:rPr/>
            </w:pPr>
            <w:r>
              <w:rPr/>
              <w:t> </w:t>
            </w:r>
            <w:bookmarkStart w:id="1596" w:name="xdx_405_eus-gaap--DeferredTaxAssetsTaxDe"/>
            <w:bookmarkEnd w:id="1596"/>
          </w:p>
        </w:tc>
      </w:tr>
      <w:tr>
        <w:trPr/>
        <w:tc>
          <w:tcPr>
            <w:tcW w:w="3170"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190</w:t>
            </w:r>
          </w:p>
        </w:tc>
        <w:tc>
          <w:tcPr>
            <w:tcW w:w="110" w:type="dxa"/>
            <w:tcBorders/>
            <w:shd w:fill="CCEEFF" w:val="clear"/>
            <w:vAlign w:val="center"/>
          </w:tcPr>
          <w:p>
            <w:pPr>
              <w:pStyle w:val="TableContents"/>
              <w:bidi w:val="0"/>
              <w:spacing w:before="0" w:after="283"/>
              <w:jc w:val="left"/>
              <w:rPr/>
            </w:pPr>
            <w:r>
              <w:rPr/>
              <w:t> </w:t>
            </w:r>
            <w:bookmarkStart w:id="1597" w:name="xdx_406_ecustom--DeferredTaxAssetsTaxDef"/>
            <w:bookmarkEnd w:id="1597"/>
          </w:p>
        </w:tc>
      </w:tr>
      <w:tr>
        <w:trPr/>
        <w:tc>
          <w:tcPr>
            <w:tcW w:w="317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340</w:t>
            </w:r>
          </w:p>
        </w:tc>
        <w:tc>
          <w:tcPr>
            <w:tcW w:w="110" w:type="dxa"/>
            <w:tcBorders/>
            <w:shd w:fill="FFFFFF" w:val="clear"/>
            <w:vAlign w:val="center"/>
          </w:tcPr>
          <w:p>
            <w:pPr>
              <w:pStyle w:val="TableContents"/>
              <w:bidi w:val="0"/>
              <w:spacing w:before="0" w:after="283"/>
              <w:jc w:val="left"/>
              <w:rPr/>
            </w:pPr>
            <w:r>
              <w:rPr/>
              <w:t> </w:t>
            </w:r>
            <w:bookmarkStart w:id="1598" w:name="xdx_402_eus-gaap--DeferredTaxAssetsOther"/>
            <w:bookmarkEnd w:id="1598"/>
          </w:p>
        </w:tc>
      </w:tr>
      <w:tr>
        <w:trPr/>
        <w:tc>
          <w:tcPr>
            <w:tcW w:w="317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919</w:t>
            </w:r>
          </w:p>
        </w:tc>
        <w:tc>
          <w:tcPr>
            <w:tcW w:w="110" w:type="dxa"/>
            <w:tcBorders/>
            <w:shd w:fill="CCEEFF" w:val="clear"/>
            <w:vAlign w:val="center"/>
          </w:tcPr>
          <w:p>
            <w:pPr>
              <w:pStyle w:val="TableContents"/>
              <w:bidi w:val="0"/>
              <w:spacing w:before="0" w:after="283"/>
              <w:jc w:val="left"/>
              <w:rPr/>
            </w:pPr>
            <w:r>
              <w:rPr/>
              <w:t> </w:t>
            </w:r>
            <w:bookmarkStart w:id="1599" w:name="xdx_403_eus-gaap--DeferredTaxAssetsGross"/>
            <w:bookmarkEnd w:id="1599"/>
          </w:p>
        </w:tc>
      </w:tr>
      <w:tr>
        <w:trPr/>
        <w:tc>
          <w:tcPr>
            <w:tcW w:w="3170" w:type="dxa"/>
            <w:tcBorders/>
            <w:shd w:fill="FFFFFF" w:val="clear"/>
            <w:vAlign w:val="center"/>
          </w:tcPr>
          <w:p>
            <w:pPr>
              <w:pStyle w:val="TableContents"/>
              <w:bidi w:val="0"/>
              <w:spacing w:before="0" w:after="283"/>
              <w:jc w:val="left"/>
              <w:rPr/>
            </w:pPr>
            <w:r>
              <w:rPr/>
              <w:t>Total gross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22,794</w:t>
            </w:r>
          </w:p>
        </w:tc>
        <w:tc>
          <w:tcPr>
            <w:tcW w:w="110" w:type="dxa"/>
            <w:tcBorders/>
            <w:shd w:fill="FFFFFF" w:val="clear"/>
            <w:vAlign w:val="center"/>
          </w:tcPr>
          <w:p>
            <w:pPr>
              <w:pStyle w:val="TableContents"/>
              <w:bidi w:val="0"/>
              <w:spacing w:before="0" w:after="283"/>
              <w:jc w:val="left"/>
              <w:rPr/>
            </w:pPr>
            <w:r>
              <w:rPr/>
              <w:t> </w:t>
            </w:r>
            <w:bookmarkStart w:id="1600" w:name="xdx_40D_eus-gaap--DeferredTaxAssetsValua"/>
            <w:bookmarkEnd w:id="1600"/>
          </w:p>
        </w:tc>
      </w:tr>
      <w:tr>
        <w:trPr/>
        <w:tc>
          <w:tcPr>
            <w:tcW w:w="3170"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(25,095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(19,152</w:t>
            </w:r>
          </w:p>
        </w:tc>
        <w:tc>
          <w:tcPr>
            <w:tcW w:w="110" w:type="dxa"/>
            <w:tcBorders/>
            <w:shd w:fill="CCEEFF" w:val="clear"/>
            <w:vAlign w:val="center"/>
          </w:tcPr>
          <w:p>
            <w:pPr>
              <w:pStyle w:val="TableContents"/>
              <w:bidi w:val="0"/>
              <w:spacing w:before="0" w:after="283"/>
              <w:jc w:val="left"/>
              <w:rPr/>
            </w:pPr>
            <w:r>
              <w:rPr/>
              <w:t>)</w:t>
            </w:r>
            <w:bookmarkStart w:id="1601" w:name="xdx_405_eus-gaap--DeferredTaxAssetsLiabi"/>
            <w:bookmarkEnd w:id="1601"/>
          </w:p>
        </w:tc>
      </w:tr>
      <w:tr>
        <w:trPr/>
        <w:tc>
          <w:tcPr>
            <w:tcW w:w="3170"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3,642</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02" w:name="xdx_402_eus-gaap--DeferredTaxLiabilities"/>
            <w:bookmarkEnd w:id="1602"/>
          </w:p>
        </w:tc>
      </w:tr>
      <w:tr>
        <w:trPr/>
        <w:tc>
          <w:tcPr>
            <w:tcW w:w="317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03" w:name="xdx_40F_eus-gaap--DeferredTaxLiabilities"/>
            <w:bookmarkEnd w:id="1603"/>
          </w:p>
        </w:tc>
      </w:tr>
      <w:tr>
        <w:trPr/>
        <w:tc>
          <w:tcPr>
            <w:tcW w:w="3170" w:type="dxa"/>
            <w:tcBorders/>
            <w:shd w:fill="CCEEFF" w:val="clear"/>
            <w:vAlign w:val="center"/>
          </w:tcPr>
          <w:p>
            <w:pPr>
              <w:pStyle w:val="TableContents"/>
              <w:bidi w:val="0"/>
              <w:spacing w:before="0" w:after="283"/>
              <w:jc w:val="left"/>
              <w:rPr/>
            </w:pPr>
            <w:r>
              <w:rPr/>
              <w:t>Intangible asset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(3,566</w:t>
            </w:r>
          </w:p>
        </w:tc>
        <w:tc>
          <w:tcPr>
            <w:tcW w:w="110" w:type="dxa"/>
            <w:tcBorders/>
            <w:shd w:fill="CCEEFF" w:val="clear"/>
            <w:vAlign w:val="center"/>
          </w:tcPr>
          <w:p>
            <w:pPr>
              <w:pStyle w:val="TableContents"/>
              <w:bidi w:val="0"/>
              <w:spacing w:before="0" w:after="283"/>
              <w:jc w:val="left"/>
              <w:rPr/>
            </w:pPr>
            <w:r>
              <w:rPr/>
              <w:t>)</w:t>
            </w:r>
            <w:bookmarkStart w:id="1604" w:name="xdx_40E_ecustom--DeferredTaxLiabilitiesF"/>
            <w:bookmarkEnd w:id="1604"/>
          </w:p>
        </w:tc>
      </w:tr>
      <w:tr>
        <w:trPr/>
        <w:tc>
          <w:tcPr>
            <w:tcW w:w="3170" w:type="dxa"/>
            <w:tcBorders/>
            <w:shd w:fill="FFFFFF" w:val="clear"/>
            <w:vAlign w:val="center"/>
          </w:tcPr>
          <w:p>
            <w:pPr>
              <w:pStyle w:val="TableContents"/>
              <w:bidi w:val="0"/>
              <w:spacing w:before="0" w:after="283"/>
              <w:jc w:val="left"/>
              <w:rPr/>
            </w:pPr>
            <w:r>
              <w:rPr/>
              <w:t>Fixed asset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(156</w:t>
            </w:r>
          </w:p>
        </w:tc>
        <w:tc>
          <w:tcPr>
            <w:tcW w:w="110" w:type="dxa"/>
            <w:tcBorders/>
            <w:shd w:fill="FFFFFF" w:val="clear"/>
            <w:vAlign w:val="center"/>
          </w:tcPr>
          <w:p>
            <w:pPr>
              <w:pStyle w:val="TableContents"/>
              <w:bidi w:val="0"/>
              <w:spacing w:before="0" w:after="283"/>
              <w:jc w:val="left"/>
              <w:rPr/>
            </w:pPr>
            <w:r>
              <w:rPr/>
              <w:t>)</w:t>
            </w:r>
            <w:bookmarkStart w:id="1605" w:name="xdx_40B_eus-gaap--DeferredTaxLiabilities"/>
            <w:bookmarkEnd w:id="1605"/>
          </w:p>
        </w:tc>
      </w:tr>
      <w:tr>
        <w:trPr/>
        <w:tc>
          <w:tcPr>
            <w:tcW w:w="3170" w:type="dxa"/>
            <w:tcBorders/>
            <w:shd w:fill="CCEEFF" w:val="clear"/>
            <w:vAlign w:val="center"/>
          </w:tcPr>
          <w:p>
            <w:pPr>
              <w:pStyle w:val="TableContents"/>
              <w:bidi w:val="0"/>
              <w:spacing w:before="0" w:after="283"/>
              <w:jc w:val="left"/>
              <w:rPr/>
            </w:pPr>
            <w:r>
              <w:rPr/>
              <w:t>Operating lease ROU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(240</w:t>
            </w:r>
          </w:p>
        </w:tc>
        <w:tc>
          <w:tcPr>
            <w:tcW w:w="110" w:type="dxa"/>
            <w:tcBorders/>
            <w:shd w:fill="CCEEFF" w:val="clear"/>
            <w:vAlign w:val="center"/>
          </w:tcPr>
          <w:p>
            <w:pPr>
              <w:pStyle w:val="TableContents"/>
              <w:bidi w:val="0"/>
              <w:spacing w:before="0" w:after="283"/>
              <w:jc w:val="left"/>
              <w:rPr/>
            </w:pPr>
            <w:r>
              <w:rPr/>
              <w:t>)</w:t>
            </w:r>
            <w:bookmarkStart w:id="1606" w:name="xdx_404_eus-gaap--DeferredIncomeTaxLiabi"/>
            <w:bookmarkEnd w:id="1606"/>
          </w:p>
        </w:tc>
      </w:tr>
      <w:tr>
        <w:trPr/>
        <w:tc>
          <w:tcPr>
            <w:tcW w:w="3170" w:type="dxa"/>
            <w:tcBorders/>
            <w:shd w:fill="FFFFFF" w:val="clear"/>
            <w:vAlign w:val="center"/>
          </w:tcPr>
          <w:p>
            <w:pPr>
              <w:pStyle w:val="TableContents"/>
              <w:bidi w:val="0"/>
              <w:spacing w:before="0" w:after="283"/>
              <w:jc w:val="left"/>
              <w:rPr/>
            </w:pPr>
            <w:r>
              <w:rPr/>
              <w:t>Total gross 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(3,331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(3,962</w:t>
            </w:r>
          </w:p>
        </w:tc>
        <w:tc>
          <w:tcPr>
            <w:tcW w:w="110" w:type="dxa"/>
            <w:tcBorders/>
            <w:shd w:fill="FFFFFF" w:val="clear"/>
            <w:vAlign w:val="center"/>
          </w:tcPr>
          <w:p>
            <w:pPr>
              <w:pStyle w:val="TableContents"/>
              <w:bidi w:val="0"/>
              <w:spacing w:before="0" w:after="283"/>
              <w:jc w:val="left"/>
              <w:rPr/>
            </w:pPr>
            <w:r>
              <w:rPr/>
              <w:t>)</w:t>
            </w:r>
            <w:bookmarkStart w:id="1607" w:name="xdx_40F_eus-gaap--DeferredTaxLiabilities"/>
            <w:bookmarkEnd w:id="1607"/>
          </w:p>
        </w:tc>
      </w:tr>
      <w:tr>
        <w:trPr/>
        <w:tc>
          <w:tcPr>
            <w:tcW w:w="3170" w:type="dxa"/>
            <w:tcBorders/>
            <w:shd w:fill="CCEEFF" w:val="clear"/>
            <w:vAlign w:val="center"/>
          </w:tcPr>
          <w:p>
            <w:pPr>
              <w:pStyle w:val="TableContents"/>
              <w:bidi w:val="0"/>
              <w:spacing w:before="0" w:after="283"/>
              <w:jc w:val="left"/>
              <w:rPr/>
            </w:pPr>
            <w:r>
              <w:rPr/>
              <w:t>Deferred tax liabilities,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(320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1608" w:name="xdx_8A7_zaZliNbW5cZk"/>
      <w:bookmarkEnd w:id="160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acquisitions of EMI Solutions and RaGE Systems, the Company recognized additional deferred tax liabilities totaling $</w:t>
      </w:r>
      <w:bookmarkStart w:id="1609" w:name="xdx_90E_eus-gaap--DeferredTaxLiabilities"/>
      <w:bookmarkEnd w:id="1609"/>
      <w:r>
        <w:rPr>
          <w:rFonts w:ascii="Times New Roman;Times;Serif" w:hAnsi="Times New Roman;Times;Serif"/>
          <w:b w:val="false"/>
          <w:i w:val="false"/>
          <w:caps w:val="false"/>
          <w:smallCaps w:val="false"/>
          <w:sz w:val="20"/>
        </w:rPr>
        <w:t>2,666 associated with acquired intangible assets. Based on the availability of these tax attributes, the Company determined that it expects to realize a greater portion of its existing deferred tax assets and for the year ended September 30, 2024 the Company recognized a deferred income tax benefit of $</w:t>
      </w:r>
      <w:bookmarkStart w:id="1610" w:name="xdx_902_eus-gaap--DeferredIncomeTaxExpen"/>
      <w:bookmarkEnd w:id="1610"/>
      <w:r>
        <w:rPr>
          <w:rFonts w:ascii="Times New Roman;Times;Serif" w:hAnsi="Times New Roman;Times;Serif"/>
          <w:b w:val="false"/>
          <w:i w:val="false"/>
          <w:caps w:val="false"/>
          <w:smallCaps w:val="false"/>
          <w:sz w:val="20"/>
        </w:rPr>
        <w:t>2,432, principally resulting from reductions of the valuation allowance on its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2025 and 2024, the Company increased the valuation allowance against its deferred tax assets by $</w:t>
      </w:r>
      <w:bookmarkStart w:id="1611" w:name="xdx_906_eus-gaap--ValuationAllowanceDefe"/>
      <w:bookmarkEnd w:id="1611"/>
      <w:r>
        <w:rPr>
          <w:rFonts w:ascii="Times New Roman;Times;Serif" w:hAnsi="Times New Roman;Times;Serif"/>
          <w:b w:val="false"/>
          <w:i w:val="false"/>
          <w:caps w:val="false"/>
          <w:smallCaps w:val="false"/>
          <w:sz w:val="20"/>
        </w:rPr>
        <w:t>5,943 and $</w:t>
      </w:r>
      <w:bookmarkStart w:id="1612" w:name="xdx_905_eus-gaap--ValuationAllowanceDefe"/>
      <w:bookmarkEnd w:id="1612"/>
      <w:r>
        <w:rPr>
          <w:rFonts w:ascii="Times New Roman;Times;Serif" w:hAnsi="Times New Roman;Times;Serif"/>
          <w:b w:val="false"/>
          <w:i w:val="false"/>
          <w:caps w:val="false"/>
          <w:smallCaps w:val="false"/>
          <w:sz w:val="20"/>
        </w:rPr>
        <w:t>7,297, respectively, which primarily related to increases in net deferred tax assets from current year activity that the Company expects will not be realized in the future. During the year ended September 30, 2024, the Company also reduced the valuation allowance and recognized a deferred tax benefit of $</w:t>
      </w:r>
      <w:bookmarkStart w:id="1613" w:name="xdx_902_eus-gaap--DeferredIncomeTaxExpen"/>
      <w:bookmarkEnd w:id="1613"/>
      <w:r>
        <w:rPr>
          <w:rFonts w:ascii="Times New Roman;Times;Serif" w:hAnsi="Times New Roman;Times;Serif"/>
          <w:b w:val="false"/>
          <w:i w:val="false"/>
          <w:caps w:val="false"/>
          <w:smallCaps w:val="false"/>
          <w:sz w:val="20"/>
        </w:rPr>
        <w:t>2,432 as a result of the deferred tax liabilities it recognized in connection with the acquisitions of EMI Solutions and RaGE Systems. As of September 30, 2025, the Company has accumulated federal and state net operating losses (“NOLs”) of $</w:t>
      </w:r>
      <w:bookmarkStart w:id="1614" w:name="xdx_900_eus-gaap--DeferredTaxAssetsOpera"/>
      <w:bookmarkEnd w:id="1614"/>
      <w:r>
        <w:rPr>
          <w:rFonts w:ascii="Times New Roman;Times;Serif" w:hAnsi="Times New Roman;Times;Serif"/>
          <w:b w:val="false"/>
          <w:i w:val="false"/>
          <w:caps w:val="false"/>
          <w:smallCaps w:val="false"/>
          <w:sz w:val="20"/>
        </w:rPr>
        <w:t>74,090 and $</w:t>
      </w:r>
      <w:bookmarkStart w:id="1615" w:name="xdx_900_eus-gaap--DeferredTaxAssetsOpera"/>
      <w:bookmarkEnd w:id="1615"/>
      <w:r>
        <w:rPr>
          <w:rFonts w:ascii="Times New Roman;Times;Serif" w:hAnsi="Times New Roman;Times;Serif"/>
          <w:b w:val="false"/>
          <w:i w:val="false"/>
          <w:caps w:val="false"/>
          <w:smallCaps w:val="false"/>
          <w:sz w:val="20"/>
        </w:rPr>
        <w:t>48,943, respectively. The federal NOLs may be carried forward indefinitely and the state NOLs begin to expire in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ability to carry forward its NOLs and research credits may be subject to significant limitations under Section 382 of the Internal Revenue Code of 1986, as amended (“Section 382”). The federal net operating losses have an indefinite carryforward period but are available to offset only </w:t>
      </w:r>
      <w:bookmarkStart w:id="1616" w:name="xdx_907_ecustom--EffectiveIncomeTaxRateR"/>
      <w:bookmarkEnd w:id="1616"/>
      <w:r>
        <w:rPr>
          <w:rFonts w:ascii="Times New Roman;Times;Serif" w:hAnsi="Times New Roman;Times;Serif"/>
          <w:b w:val="false"/>
          <w:i w:val="false"/>
          <w:caps w:val="false"/>
          <w:smallCaps w:val="false"/>
          <w:sz w:val="20"/>
        </w:rPr>
        <w:t>80% of future taxable income. The Company’s ability to use its federal NOL carryforwards may be further limited if it experiences an “ownership change” as defined in Section 382.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unrecognized tax benefits of $</w:t>
      </w:r>
      <w:bookmarkStart w:id="1617" w:name="xdx_908_eus-gaap--UnrecognizedTaxBenefit"/>
      <w:bookmarkStart w:id="1618" w:name="xdx_908_eus-gaap--UnrecognizedTaxBenefit"/>
      <w:bookmarkEnd w:id="1617"/>
      <w:bookmarkEnd w:id="1618"/>
      <w:r>
        <w:rPr>
          <w:rFonts w:ascii="Times New Roman;Times;Serif" w:hAnsi="Times New Roman;Times;Serif"/>
          <w:b w:val="false"/>
          <w:i w:val="false"/>
          <w:caps w:val="false"/>
          <w:smallCaps w:val="false"/>
          <w:sz w:val="20"/>
        </w:rPr>
        <w:t>2,080 as of September 30, 2025 and 2024. There were no changes in the Company’s unrecognized tax benefits during the fiscal years ended September 30, 2025 and 2024. The Company records interest and penalties related to unrecognized tax benefits in the provision (benefit) for income taxes in the consolidated statements of operations and comprehensive loss. As of September 30, 2025 and 2024, no accrued interest or penalties are recorded on the consolidated balance sheets, and the Company has not recorded any related expenses. The Company does not expect a significant change in its uncertain tax positions within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U.S. federal and various state income tax returns. As of September 30, 2025, the U.S. federal and state tax returns are open to examination for calendar years 2021 through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Cuts and Jobs Act (“TCJA”) requires that taxpayers capitalize expenditures that qualify as Section 174 costs and recover them over five years for domestic expenditures, and fifteen years for expenditures attributed for foreign research. As of September 30, 2025, the Company has capitalized $</w:t>
      </w:r>
      <w:bookmarkStart w:id="1619" w:name="xdx_904_eus-gaap--TaxCreditCarryforwardA"/>
      <w:bookmarkEnd w:id="1619"/>
      <w:r>
        <w:rPr>
          <w:rFonts w:ascii="Times New Roman;Times;Serif" w:hAnsi="Times New Roman;Times;Serif"/>
          <w:b w:val="false"/>
          <w:i w:val="false"/>
          <w:caps w:val="false"/>
          <w:smallCaps w:val="false"/>
          <w:sz w:val="20"/>
        </w:rPr>
        <w:t>20,958 of costs under this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United States President Donald J. Trump signed the One Big Beautiful Bill Act (“OBBBA”) into law. The OBBBA includes significant provisions, such as the permanent extension of certain expiring provisions of the TCJA, modifications to the international tax framework and the restoration of favorable tax treatment for certain business provisions. The OBBBA has multiple effective dates, with certain provisions effective in 2025 and others implemented through 2027. The Company has evaluated the provisions of the OBBBA and determined they do not have a significant impact on its operations and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20" w:name="xdx_803_eus-gaap--CommitmentsAndContinge"/>
      <w:bookmarkEnd w:id="1620"/>
      <w:r>
        <w:rPr>
          <w:rFonts w:ascii="Times New Roman;Times;Serif" w:hAnsi="Times New Roman;Times;Serif"/>
          <w:b/>
          <w:i w:val="false"/>
          <w:caps w:val="false"/>
          <w:smallCaps w:val="false"/>
          <w:sz w:val="20"/>
        </w:rPr>
        <w:t xml:space="preserve">Note 13 — </w:t>
      </w:r>
      <w:bookmarkStart w:id="1621" w:name="xdx_82B_zyqBkK5Z9URi"/>
      <w:bookmarkEnd w:id="1621"/>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engaged a financial advisor to provide services and the financial advisor has asserted that the Company owes additional funds in excess of amounts previously recognized. The Company disputes the financial advisor’s claim. As of the date of these consolidated financial statements, no legal proceeding has been initiated in respect of this matter. The ultimate resolution of this matter may differ from the amount recognized and any such difference could be material to the Company’s consolidated results of operations and cash flows. At this time, the Company is unable to reasonably estimate the possible amount or range of additional loss, if any, that it may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subject to legal proceedings, claims and litigation arising in the ordinary course of business. The Company does not believe it is currently a party to any legal proceedings—nor is the Company aware of any other pending or threatened litigation—that the Company believes would have a material adverse effect on its business, operating results, cash flows or financial condition should such litigation be resolved unfavorably.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often includes standard indemnification provisions in its arrangements with customers,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The Company has not in the past incurred significant expense defending against third party claims, nor has it incurred significant expense under its standard service warranties or arrangements with its customers, suppliers and vendors. Accordingly, the Company has not recognized any liabilities for these indemnification provisions as of September 30, 2025 or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22" w:name="xdx_801_eus-gaap--StockholdersEquityNote"/>
      <w:bookmarkEnd w:id="1622"/>
      <w:r>
        <w:rPr>
          <w:rFonts w:ascii="Times New Roman;Times;Serif" w:hAnsi="Times New Roman;Times;Serif"/>
          <w:b/>
          <w:i w:val="false"/>
          <w:caps w:val="false"/>
          <w:smallCaps w:val="false"/>
          <w:sz w:val="20"/>
        </w:rPr>
        <w:t xml:space="preserve">Note 14 — </w:t>
      </w:r>
      <w:bookmarkStart w:id="1623" w:name="xdx_825_zB33uuT9ZDi"/>
      <w:bookmarkEnd w:id="1623"/>
      <w:r>
        <w:rPr>
          <w:rFonts w:ascii="Times New Roman;Times;Serif" w:hAnsi="Times New Roman;Times;Serif"/>
          <w:b/>
          <w:i w:val="false"/>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Company adopted its amended and restated certificate of incorporation and amended and restated bylaws. The amended and restated certificate of incorporation authorizes the issuance of preferred stock, Class A Common Stock and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all outstanding shares of Legacy Mobix Founders Redeemable Convertible Preferred Stock and Series A Redeemable Convertible Preferred Stock were cancelled and converted into </w:t>
      </w:r>
      <w:bookmarkStart w:id="1624" w:name="xdx_90F_eus-gaap--ConvertiblePreferredSt"/>
      <w:bookmarkEnd w:id="1624"/>
      <w:r>
        <w:rPr>
          <w:rFonts w:ascii="Times New Roman;Times;Serif" w:hAnsi="Times New Roman;Times;Serif"/>
          <w:b w:val="false"/>
          <w:i w:val="false"/>
          <w:caps w:val="false"/>
          <w:smallCaps w:val="false"/>
          <w:sz w:val="20"/>
        </w:rPr>
        <w:t>225,490 shares of the Company’s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amended and restated certificate of incorporation authorizes the Company to issue </w:t>
      </w:r>
      <w:bookmarkStart w:id="1625" w:name="xdx_90A_eus-gaap--PreferredStockSharesAu"/>
      <w:bookmarkEnd w:id="1625"/>
      <w:r>
        <w:rPr>
          <w:rFonts w:ascii="Times New Roman;Times;Serif" w:hAnsi="Times New Roman;Times;Serif"/>
          <w:b w:val="false"/>
          <w:i w:val="false"/>
          <w:caps w:val="false"/>
          <w:smallCaps w:val="false"/>
          <w:sz w:val="20"/>
        </w:rPr>
        <w:t>10,000,000 shares of preferred stock, par value $</w:t>
      </w:r>
      <w:bookmarkStart w:id="1626" w:name="xdx_90C_eus-gaap--PreferredStockParOrSta"/>
      <w:bookmarkEnd w:id="1626"/>
      <w:r>
        <w:rPr>
          <w:rFonts w:ascii="Times New Roman;Times;Serif" w:hAnsi="Times New Roman;Times;Serif"/>
          <w:b w:val="false"/>
          <w:i w:val="false"/>
          <w:caps w:val="false"/>
          <w:smallCaps w:val="false"/>
          <w:sz w:val="20"/>
        </w:rPr>
        <w:t xml:space="preserve">0.00001, and the Company’s board of directors is authorized to designate one or more series of preferred stock, to fix the number of shares constituting any such series of preferred stock, and the powers, preferences and rights of any such series of preferred stock. Through September 30, 2025, the board of directors had not designated any such series of preferred stock and as of September 30, 2025 </w:t>
      </w:r>
      <w:bookmarkStart w:id="1627" w:name="xdx_905_eus-gaap--PreferredStockSharesOu"/>
      <w:bookmarkStart w:id="1628" w:name="xdx_90A_eus-gaap--PreferredStockSharesIs"/>
      <w:bookmarkEnd w:id="1627"/>
      <w:bookmarkEnd w:id="1628"/>
      <w:r>
        <w:rPr>
          <w:rFonts w:ascii="Times New Roman;Times;Serif" w:hAnsi="Times New Roman;Times;Serif"/>
          <w:b w:val="false"/>
          <w:i w:val="false"/>
          <w:caps w:val="false"/>
          <w:smallCaps w:val="false"/>
          <w:sz w:val="20"/>
        </w:rPr>
        <w:t>no shares of preferred stock were issued or outstanding.</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w:t>
      </w:r>
      <w:bookmarkStart w:id="1629" w:name="xdx_90D_eus-gaap--CommonStockSharesAutho"/>
      <w:bookmarkEnd w:id="1629"/>
      <w:r>
        <w:rPr>
          <w:rFonts w:ascii="Times New Roman;Times;Serif" w:hAnsi="Times New Roman;Times;Serif"/>
          <w:b w:val="false"/>
          <w:i w:val="false"/>
          <w:caps w:val="false"/>
          <w:smallCaps w:val="false"/>
          <w:sz w:val="20"/>
        </w:rPr>
        <w:t xml:space="preserve">285,000,000 shares of Class A Common Stock and </w:t>
      </w:r>
      <w:bookmarkStart w:id="1630" w:name="xdx_90C_eus-gaap--CommonStockSharesAutho"/>
      <w:bookmarkEnd w:id="1630"/>
      <w:r>
        <w:rPr>
          <w:rFonts w:ascii="Times New Roman;Times;Serif" w:hAnsi="Times New Roman;Times;Serif"/>
          <w:b w:val="false"/>
          <w:i w:val="false"/>
          <w:caps w:val="false"/>
          <w:smallCaps w:val="false"/>
          <w:sz w:val="20"/>
        </w:rPr>
        <w:t>5,000,000 shares of Class B Common Stock. Holders of Class A and Class B Common Stock are each entitled to receive ratably any dividends or distributions as may be declared from time to time by the board of directors. Each class of common stock is subordinate to the Company’s preferred stock with respect to rights upon liquidation of the Company. Neither class of common stock is redeemable at the option of the holders. The holders of Class A and Class B Common Stock are entitled to vote together as a single class, with each holder of outstanding shares of Class A Common Stock entitled to one vote for each share of Class A Common Stock and each holder of outstanding shares of Class B Common Stock entitled to ten votes for each share of Class B Common Stock. Holders of shares of Class B Common Stock may elect at any time to convert each outstanding share of Class B Common Stock into one share of Class A Common Stock. Shares of Class B Common Stock are also subject to automatic conversion into shares of Class A Common Stock upon the occurrence of certain events or, if not previously converted, upon the seventh anniversary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2025, the Company sold </w:t>
      </w:r>
      <w:bookmarkStart w:id="1631" w:name="xdx_907_eus-gaap--SaleOfStockNumberOfSha"/>
      <w:bookmarkEnd w:id="1631"/>
      <w:r>
        <w:rPr>
          <w:rFonts w:ascii="Times New Roman;Times;Serif" w:hAnsi="Times New Roman;Times;Serif"/>
          <w:b w:val="false"/>
          <w:i w:val="false"/>
          <w:caps w:val="false"/>
          <w:smallCaps w:val="false"/>
          <w:sz w:val="20"/>
        </w:rPr>
        <w:t>157,446 shares of its Class A Common Stock in private placements for net proceeds of $</w:t>
      </w:r>
      <w:bookmarkStart w:id="1632" w:name="xdx_90E_eus-gaap--ProceedsFromIssuanceOf"/>
      <w:bookmarkEnd w:id="1632"/>
      <w:r>
        <w:rPr>
          <w:rFonts w:ascii="Times New Roman;Times;Serif" w:hAnsi="Times New Roman;Times;Serif"/>
          <w:b w:val="false"/>
          <w:i w:val="false"/>
          <w:caps w:val="false"/>
          <w:smallCaps w:val="false"/>
          <w:sz w:val="20"/>
        </w:rPr>
        <w:t xml:space="preserve">1,600. In connection with the issuance of these shares, the Company also granted one investor a warrant to purchase </w:t>
      </w:r>
      <w:bookmarkStart w:id="1633" w:name="xdx_90A_eus-gaap--ClassOfWarrantOrRightN"/>
      <w:bookmarkEnd w:id="1633"/>
      <w:r>
        <w:rPr>
          <w:rFonts w:ascii="Times New Roman;Times;Serif" w:hAnsi="Times New Roman;Times;Serif"/>
          <w:b w:val="false"/>
          <w:i w:val="false"/>
          <w:caps w:val="false"/>
          <w:smallCaps w:val="false"/>
          <w:sz w:val="20"/>
        </w:rPr>
        <w:t>50,004 shares of common stock at a price of $</w:t>
      </w:r>
      <w:bookmarkStart w:id="1634" w:name="xdx_90F_eus-gaap--SharePrice_iI_pid_c202"/>
      <w:bookmarkEnd w:id="1634"/>
      <w:r>
        <w:rPr>
          <w:rFonts w:ascii="Times New Roman;Times;Serif" w:hAnsi="Times New Roman;Times;Serif"/>
          <w:b w:val="false"/>
          <w:i w:val="false"/>
          <w:caps w:val="false"/>
          <w:smallCaps w:val="false"/>
          <w:sz w:val="20"/>
        </w:rPr>
        <w:t xml:space="preserve">9.60 per share. The warrant is immediately exercisable and has a term of </w:t>
      </w:r>
      <w:bookmarkStart w:id="1635" w:name="xdx_906_eus-gaap--WarrantsAndRightsOutst"/>
      <w:bookmarkEnd w:id="1635"/>
      <w:r>
        <w:rPr>
          <w:rFonts w:ascii="Times New Roman;Times;Serif" w:hAnsi="Times New Roman;Times;Serif"/>
          <w:b w:val="false"/>
          <w:i w:val="false"/>
          <w:caps w:val="false"/>
          <w:smallCaps w:val="false"/>
          <w:sz w:val="20"/>
        </w:rPr>
        <w:t xml:space="preserve">three years. The Company determined the warrant to be a freestanding equity instrument with no subsequent remeasurement. The Company also issued </w:t>
      </w:r>
      <w:bookmarkStart w:id="1636" w:name="xdx_90D_eus-gaap--StockIssuedDuringPerio"/>
      <w:bookmarkEnd w:id="1636"/>
      <w:r>
        <w:rPr>
          <w:rFonts w:ascii="Times New Roman;Times;Serif" w:hAnsi="Times New Roman;Times;Serif"/>
          <w:b w:val="false"/>
          <w:i w:val="false"/>
          <w:caps w:val="false"/>
          <w:smallCaps w:val="false"/>
          <w:sz w:val="20"/>
        </w:rPr>
        <w:t xml:space="preserve">385,000 shares of its Class A Common Stock in connection with the April 2025 Offering. See Note 15, </w:t>
      </w:r>
      <w:r>
        <w:rPr>
          <w:rFonts w:ascii="Times New Roman;Times;Serif" w:hAnsi="Times New Roman;Times;Serif"/>
          <w:b w:val="false"/>
          <w:i/>
          <w:caps w:val="false"/>
          <w:smallCaps w:val="false"/>
          <w:sz w:val="20"/>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2024, Legacy Mobix sold </w:t>
      </w:r>
      <w:bookmarkStart w:id="1637" w:name="xdx_90E_eus-gaap--SaleOfStockNumberOfSha"/>
      <w:bookmarkEnd w:id="1637"/>
      <w:r>
        <w:rPr>
          <w:rFonts w:ascii="Times New Roman;Times;Serif" w:hAnsi="Times New Roman;Times;Serif"/>
          <w:b w:val="false"/>
          <w:i w:val="false"/>
          <w:caps w:val="false"/>
          <w:smallCaps w:val="false"/>
          <w:sz w:val="20"/>
        </w:rPr>
        <w:t>48,217 shares of its common stock at various dates in private placements for net proceeds of $</w:t>
      </w:r>
      <w:bookmarkStart w:id="1638" w:name="xdx_901_eus-gaap--ProceedsFromIssuanceOf"/>
      <w:bookmarkEnd w:id="1638"/>
      <w:r>
        <w:rPr>
          <w:rFonts w:ascii="Times New Roman;Times;Serif" w:hAnsi="Times New Roman;Times;Serif"/>
          <w:b w:val="false"/>
          <w:i w:val="false"/>
          <w:caps w:val="false"/>
          <w:smallCaps w:val="false"/>
          <w:sz w:val="20"/>
        </w:rPr>
        <w:t xml:space="preserve">3,286. In connection with the issuance of these shares, Legacy Mobix also granted one investor a warrant to purchase </w:t>
      </w:r>
      <w:bookmarkStart w:id="1639" w:name="xdx_909_eus-gaap--ClassOfWarrantOrRightN"/>
      <w:bookmarkEnd w:id="1639"/>
      <w:r>
        <w:rPr>
          <w:rFonts w:ascii="Times New Roman;Times;Serif" w:hAnsi="Times New Roman;Times;Serif"/>
          <w:b w:val="false"/>
          <w:i w:val="false"/>
          <w:caps w:val="false"/>
          <w:smallCaps w:val="false"/>
          <w:sz w:val="20"/>
        </w:rPr>
        <w:t>2,741 shares of common stock at a price of $</w:t>
      </w:r>
      <w:bookmarkStart w:id="1640" w:name="xdx_909_eus-gaap--SharePrice_iI_pid_c202"/>
      <w:bookmarkEnd w:id="1640"/>
      <w:r>
        <w:rPr>
          <w:rFonts w:ascii="Times New Roman;Times;Serif" w:hAnsi="Times New Roman;Times;Serif"/>
          <w:b w:val="false"/>
          <w:i w:val="false"/>
          <w:caps w:val="false"/>
          <w:smallCaps w:val="false"/>
          <w:sz w:val="20"/>
        </w:rPr>
        <w:t xml:space="preserve">0.10 per share. The warrant is immediately exercisable and has a term of </w:t>
      </w:r>
      <w:bookmarkStart w:id="1641" w:name="xdx_90F_eus-gaap--WarrantsAndRightsOutst"/>
      <w:bookmarkEnd w:id="1641"/>
      <w:r>
        <w:rPr>
          <w:rFonts w:ascii="Times New Roman;Times;Serif" w:hAnsi="Times New Roman;Times;Serif"/>
          <w:b w:val="false"/>
          <w:i w:val="false"/>
          <w:caps w:val="false"/>
          <w:smallCaps w:val="false"/>
          <w:sz w:val="20"/>
        </w:rPr>
        <w:t xml:space="preserve">one year. The Company determined the warrant to be a freestanding equity instrument with no subsequent remeasurement. The Company determined the amount recognized within additional paid-in capital by allocating the proceeds received among the shares of common stock and the warrant issued based on their relative fair values. Subsequent to the Merger, the Company sold </w:t>
      </w:r>
      <w:bookmarkStart w:id="1642" w:name="xdx_908_eus-gaap--StockIssuedDuringPerio"/>
      <w:bookmarkEnd w:id="1642"/>
      <w:r>
        <w:rPr>
          <w:rFonts w:ascii="Times New Roman;Times;Serif" w:hAnsi="Times New Roman;Times;Serif"/>
          <w:b w:val="false"/>
          <w:i w:val="false"/>
          <w:caps w:val="false"/>
          <w:smallCaps w:val="false"/>
          <w:sz w:val="20"/>
        </w:rPr>
        <w:t>37,000 shares of its Class A Common Stock to an unaffiliated investor for proceeds of $</w:t>
      </w:r>
      <w:bookmarkStart w:id="1643" w:name="xdx_905_eus-gaap--ProceedsFromIssuanceOf"/>
      <w:bookmarkEnd w:id="1643"/>
      <w:r>
        <w:rPr>
          <w:rFonts w:ascii="Times New Roman;Times;Serif" w:hAnsi="Times New Roman;Times;Serif"/>
          <w:b w:val="false"/>
          <w:i w:val="false"/>
          <w:caps w:val="false"/>
          <w:smallCaps w:val="false"/>
          <w:sz w:val="20"/>
        </w:rPr>
        <w:t xml:space="preserve">192. The Company also issued the investor a warrant to purchase an aggregate of </w:t>
      </w:r>
      <w:bookmarkStart w:id="1644" w:name="xdx_90B_eus-gaap--ClassOfWarrantOrRightN"/>
      <w:bookmarkEnd w:id="1644"/>
      <w:r>
        <w:rPr>
          <w:rFonts w:ascii="Times New Roman;Times;Serif" w:hAnsi="Times New Roman;Times;Serif"/>
          <w:b w:val="false"/>
          <w:i w:val="false"/>
          <w:caps w:val="false"/>
          <w:smallCaps w:val="false"/>
          <w:sz w:val="20"/>
        </w:rPr>
        <w:t>40,700 shares of its Class A Common Stock at a price of $</w:t>
      </w:r>
      <w:bookmarkStart w:id="1645" w:name="xdx_909_eus-gaap--SharePrice_iI_pid_c202"/>
      <w:bookmarkEnd w:id="1645"/>
      <w:r>
        <w:rPr>
          <w:rFonts w:ascii="Times New Roman;Times;Serif" w:hAnsi="Times New Roman;Times;Serif"/>
          <w:b w:val="false"/>
          <w:i w:val="false"/>
          <w:caps w:val="false"/>
          <w:smallCaps w:val="false"/>
          <w:sz w:val="20"/>
        </w:rPr>
        <w:t xml:space="preserve">11.80 per share. The warrant is immediately exercisable and has a </w:t>
      </w:r>
      <w:bookmarkStart w:id="1646" w:name="xdx_90A_eus-gaap--WarrantsAndRightsOutst"/>
      <w:bookmarkEnd w:id="1646"/>
      <w:r>
        <w:rPr>
          <w:rFonts w:ascii="Times New Roman;Times;Serif" w:hAnsi="Times New Roman;Times;Serif"/>
          <w:b w:val="false"/>
          <w:i w:val="false"/>
          <w:caps w:val="false"/>
          <w:smallCaps w:val="false"/>
          <w:sz w:val="18"/>
        </w:rPr>
        <w:t>5</w:t>
      </w:r>
      <w:r>
        <w:rPr>
          <w:rFonts w:ascii="Times New Roman;Times;Serif" w:hAnsi="Times New Roman;Times;Serif"/>
          <w:b w:val="false"/>
          <w:i w:val="false"/>
          <w:caps w:val="false"/>
          <w:smallCaps w:val="false"/>
          <w:sz w:val="20"/>
        </w:rPr>
        <w:t>five-year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647" w:name="xdx_892_eus-gaap--ScheduleOfStockholders"/>
      <w:bookmarkEnd w:id="1647"/>
      <w:r>
        <w:rPr>
          <w:rFonts w:ascii="Times New Roman;Times;Serif" w:hAnsi="Times New Roman;Times;Serif"/>
          <w:b w:val="false"/>
          <w:i w:val="false"/>
          <w:caps w:val="false"/>
          <w:smallCaps w:val="false"/>
          <w:sz w:val="20"/>
        </w:rPr>
        <w:t>As of September 30, 2025, the number of shares of Class A Common Stock available for issuance under the Company’s amended and restated articles of incorporation were as follows:</w:t>
      </w:r>
    </w:p>
    <w:p>
      <w:pPr>
        <w:pStyle w:val="TextBody"/>
        <w:bidi w:val="0"/>
        <w:spacing w:before="0" w:after="0"/>
        <w:ind w:left="0" w:right="0" w:hanging="0"/>
        <w:jc w:val="left"/>
        <w:rPr>
          <w:caps w:val="false"/>
          <w:smallCaps w:val="false"/>
        </w:rPr>
      </w:pPr>
      <w:r>
        <w:rPr>
          <w:caps w:val="false"/>
          <w:smallCaps w:val="false"/>
        </w:rPr>
        <w:t> </w:t>
      </w:r>
      <w:bookmarkStart w:id="1648" w:name="xdx_8B5_zK4dr02jCh53"/>
      <w:bookmarkEnd w:id="1648"/>
      <w:r>
        <w:rPr>
          <w:rFonts w:ascii="Times New Roman;Times;Serif" w:hAnsi="Times New Roman;Times;Serif"/>
          <w:b w:val="false"/>
          <w:i w:val="false"/>
          <w:caps w:val="false"/>
          <w:smallCaps w:val="false"/>
          <w:sz w:val="20"/>
        </w:rPr>
        <w:t>Schedule of Common Stock Available for Issuance</w:t>
      </w:r>
    </w:p>
    <w:tbl>
      <w:tblPr>
        <w:tblW w:w="7555" w:type="dxa"/>
        <w:jc w:val="left"/>
        <w:tblInd w:w="0" w:type="dxa"/>
        <w:tblLayout w:type="fixed"/>
        <w:tblCellMar>
          <w:top w:w="0" w:type="dxa"/>
          <w:left w:w="0" w:type="dxa"/>
          <w:bottom w:w="0" w:type="dxa"/>
          <w:right w:w="0" w:type="dxa"/>
        </w:tblCellMar>
      </w:tblPr>
      <w:tblGrid>
        <w:gridCol w:w="6140"/>
        <w:gridCol w:w="60"/>
        <w:gridCol w:w="60"/>
        <w:gridCol w:w="1220"/>
        <w:gridCol w:w="75"/>
      </w:tblGrid>
      <w:tr>
        <w:trPr/>
        <w:tc>
          <w:tcPr>
            <w:tcW w:w="6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49" w:name="xdx_496_20250930__us-gaap--StatementClas"/>
            <w:bookmarkEnd w:id="1649"/>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650" w:name="xdx_400_eus-gaap--CommonStockSharesAutho"/>
            <w:bookmarkEnd w:id="1650"/>
          </w:p>
        </w:tc>
      </w:tr>
      <w:tr>
        <w:trPr/>
        <w:tc>
          <w:tcPr>
            <w:tcW w:w="6140" w:type="dxa"/>
            <w:tcBorders/>
            <w:shd w:fill="CCEEFF" w:val="clear"/>
            <w:vAlign w:val="center"/>
          </w:tcPr>
          <w:p>
            <w:pPr>
              <w:pStyle w:val="TableContents"/>
              <w:bidi w:val="0"/>
              <w:spacing w:before="0" w:after="283"/>
              <w:jc w:val="left"/>
              <w:rPr/>
            </w:pPr>
            <w:r>
              <w:rPr/>
              <w:t>Authorized number of shares of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285,000,000</w:t>
            </w:r>
          </w:p>
        </w:tc>
        <w:tc>
          <w:tcPr>
            <w:tcW w:w="75"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651" w:name="xdx_40A_eus-gaap--CommonStockSharesOutst"/>
            <w:bookmarkEnd w:id="1651"/>
          </w:p>
        </w:tc>
      </w:tr>
      <w:tr>
        <w:trPr/>
        <w:tc>
          <w:tcPr>
            <w:tcW w:w="6140" w:type="dxa"/>
            <w:tcBorders/>
            <w:shd w:fill="CCEEFF" w:val="clear"/>
            <w:vAlign w:val="center"/>
          </w:tcPr>
          <w:p>
            <w:pPr>
              <w:pStyle w:val="TableContents"/>
              <w:bidi w:val="0"/>
              <w:spacing w:before="0" w:after="283"/>
              <w:jc w:val="left"/>
              <w:rPr/>
            </w:pPr>
            <w:r>
              <w:rPr/>
              <w:t>Class A Common Stock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5,883,842</w:t>
            </w:r>
          </w:p>
        </w:tc>
        <w:tc>
          <w:tcPr>
            <w:tcW w:w="75" w:type="dxa"/>
            <w:tcBorders/>
            <w:shd w:fill="CCEEFF" w:val="clear"/>
            <w:vAlign w:val="center"/>
          </w:tcPr>
          <w:p>
            <w:pPr>
              <w:pStyle w:val="TableContents"/>
              <w:bidi w:val="0"/>
              <w:spacing w:before="0" w:after="283"/>
              <w:jc w:val="left"/>
              <w:rPr/>
            </w:pPr>
            <w:r>
              <w:rPr/>
              <w:t> </w:t>
            </w:r>
            <w:bookmarkStart w:id="1652" w:name="xdx_40F_ecustom--ReserveForConversionOfC"/>
            <w:bookmarkEnd w:id="1652"/>
          </w:p>
        </w:tc>
      </w:tr>
      <w:tr>
        <w:trPr/>
        <w:tc>
          <w:tcPr>
            <w:tcW w:w="6140" w:type="dxa"/>
            <w:tcBorders/>
            <w:shd w:fill="FFFFFF" w:val="clear"/>
            <w:vAlign w:val="center"/>
          </w:tcPr>
          <w:p>
            <w:pPr>
              <w:pStyle w:val="TableContents"/>
              <w:bidi w:val="0"/>
              <w:spacing w:before="0" w:after="283"/>
              <w:jc w:val="left"/>
              <w:rPr/>
            </w:pPr>
            <w:r>
              <w:rPr/>
              <w:t>Reserve for conversion of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200,491</w:t>
            </w:r>
          </w:p>
        </w:tc>
        <w:tc>
          <w:tcPr>
            <w:tcW w:w="75" w:type="dxa"/>
            <w:tcBorders/>
            <w:shd w:fill="FFFFFF" w:val="clear"/>
            <w:vAlign w:val="center"/>
          </w:tcPr>
          <w:p>
            <w:pPr>
              <w:pStyle w:val="TableContents"/>
              <w:bidi w:val="0"/>
              <w:spacing w:before="0" w:after="283"/>
              <w:jc w:val="left"/>
              <w:rPr/>
            </w:pPr>
            <w:r>
              <w:rPr/>
              <w:t> </w:t>
            </w:r>
            <w:bookmarkStart w:id="1653" w:name="xdx_401_ecustom--ReserveForExerciseOfCom"/>
            <w:bookmarkEnd w:id="1653"/>
          </w:p>
        </w:tc>
      </w:tr>
      <w:tr>
        <w:trPr/>
        <w:tc>
          <w:tcPr>
            <w:tcW w:w="6140" w:type="dxa"/>
            <w:tcBorders/>
            <w:shd w:fill="CCEEFF" w:val="clear"/>
            <w:vAlign w:val="center"/>
          </w:tcPr>
          <w:p>
            <w:pPr>
              <w:pStyle w:val="TableContents"/>
              <w:bidi w:val="0"/>
              <w:spacing w:before="0" w:after="283"/>
              <w:jc w:val="left"/>
              <w:rPr/>
            </w:pPr>
            <w:r>
              <w:rPr/>
              <w:t>Reserve for exercise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2,508,573</w:t>
            </w:r>
          </w:p>
        </w:tc>
        <w:tc>
          <w:tcPr>
            <w:tcW w:w="75" w:type="dxa"/>
            <w:tcBorders/>
            <w:shd w:fill="CCEEFF" w:val="clear"/>
            <w:vAlign w:val="center"/>
          </w:tcPr>
          <w:p>
            <w:pPr>
              <w:pStyle w:val="TableContents"/>
              <w:bidi w:val="0"/>
              <w:spacing w:before="0" w:after="283"/>
              <w:jc w:val="left"/>
              <w:rPr/>
            </w:pPr>
            <w:r>
              <w:rPr/>
              <w:t> </w:t>
            </w:r>
            <w:bookmarkStart w:id="1654" w:name="xdx_404_ecustom--ReserveForEarnoutShares"/>
            <w:bookmarkEnd w:id="1654"/>
          </w:p>
        </w:tc>
      </w:tr>
      <w:tr>
        <w:trPr/>
        <w:tc>
          <w:tcPr>
            <w:tcW w:w="6140" w:type="dxa"/>
            <w:tcBorders/>
            <w:shd w:fill="FFFFFF" w:val="clear"/>
            <w:vAlign w:val="center"/>
          </w:tcPr>
          <w:p>
            <w:pPr>
              <w:pStyle w:val="TableContents"/>
              <w:bidi w:val="0"/>
              <w:spacing w:before="0" w:after="283"/>
              <w:jc w:val="left"/>
              <w:rPr/>
            </w:pPr>
            <w:r>
              <w:rPr/>
              <w:t>Reserve for Earnout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350,000</w:t>
            </w:r>
          </w:p>
        </w:tc>
        <w:tc>
          <w:tcPr>
            <w:tcW w:w="75" w:type="dxa"/>
            <w:tcBorders/>
            <w:shd w:fill="FFFFFF" w:val="clear"/>
            <w:vAlign w:val="center"/>
          </w:tcPr>
          <w:p>
            <w:pPr>
              <w:pStyle w:val="TableContents"/>
              <w:bidi w:val="0"/>
              <w:spacing w:before="0" w:after="283"/>
              <w:jc w:val="left"/>
              <w:rPr/>
            </w:pPr>
            <w:r>
              <w:rPr/>
              <w:t> </w:t>
            </w:r>
            <w:bookmarkStart w:id="1655" w:name="xdx_406_ecustom--ReserveForRageEarnout_i"/>
            <w:bookmarkEnd w:id="1655"/>
          </w:p>
        </w:tc>
      </w:tr>
      <w:tr>
        <w:trPr/>
        <w:tc>
          <w:tcPr>
            <w:tcW w:w="6140" w:type="dxa"/>
            <w:tcBorders/>
            <w:shd w:fill="CCEEFF" w:val="clear"/>
            <w:vAlign w:val="center"/>
          </w:tcPr>
          <w:p>
            <w:pPr>
              <w:pStyle w:val="TableContents"/>
              <w:bidi w:val="0"/>
              <w:spacing w:before="0" w:after="283"/>
              <w:jc w:val="left"/>
              <w:rPr/>
            </w:pPr>
            <w:r>
              <w:rPr/>
              <w:t>Reserve for RaGE Earnout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64,280</w:t>
            </w:r>
          </w:p>
        </w:tc>
        <w:tc>
          <w:tcPr>
            <w:tcW w:w="75" w:type="dxa"/>
            <w:tcBorders/>
            <w:shd w:fill="CCEEFF" w:val="clear"/>
            <w:vAlign w:val="center"/>
          </w:tcPr>
          <w:p>
            <w:pPr>
              <w:pStyle w:val="TableContents"/>
              <w:bidi w:val="0"/>
              <w:spacing w:before="0" w:after="283"/>
              <w:jc w:val="left"/>
              <w:rPr/>
            </w:pPr>
            <w:r>
              <w:rPr/>
              <w:t> </w:t>
            </w:r>
            <w:bookmarkStart w:id="1656" w:name="xdx_409_ecustom--StockOptionsAndRSUsOuts"/>
            <w:bookmarkEnd w:id="1656"/>
          </w:p>
        </w:tc>
      </w:tr>
      <w:tr>
        <w:trPr/>
        <w:tc>
          <w:tcPr>
            <w:tcW w:w="6140" w:type="dxa"/>
            <w:tcBorders/>
            <w:shd w:fill="FFFFFF" w:val="clear"/>
            <w:vAlign w:val="center"/>
          </w:tcPr>
          <w:p>
            <w:pPr>
              <w:pStyle w:val="TableContents"/>
              <w:bidi w:val="0"/>
              <w:spacing w:before="0" w:after="283"/>
              <w:jc w:val="left"/>
              <w:rPr/>
            </w:pPr>
            <w:r>
              <w:rPr/>
              <w:t>Stock options and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1,564,028</w:t>
            </w:r>
          </w:p>
        </w:tc>
        <w:tc>
          <w:tcPr>
            <w:tcW w:w="75" w:type="dxa"/>
            <w:tcBorders/>
            <w:shd w:fill="FFFFFF" w:val="clear"/>
            <w:vAlign w:val="center"/>
          </w:tcPr>
          <w:p>
            <w:pPr>
              <w:pStyle w:val="TableContents"/>
              <w:bidi w:val="0"/>
              <w:spacing w:before="0" w:after="283"/>
              <w:jc w:val="left"/>
              <w:rPr/>
            </w:pPr>
            <w:r>
              <w:rPr/>
              <w:t> </w:t>
            </w:r>
            <w:bookmarkStart w:id="1657" w:name="xdx_409_eus-gaap--ShareBasedCompensation"/>
            <w:bookmarkEnd w:id="1657"/>
          </w:p>
        </w:tc>
      </w:tr>
      <w:tr>
        <w:trPr/>
        <w:tc>
          <w:tcPr>
            <w:tcW w:w="6140" w:type="dxa"/>
            <w:tcBorders/>
            <w:shd w:fill="CCEEFF" w:val="clear"/>
            <w:vAlign w:val="center"/>
          </w:tcPr>
          <w:p>
            <w:pPr>
              <w:pStyle w:val="TableContents"/>
              <w:bidi w:val="0"/>
              <w:spacing w:before="0" w:after="283"/>
              <w:jc w:val="left"/>
              <w:rPr/>
            </w:pPr>
            <w:r>
              <w:rPr/>
              <w:t>Awards available for grant under 2023 Equity Incentive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256,089</w:t>
            </w:r>
          </w:p>
        </w:tc>
        <w:tc>
          <w:tcPr>
            <w:tcW w:w="75" w:type="dxa"/>
            <w:tcBorders/>
            <w:shd w:fill="CCEEFF" w:val="clear"/>
            <w:vAlign w:val="center"/>
          </w:tcPr>
          <w:p>
            <w:pPr>
              <w:pStyle w:val="TableContents"/>
              <w:bidi w:val="0"/>
              <w:spacing w:before="0" w:after="283"/>
              <w:jc w:val="left"/>
              <w:rPr/>
            </w:pPr>
            <w:r>
              <w:rPr/>
              <w:t> </w:t>
            </w:r>
            <w:bookmarkStart w:id="1658" w:name="xdx_406_ecustom--AwardsAvailableForGrant"/>
            <w:bookmarkEnd w:id="1658"/>
          </w:p>
        </w:tc>
      </w:tr>
      <w:tr>
        <w:trPr/>
        <w:tc>
          <w:tcPr>
            <w:tcW w:w="6140" w:type="dxa"/>
            <w:tcBorders/>
            <w:shd w:fill="FFFFFF" w:val="clear"/>
            <w:vAlign w:val="center"/>
          </w:tcPr>
          <w:p>
            <w:pPr>
              <w:pStyle w:val="TableContents"/>
              <w:bidi w:val="0"/>
              <w:spacing w:before="0" w:after="283"/>
              <w:jc w:val="left"/>
              <w:rPr/>
            </w:pPr>
            <w:r>
              <w:rPr/>
              <w:t>Reserve for issuance under 2023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68,705</w:t>
            </w:r>
          </w:p>
        </w:tc>
        <w:tc>
          <w:tcPr>
            <w:tcW w:w="75" w:type="dxa"/>
            <w:tcBorders/>
            <w:shd w:fill="FFFFFF" w:val="clear"/>
            <w:vAlign w:val="center"/>
          </w:tcPr>
          <w:p>
            <w:pPr>
              <w:pStyle w:val="TableContents"/>
              <w:bidi w:val="0"/>
              <w:spacing w:before="0" w:after="283"/>
              <w:jc w:val="left"/>
              <w:rPr/>
            </w:pPr>
            <w:r>
              <w:rPr/>
              <w:t> </w:t>
            </w:r>
            <w:bookmarkStart w:id="1659" w:name="xdx_40F_eus-gaap--CommonStockCapitalShar"/>
            <w:bookmarkEnd w:id="1659"/>
          </w:p>
        </w:tc>
      </w:tr>
      <w:tr>
        <w:trPr/>
        <w:tc>
          <w:tcPr>
            <w:tcW w:w="6140" w:type="dxa"/>
            <w:tcBorders/>
            <w:shd w:fill="CCEEFF" w:val="clear"/>
            <w:vAlign w:val="center"/>
          </w:tcPr>
          <w:p>
            <w:pPr>
              <w:pStyle w:val="TableContents"/>
              <w:bidi w:val="0"/>
              <w:spacing w:before="0" w:after="283"/>
              <w:jc w:val="left"/>
              <w:rPr/>
            </w:pPr>
            <w:r>
              <w:rPr/>
              <w:t>Class A Common Stock available for issuance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274,103,993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660" w:name="xdx_8A1_zhafcTCZ9BT1"/>
      <w:bookmarkEnd w:id="1660"/>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declared or paid any dividends on any class of its equity securities and does not expect to do so in the near future.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Committed Equity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the Company entered into a Purchase Agreement (“Purchase Agreement”) and a related Registration Rights Agreement with B. Riley Principal Capital II (“B. Riley”) which provides the Company the right, in its sole discretion, and subject to the satisfaction of the conditions set forth therein, to sell to B. Riley up to </w:t>
      </w:r>
      <w:bookmarkStart w:id="1661" w:name="xdx_90B_eus-gaap--StockIssuedDuringPerio"/>
      <w:bookmarkEnd w:id="1661"/>
      <w:r>
        <w:rPr>
          <w:rFonts w:ascii="Times New Roman;Times;Serif" w:hAnsi="Times New Roman;Times;Serif"/>
          <w:b w:val="false"/>
          <w:i w:val="false"/>
          <w:caps w:val="false"/>
          <w:smallCaps w:val="false"/>
          <w:sz w:val="20"/>
        </w:rPr>
        <w:t>950,000 newly issued shares of its Class A Common Stock (subject to certain limitations) from time to time. Any sales of Class A Common Stock pursuant to the Purchase Agreement, and the timing of any sales, are solely at the Company’s option, and the Company is under no obligation to sell any securities to B. Riley. The per share purchase price that B. Riley will pay for shares of Class A Common Stock is determined by reference to the volume weighted average price of the Class A Common Stock measured over the regular trading session or intraday period of the trading session on Nasdaq on the date of each purchase, in each case as defined in the Purchase Agreement, less a three percent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B. Riley’s commitment to purchase shares of the Company’s Class A Common Stock, the Company agreed to pay a cash commitment fee in the amount of $</w:t>
      </w:r>
      <w:bookmarkStart w:id="1662" w:name="xdx_90C_eus-gaap--OtherCommitment_iI_pn3"/>
      <w:bookmarkEnd w:id="1662"/>
      <w:r>
        <w:rPr>
          <w:rFonts w:ascii="Times New Roman;Times;Serif" w:hAnsi="Times New Roman;Times;Serif"/>
          <w:b w:val="false"/>
          <w:i w:val="false"/>
          <w:caps w:val="false"/>
          <w:smallCaps w:val="false"/>
          <w:sz w:val="20"/>
        </w:rPr>
        <w:t xml:space="preserve">1,500 and reimburse certain legal fees. B. Riley will withhold </w:t>
      </w:r>
      <w:bookmarkStart w:id="1663" w:name="xdx_909_ecustom--CashFromAggregatePurcha"/>
      <w:bookmarkEnd w:id="1663"/>
      <w:r>
        <w:rPr>
          <w:rFonts w:ascii="Times New Roman;Times;Serif" w:hAnsi="Times New Roman;Times;Serif"/>
          <w:b w:val="false"/>
          <w:i w:val="false"/>
          <w:caps w:val="false"/>
          <w:smallCaps w:val="false"/>
          <w:sz w:val="20"/>
        </w:rPr>
        <w:t>30% in cash from the total aggregate purchase price until B. Riley has received the entire cash commitment fee. As of September 30, 2025, $</w:t>
      </w:r>
      <w:bookmarkStart w:id="1664" w:name="xdx_904_ecustom--CommitmentFeeUnpaid_c20"/>
      <w:bookmarkEnd w:id="1664"/>
      <w:r>
        <w:rPr>
          <w:rFonts w:ascii="Times New Roman;Times;Serif" w:hAnsi="Times New Roman;Times;Serif"/>
          <w:b w:val="false"/>
          <w:i w:val="false"/>
          <w:caps w:val="false"/>
          <w:smallCaps w:val="false"/>
          <w:sz w:val="20"/>
        </w:rPr>
        <w:t xml:space="preserve">1,478 of the commitment fee remains unpaid, and is currently due. In April 2024, the Company filed a registration statement with the Securities and Exchange Commission to register under the Securities Act, the offer and resale by B. Riley of up to </w:t>
      </w:r>
      <w:bookmarkStart w:id="1665" w:name="xdx_90D_eus-gaap--StockIssuedDuringPerio"/>
      <w:bookmarkEnd w:id="1665"/>
      <w:r>
        <w:rPr>
          <w:rFonts w:ascii="Times New Roman;Times;Serif" w:hAnsi="Times New Roman;Times;Serif"/>
          <w:b w:val="false"/>
          <w:i w:val="false"/>
          <w:caps w:val="false"/>
          <w:smallCaps w:val="false"/>
          <w:sz w:val="20"/>
        </w:rPr>
        <w:t>950,000 shares of Class A Common Stock that the Company may elect to sell to B. Riley pursuant to the Purchase Agreement. The registration statement was declared effective on May 13,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2024, the Company sold </w:t>
      </w:r>
      <w:bookmarkStart w:id="1666" w:name="xdx_909_eus-gaap--StockIssuedDuringPerio"/>
      <w:bookmarkEnd w:id="1666"/>
      <w:r>
        <w:rPr>
          <w:rFonts w:ascii="Times New Roman;Times;Serif" w:hAnsi="Times New Roman;Times;Serif"/>
          <w:b w:val="false"/>
          <w:i w:val="false"/>
          <w:caps w:val="false"/>
          <w:smallCaps w:val="false"/>
          <w:sz w:val="20"/>
        </w:rPr>
        <w:t>3,636 shares of its Class A Common Stock to B. Riley under the Purchase Agreement for gross proceeds of $</w:t>
      </w:r>
      <w:bookmarkStart w:id="1667" w:name="xdx_904_eus-gaap--ProceedsFromIssuanceIn"/>
      <w:bookmarkEnd w:id="1667"/>
      <w:r>
        <w:rPr>
          <w:rFonts w:ascii="Times New Roman;Times;Serif" w:hAnsi="Times New Roman;Times;Serif"/>
          <w:b w:val="false"/>
          <w:i w:val="false"/>
          <w:caps w:val="false"/>
          <w:smallCaps w:val="false"/>
          <w:sz w:val="20"/>
        </w:rPr>
        <w:t>73; no shares were sold under the Purchase Agreement during the year ended September 30, 2025. The amount and timing of the proceeds the Company receives from the sale of shares of Class A Common Stock pursuant to the Purchase Agreement, if any, will depend on a number of factors, including the numbers of shares the Company may elect to sell, the timing of such sales, the future market price of the Company’s Class A Common stock and the payment of the cash commitment fee. For the year ended September 30, 2024, cash commitment and other fees under the Purchase Agreement totaling $</w:t>
      </w:r>
      <w:bookmarkStart w:id="1668" w:name="xdx_900_eus-gaap--PaymentsForFees_pn3n3_"/>
      <w:bookmarkEnd w:id="1668"/>
      <w:r>
        <w:rPr>
          <w:rFonts w:ascii="Times New Roman;Times;Serif" w:hAnsi="Times New Roman;Times;Serif"/>
          <w:b w:val="false"/>
          <w:i w:val="false"/>
          <w:caps w:val="false"/>
          <w:smallCaps w:val="false"/>
          <w:sz w:val="20"/>
        </w:rPr>
        <w:t>1,577 are included in “Other non-operating losses, net”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69" w:name="xdx_804_ecustom--WarrantsTextBlock_zf9CC"/>
      <w:bookmarkEnd w:id="1669"/>
      <w:r>
        <w:rPr>
          <w:rFonts w:ascii="Times New Roman;Times;Serif" w:hAnsi="Times New Roman;Times;Serif"/>
          <w:b/>
          <w:i w:val="false"/>
          <w:caps w:val="false"/>
          <w:smallCaps w:val="false"/>
          <w:sz w:val="20"/>
        </w:rPr>
        <w:t xml:space="preserve">Note 15 — </w:t>
      </w:r>
      <w:bookmarkStart w:id="1670" w:name="xdx_826_zKE9Y9Hb7Hmg"/>
      <w:bookmarkEnd w:id="1670"/>
      <w:r>
        <w:rPr>
          <w:rFonts w:ascii="Times New Roman;Times;Serif" w:hAnsi="Times New Roman;Times;Serif"/>
          <w:b/>
          <w:i w:val="false"/>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671" w:name="xdx_898_ecustom--ScheduleOfOutstandingWa"/>
      <w:bookmarkEnd w:id="1671"/>
      <w:r>
        <w:rPr>
          <w:rFonts w:ascii="Times New Roman;Times;Serif" w:hAnsi="Times New Roman;Times;Serif"/>
          <w:b w:val="false"/>
          <w:i w:val="false"/>
          <w:caps w:val="false"/>
          <w:smallCaps w:val="false"/>
          <w:sz w:val="20"/>
        </w:rPr>
        <w:t>Outstanding warrants consist of the following:</w:t>
      </w:r>
    </w:p>
    <w:p>
      <w:pPr>
        <w:pStyle w:val="TextBody"/>
        <w:bidi w:val="0"/>
        <w:spacing w:before="0" w:after="0"/>
        <w:ind w:left="0" w:right="0" w:hanging="0"/>
        <w:jc w:val="left"/>
        <w:rPr>
          <w:caps w:val="false"/>
          <w:smallCaps w:val="false"/>
        </w:rPr>
      </w:pPr>
      <w:r>
        <w:rPr>
          <w:caps w:val="false"/>
          <w:smallCaps w:val="false"/>
        </w:rPr>
        <w:t> </w:t>
      </w:r>
      <w:bookmarkStart w:id="1672" w:name="xdx_8BC_zbRPnfEUevke"/>
      <w:bookmarkEnd w:id="1672"/>
      <w:r>
        <w:rPr>
          <w:rFonts w:ascii="Times New Roman;Times;Serif" w:hAnsi="Times New Roman;Times;Serif"/>
          <w:b w:val="false"/>
          <w:i w:val="false"/>
          <w:caps w:val="false"/>
          <w:smallCaps w:val="false"/>
          <w:sz w:val="20"/>
        </w:rPr>
        <w:t>Schedule of Outstanding Warrants</w:t>
      </w:r>
    </w:p>
    <w:tbl>
      <w:tblPr>
        <w:tblW w:w="7860" w:type="dxa"/>
        <w:jc w:val="left"/>
        <w:tblInd w:w="0" w:type="dxa"/>
        <w:tblLayout w:type="fixed"/>
        <w:tblCellMar>
          <w:top w:w="0" w:type="dxa"/>
          <w:left w:w="0" w:type="dxa"/>
          <w:bottom w:w="0" w:type="dxa"/>
          <w:right w:w="0" w:type="dxa"/>
        </w:tblCellMar>
      </w:tblPr>
      <w:tblGrid>
        <w:gridCol w:w="5285"/>
        <w:gridCol w:w="60"/>
        <w:gridCol w:w="60"/>
        <w:gridCol w:w="1100"/>
        <w:gridCol w:w="60"/>
        <w:gridCol w:w="60"/>
        <w:gridCol w:w="60"/>
        <w:gridCol w:w="1100"/>
        <w:gridCol w:w="75"/>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73" w:name="xdx_493_20250930_z3svHSjBqJFj"/>
            <w:bookmarkEnd w:id="1673"/>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74" w:name="xdx_49F_20240930_z6a859Kiqdfk"/>
            <w:bookmarkEnd w:id="1674"/>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1675" w:name="xdx_405_eus-gaap--ClassOfWarrantOrRightO"/>
            <w:bookmarkEnd w:id="1675"/>
          </w:p>
        </w:tc>
      </w:tr>
      <w:tr>
        <w:trPr/>
        <w:tc>
          <w:tcPr>
            <w:tcW w:w="5285" w:type="dxa"/>
            <w:tcBorders/>
            <w:shd w:fill="CCEEFF" w:val="clear"/>
            <w:vAlign w:val="center"/>
          </w:tcPr>
          <w:p>
            <w:pPr>
              <w:pStyle w:val="TableContents"/>
              <w:bidi w:val="0"/>
              <w:spacing w:before="0" w:after="283"/>
              <w:jc w:val="left"/>
              <w:rPr/>
            </w:pPr>
            <w:r>
              <w:rPr/>
              <w:t>Public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6,000,000</w:t>
            </w:r>
          </w:p>
        </w:tc>
        <w:tc>
          <w:tcPr>
            <w:tcW w:w="75" w:type="dxa"/>
            <w:tcBorders/>
            <w:shd w:fill="CCEEFF" w:val="clear"/>
            <w:vAlign w:val="center"/>
          </w:tcPr>
          <w:p>
            <w:pPr>
              <w:pStyle w:val="TableContents"/>
              <w:bidi w:val="0"/>
              <w:spacing w:before="0" w:after="283"/>
              <w:jc w:val="left"/>
              <w:rPr/>
            </w:pPr>
            <w:r>
              <w:rPr/>
              <w:t> </w:t>
            </w:r>
            <w:bookmarkStart w:id="1676" w:name="xdx_401_eus-gaap--ClassOfWarrantOrRightO"/>
            <w:bookmarkEnd w:id="1676"/>
          </w:p>
        </w:tc>
      </w:tr>
      <w:tr>
        <w:trPr/>
        <w:tc>
          <w:tcPr>
            <w:tcW w:w="5285" w:type="dxa"/>
            <w:tcBorders/>
            <w:shd w:fill="FFFFFF" w:val="clear"/>
            <w:vAlign w:val="center"/>
          </w:tcPr>
          <w:p>
            <w:pPr>
              <w:pStyle w:val="TableContents"/>
              <w:bidi w:val="0"/>
              <w:spacing w:before="0" w:after="283"/>
              <w:jc w:val="left"/>
              <w:rPr/>
            </w:pPr>
            <w:r>
              <w:rPr/>
              <w:t>Private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3,000,000</w:t>
            </w:r>
          </w:p>
        </w:tc>
        <w:tc>
          <w:tcPr>
            <w:tcW w:w="75" w:type="dxa"/>
            <w:tcBorders/>
            <w:shd w:fill="FFFFFF" w:val="clear"/>
            <w:vAlign w:val="center"/>
          </w:tcPr>
          <w:p>
            <w:pPr>
              <w:pStyle w:val="TableContents"/>
              <w:bidi w:val="0"/>
              <w:spacing w:before="0" w:after="283"/>
              <w:jc w:val="left"/>
              <w:rPr/>
            </w:pPr>
            <w:r>
              <w:rPr/>
              <w:t> </w:t>
            </w:r>
            <w:bookmarkStart w:id="1677" w:name="xdx_400_eus-gaap--ClassOfWarrantOrRightO"/>
            <w:bookmarkEnd w:id="1677"/>
          </w:p>
        </w:tc>
      </w:tr>
      <w:tr>
        <w:trPr/>
        <w:tc>
          <w:tcPr>
            <w:tcW w:w="5285" w:type="dxa"/>
            <w:tcBorders/>
            <w:shd w:fill="CCEEFF" w:val="clear"/>
            <w:vAlign w:val="center"/>
          </w:tcPr>
          <w:p>
            <w:pPr>
              <w:pStyle w:val="TableContents"/>
              <w:bidi w:val="0"/>
              <w:spacing w:before="0" w:after="283"/>
              <w:jc w:val="left"/>
              <w:rPr/>
            </w:pPr>
            <w:r>
              <w:rPr/>
              <w:t>PIPE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1,750,000</w:t>
            </w:r>
          </w:p>
        </w:tc>
        <w:tc>
          <w:tcPr>
            <w:tcW w:w="75" w:type="dxa"/>
            <w:tcBorders/>
            <w:shd w:fill="CCEEFF" w:val="clear"/>
            <w:vAlign w:val="center"/>
          </w:tcPr>
          <w:p>
            <w:pPr>
              <w:pStyle w:val="TableContents"/>
              <w:bidi w:val="0"/>
              <w:spacing w:before="0" w:after="283"/>
              <w:jc w:val="left"/>
              <w:rPr/>
            </w:pPr>
            <w:r>
              <w:rPr/>
              <w:t> </w:t>
            </w:r>
            <w:bookmarkStart w:id="1678" w:name="xdx_400_eus-gaap--ClassOfWarrantOrRightO"/>
            <w:bookmarkEnd w:id="1678"/>
          </w:p>
        </w:tc>
      </w:tr>
      <w:tr>
        <w:trPr/>
        <w:tc>
          <w:tcPr>
            <w:tcW w:w="5285" w:type="dxa"/>
            <w:tcBorders/>
            <w:shd w:fill="FFFFFF" w:val="clear"/>
            <w:vAlign w:val="center"/>
          </w:tcPr>
          <w:p>
            <w:pPr>
              <w:pStyle w:val="TableContents"/>
              <w:bidi w:val="0"/>
              <w:spacing w:before="0" w:after="283"/>
              <w:jc w:val="left"/>
              <w:rPr/>
            </w:pPr>
            <w:r>
              <w:rPr/>
              <w:t>PIPE Common Warrants (July 2024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2,785,491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5,755,396</w:t>
            </w:r>
          </w:p>
        </w:tc>
        <w:tc>
          <w:tcPr>
            <w:tcW w:w="75" w:type="dxa"/>
            <w:tcBorders/>
            <w:shd w:fill="FFFFFF" w:val="clear"/>
            <w:vAlign w:val="center"/>
          </w:tcPr>
          <w:p>
            <w:pPr>
              <w:pStyle w:val="TableContents"/>
              <w:bidi w:val="0"/>
              <w:spacing w:before="0" w:after="283"/>
              <w:jc w:val="left"/>
              <w:rPr/>
            </w:pPr>
            <w:r>
              <w:rPr/>
              <w:t> </w:t>
            </w:r>
            <w:bookmarkStart w:id="1679" w:name="xdx_404_eus-gaap--ClassOfWarrantOrRightO"/>
            <w:bookmarkEnd w:id="1679"/>
          </w:p>
        </w:tc>
      </w:tr>
      <w:tr>
        <w:trPr/>
        <w:tc>
          <w:tcPr>
            <w:tcW w:w="5285" w:type="dxa"/>
            <w:tcBorders/>
            <w:shd w:fill="CCEEFF" w:val="clear"/>
            <w:vAlign w:val="center"/>
          </w:tcPr>
          <w:p>
            <w:pPr>
              <w:pStyle w:val="TableContents"/>
              <w:bidi w:val="0"/>
              <w:spacing w:before="0" w:after="283"/>
              <w:jc w:val="left"/>
              <w:rPr/>
            </w:pPr>
            <w:r>
              <w:rPr/>
              <w:t>Common Warrants (April 2025 Offering)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2,360,298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680" w:name="xdx_40D_eus-gaap--ClassOfWarrantOrRightO"/>
            <w:bookmarkEnd w:id="1680"/>
          </w:p>
        </w:tc>
      </w:tr>
      <w:tr>
        <w:trPr/>
        <w:tc>
          <w:tcPr>
            <w:tcW w:w="5285" w:type="dxa"/>
            <w:tcBorders/>
            <w:shd w:fill="FFFFFF" w:val="clear"/>
            <w:vAlign w:val="center"/>
          </w:tcPr>
          <w:p>
            <w:pPr>
              <w:pStyle w:val="TableContents"/>
              <w:bidi w:val="0"/>
              <w:spacing w:before="0" w:after="283"/>
              <w:jc w:val="left"/>
              <w:rPr/>
            </w:pPr>
            <w:r>
              <w:rPr/>
              <w:t>Inducement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8,229,701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681" w:name="xdx_400_eus-gaap--ClassOfWarrantOrRightO"/>
            <w:bookmarkEnd w:id="1681"/>
          </w:p>
        </w:tc>
      </w:tr>
      <w:tr>
        <w:trPr/>
        <w:tc>
          <w:tcPr>
            <w:tcW w:w="5285" w:type="dxa"/>
            <w:tcBorders/>
            <w:shd w:fill="CCEEFF" w:val="clear"/>
            <w:vAlign w:val="center"/>
          </w:tcPr>
          <w:p>
            <w:pPr>
              <w:pStyle w:val="TableContents"/>
              <w:bidi w:val="0"/>
              <w:spacing w:before="0" w:after="283"/>
              <w:jc w:val="left"/>
              <w:rPr/>
            </w:pPr>
            <w:r>
              <w:rPr/>
              <w:t>Other warrants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2,460,242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2,170,403</w:t>
            </w:r>
          </w:p>
        </w:tc>
        <w:tc>
          <w:tcPr>
            <w:tcW w:w="75" w:type="dxa"/>
            <w:tcBorders/>
            <w:shd w:fill="CCEEFF" w:val="clear"/>
            <w:vAlign w:val="center"/>
          </w:tcPr>
          <w:p>
            <w:pPr>
              <w:pStyle w:val="TableContents"/>
              <w:bidi w:val="0"/>
              <w:spacing w:before="0" w:after="283"/>
              <w:jc w:val="left"/>
              <w:rPr/>
            </w:pPr>
            <w:r>
              <w:rPr/>
              <w:t> </w:t>
            </w:r>
            <w:bookmarkStart w:id="1682" w:name="xdx_40B_eus-gaap--ClassOfWarrantOrRightO"/>
            <w:bookmarkEnd w:id="1682"/>
          </w:p>
        </w:tc>
      </w:tr>
      <w:tr>
        <w:trPr/>
        <w:tc>
          <w:tcPr>
            <w:tcW w:w="528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25,085,732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18,675,799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683" w:name="xdx_8A6_zBt1cwQh9Tw"/>
      <w:bookmarkEnd w:id="1683"/>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2025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2025, the Company entered into a securities purchase agreement (the “2025 Securities Purchase Agreement”) with an institutional accredited investor, pursuant to which it issued </w:t>
      </w:r>
      <w:bookmarkStart w:id="1684" w:name="xdx_90F_eus-gaap--CommonStockSharesIssue"/>
      <w:bookmarkEnd w:id="1684"/>
      <w:r>
        <w:rPr>
          <w:rFonts w:ascii="Times New Roman;Times;Serif" w:hAnsi="Times New Roman;Times;Serif"/>
          <w:b w:val="false"/>
          <w:i w:val="false"/>
          <w:caps w:val="false"/>
          <w:smallCaps w:val="false"/>
          <w:sz w:val="20"/>
        </w:rPr>
        <w:t xml:space="preserve">385,000 shares of Class A Common Stock, a pre-funded warrant to purchase up to </w:t>
      </w:r>
      <w:bookmarkStart w:id="1685" w:name="xdx_909_eus-gaap--ClassOfWarrantOrRightN"/>
      <w:bookmarkEnd w:id="1685"/>
      <w:r>
        <w:rPr>
          <w:rFonts w:ascii="Times New Roman;Times;Serif" w:hAnsi="Times New Roman;Times;Serif"/>
          <w:b w:val="false"/>
          <w:i w:val="false"/>
          <w:caps w:val="false"/>
          <w:smallCaps w:val="false"/>
          <w:sz w:val="20"/>
        </w:rPr>
        <w:t xml:space="preserve">102,686 shares of Class A Common Stock and common stock warrants (the “Common Warrants”) to purchase up to </w:t>
      </w:r>
      <w:bookmarkStart w:id="1686" w:name="xdx_90D_eus-gaap--ClassOfWarrantOrRightN"/>
      <w:bookmarkEnd w:id="1686"/>
      <w:r>
        <w:rPr>
          <w:rFonts w:ascii="Times New Roman;Times;Serif" w:hAnsi="Times New Roman;Times;Serif"/>
          <w:b w:val="false"/>
          <w:i w:val="false"/>
          <w:caps w:val="false"/>
          <w:smallCaps w:val="false"/>
          <w:sz w:val="20"/>
        </w:rPr>
        <w:t>487,686 shares of the Company’s Class A Common Stock (together, the “April 2025 Offering”). The pre-funded warrant has an exercise price of $</w:t>
      </w:r>
      <w:bookmarkStart w:id="1687" w:name="xdx_903_eus-gaap--ClassOfWarrantOrRightE"/>
      <w:bookmarkEnd w:id="1687"/>
      <w:r>
        <w:rPr>
          <w:rFonts w:ascii="Times New Roman;Times;Serif" w:hAnsi="Times New Roman;Times;Serif"/>
          <w:b w:val="false"/>
          <w:i w:val="false"/>
          <w:caps w:val="false"/>
          <w:smallCaps w:val="false"/>
          <w:sz w:val="20"/>
        </w:rPr>
        <w:t>0.0001 per share and was immediately exercisable. The Common Warrants have an exercise price of $</w:t>
      </w:r>
      <w:bookmarkStart w:id="1688" w:name="xdx_908_eus-gaap--ClassOfWarrantOrRightE"/>
      <w:bookmarkEnd w:id="1688"/>
      <w:r>
        <w:rPr>
          <w:rFonts w:ascii="Times New Roman;Times;Serif" w:hAnsi="Times New Roman;Times;Serif"/>
          <w:b w:val="false"/>
          <w:i w:val="false"/>
          <w:caps w:val="false"/>
          <w:smallCaps w:val="false"/>
          <w:sz w:val="20"/>
        </w:rPr>
        <w:t>8.20, are currently exercisable and will expire on May 30, 2030. The net proceeds to the Company from the April 2025 Offering were $</w:t>
      </w:r>
      <w:bookmarkStart w:id="1689" w:name="xdx_903_eus-gaap--ProceedsFromIssuanceIn"/>
      <w:bookmarkEnd w:id="1689"/>
      <w:r>
        <w:rPr>
          <w:rFonts w:ascii="Times New Roman;Times;Serif" w:hAnsi="Times New Roman;Times;Serif"/>
          <w:b w:val="false"/>
          <w:i w:val="false"/>
          <w:caps w:val="false"/>
          <w:smallCaps w:val="false"/>
          <w:sz w:val="20"/>
        </w:rPr>
        <w:t>3,645, after payment of the placement agent’s fees of $</w:t>
      </w:r>
      <w:bookmarkStart w:id="1690" w:name="xdx_901_eus-gaap--ProceedsFromIssuanceOf"/>
      <w:bookmarkEnd w:id="1690"/>
      <w:r>
        <w:rPr>
          <w:rFonts w:ascii="Times New Roman;Times;Serif" w:hAnsi="Times New Roman;Times;Serif"/>
          <w:b w:val="false"/>
          <w:i w:val="false"/>
          <w:caps w:val="false"/>
          <w:smallCaps w:val="false"/>
          <w:sz w:val="20"/>
        </w:rPr>
        <w:t>355. During the year ended September 30, 2025, the investor fully exercised the pre-funded warrant for net proceeds to the Company of $</w:t>
      </w:r>
      <w:bookmarkStart w:id="1691" w:name="xdx_904_eus-gaap--ProceedsFromWarrantExe"/>
      <w:bookmarkEnd w:id="1691"/>
      <w:r>
        <w:rPr>
          <w:rFonts w:ascii="Times New Roman;Times;Serif" w:hAnsi="Times New Roman;Times;Serif"/>
          <w:b w:val="false"/>
          <w:i w:val="false"/>
          <w:caps w:val="false"/>
          <w:smallCaps w:val="false"/>
          <w:sz w:val="20"/>
        </w:rPr>
        <w:t>0.</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April 2025 Offering, the Company also amended the PIPE Common Warrants (see “</w:t>
      </w:r>
      <w:r>
        <w:rPr>
          <w:rFonts w:ascii="Times New Roman;Times;Serif" w:hAnsi="Times New Roman;Times;Serif"/>
          <w:b w:val="false"/>
          <w:i/>
          <w:caps w:val="false"/>
          <w:smallCaps w:val="false"/>
          <w:sz w:val="20"/>
        </w:rPr>
        <w:t>July 2024 Private Placement</w:t>
      </w:r>
      <w:r>
        <w:rPr>
          <w:rFonts w:ascii="Times New Roman;Times;Serif" w:hAnsi="Times New Roman;Times;Serif"/>
          <w:b w:val="false"/>
          <w:i w:val="false"/>
          <w:caps w:val="false"/>
          <w:smallCaps w:val="false"/>
          <w:sz w:val="20"/>
        </w:rPr>
        <w:t>,” below). The Company allocated the proceeds of the April 2025 Offering among the liability-classified warrants issued and amended based on their estimated fair values, with the remainder of the proceeds allocated to the shares of Class A Common Stock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issued the placement agent warrants to purchase an aggregate of </w:t>
      </w:r>
      <w:bookmarkStart w:id="1692" w:name="xdx_908_eus-gaap--ClassOfWarrantOrRightN"/>
      <w:bookmarkEnd w:id="1692"/>
      <w:r>
        <w:rPr>
          <w:rFonts w:ascii="Times New Roman;Times;Serif" w:hAnsi="Times New Roman;Times;Serif"/>
          <w:b w:val="false"/>
          <w:i w:val="false"/>
          <w:caps w:val="false"/>
          <w:smallCaps w:val="false"/>
          <w:sz w:val="20"/>
        </w:rPr>
        <w:t>68,276 shares of Class A Common Stock. These warrants have an exercise price of $</w:t>
      </w:r>
      <w:bookmarkStart w:id="1693" w:name="xdx_901_eus-gaap--ClassOfWarrantOrRightE"/>
      <w:bookmarkEnd w:id="1693"/>
      <w:r>
        <w:rPr>
          <w:rFonts w:ascii="Times New Roman;Times;Serif" w:hAnsi="Times New Roman;Times;Serif"/>
          <w:b w:val="false"/>
          <w:i w:val="false"/>
          <w:caps w:val="false"/>
          <w:smallCaps w:val="false"/>
          <w:sz w:val="20"/>
        </w:rPr>
        <w:t xml:space="preserve">8.202 per share, are currently exercisable and will expire on </w:t>
      </w:r>
      <w:bookmarkStart w:id="1694" w:name="xdx_90D_eus-gaap--WarrantsAndRightsOutst"/>
      <w:bookmarkEnd w:id="1694"/>
      <w:r>
        <w:rPr>
          <w:rFonts w:ascii="Times New Roman;Times;Serif" w:hAnsi="Times New Roman;Times;Serif"/>
          <w:b w:val="false"/>
          <w:i w:val="false"/>
          <w:caps w:val="false"/>
          <w:smallCaps w:val="false"/>
          <w:sz w:val="20"/>
        </w:rPr>
        <w:t>April 4, 2030. The Company allocated the transaction costs, including the fair value of the placement agent warrants, among the liability-classified and equity-classified securities issued in the April 2025 Offering. The portion of such costs allocated to liability-classified securities of $</w:t>
      </w:r>
      <w:bookmarkStart w:id="1695" w:name="xdx_909_eus-gaap--PaymentsOfFinancingCos"/>
      <w:bookmarkEnd w:id="1695"/>
      <w:r>
        <w:rPr>
          <w:rFonts w:ascii="Times New Roman;Times;Serif" w:hAnsi="Times New Roman;Times;Serif"/>
          <w:b w:val="false"/>
          <w:i w:val="false"/>
          <w:caps w:val="false"/>
          <w:smallCaps w:val="false"/>
          <w:sz w:val="20"/>
        </w:rPr>
        <w:t>443 is included in “Financing costs expensed”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2024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the Company entered into a securities purchase agreement (the “Securities Purchase Agreement”) with an institutional accredited investor, pursuant to which it issued a pre-funded warrant to purchase up to </w:t>
      </w:r>
      <w:bookmarkStart w:id="1696" w:name="xdx_904_eus-gaap--ClassOfWarrantOrRightN"/>
      <w:bookmarkEnd w:id="1696"/>
      <w:r>
        <w:rPr>
          <w:rFonts w:ascii="Times New Roman;Times;Serif" w:hAnsi="Times New Roman;Times;Serif"/>
          <w:b w:val="false"/>
          <w:i w:val="false"/>
          <w:caps w:val="false"/>
          <w:smallCaps w:val="false"/>
          <w:sz w:val="20"/>
        </w:rPr>
        <w:t xml:space="preserve">287,769 shares of the Company’s Class A Common Stock and warrants to purchase an aggregate of </w:t>
      </w:r>
      <w:bookmarkStart w:id="1697" w:name="xdx_908_eus-gaap--ClassOfWarrantOrRightN"/>
      <w:bookmarkEnd w:id="1697"/>
      <w:r>
        <w:rPr>
          <w:rFonts w:ascii="Times New Roman;Times;Serif" w:hAnsi="Times New Roman;Times;Serif"/>
          <w:b w:val="false"/>
          <w:i w:val="false"/>
          <w:caps w:val="false"/>
          <w:smallCaps w:val="false"/>
          <w:sz w:val="20"/>
        </w:rPr>
        <w:t>575,538 shares of the Company’s Class A Common Stock (“PIPE Common Warrants”). The Pre-Funded Warrant has an exercise price of $</w:t>
      </w:r>
      <w:bookmarkStart w:id="1698" w:name="xdx_905_eus-gaap--ClassOfWarrantOrRightE"/>
      <w:bookmarkEnd w:id="1698"/>
      <w:r>
        <w:rPr>
          <w:rFonts w:ascii="Times New Roman;Times;Serif" w:hAnsi="Times New Roman;Times;Serif"/>
          <w:b w:val="false"/>
          <w:i w:val="false"/>
          <w:caps w:val="false"/>
          <w:smallCaps w:val="false"/>
          <w:sz w:val="20"/>
        </w:rPr>
        <w:t xml:space="preserve">0.10 per share, is immediately exercisable upon issuance and will expire when exercised in full. The PIPE Common Warrants are comprised of Series A warrants to purchase up to </w:t>
      </w:r>
      <w:bookmarkStart w:id="1699" w:name="xdx_903_eus-gaap--ClassOfWarrantOrRightN"/>
      <w:bookmarkEnd w:id="1699"/>
      <w:r>
        <w:rPr>
          <w:rFonts w:ascii="Times New Roman;Times;Serif" w:hAnsi="Times New Roman;Times;Serif"/>
          <w:b w:val="false"/>
          <w:i w:val="false"/>
          <w:caps w:val="false"/>
          <w:smallCaps w:val="false"/>
          <w:sz w:val="20"/>
        </w:rPr>
        <w:t xml:space="preserve">287,769 shares of Class A Common Stock (the “Series A Warrants”) and Series B warrants to purchase up to </w:t>
      </w:r>
      <w:bookmarkStart w:id="1700" w:name="xdx_90F_eus-gaap--ClassOfWarrantOrRightN"/>
      <w:bookmarkEnd w:id="1700"/>
      <w:r>
        <w:rPr>
          <w:rFonts w:ascii="Times New Roman;Times;Serif" w:hAnsi="Times New Roman;Times;Serif"/>
          <w:b w:val="false"/>
          <w:i w:val="false"/>
          <w:caps w:val="false"/>
          <w:smallCaps w:val="false"/>
          <w:sz w:val="20"/>
        </w:rPr>
        <w:t>287,769 shares of Class A Common Stock (the “Series B Warrants”). The PIPE Common Warrants initially had an exercise price of $</w:t>
      </w:r>
      <w:bookmarkStart w:id="1701" w:name="xdx_90A_eus-gaap--ClassOfWarrantOrRightE"/>
      <w:bookmarkEnd w:id="1701"/>
      <w:r>
        <w:rPr>
          <w:rFonts w:ascii="Times New Roman;Times;Serif" w:hAnsi="Times New Roman;Times;Serif"/>
          <w:b w:val="false"/>
          <w:i w:val="false"/>
          <w:caps w:val="false"/>
          <w:smallCaps w:val="false"/>
          <w:sz w:val="20"/>
        </w:rPr>
        <w:t>13.90 per share, were exercisable beginning on the effective date of stockholder approval of the issuance of the shares of common stock upon exercise of the PIPE Common Warrants. The Series A Warrants will expire five years from the date of such stockholder approval and the Series B warrants will expire twelve months from the date of stockholder approval. Gross proceeds from the Private Placement were $</w:t>
      </w:r>
      <w:bookmarkStart w:id="1702" w:name="xdx_901_eus-gaap--ProceedsFromIssuanceOf"/>
      <w:bookmarkEnd w:id="1702"/>
      <w:r>
        <w:rPr>
          <w:rFonts w:ascii="Times New Roman;Times;Serif" w:hAnsi="Times New Roman;Times;Serif"/>
          <w:b w:val="false"/>
          <w:i w:val="false"/>
          <w:caps w:val="false"/>
          <w:smallCaps w:val="false"/>
          <w:sz w:val="20"/>
        </w:rPr>
        <w:t>4,000, before payment of fees and expenses to the placement agent of $</w:t>
      </w:r>
      <w:bookmarkStart w:id="1703" w:name="xdx_906_eus-gaap--PaymentsForFees_pn3n3_"/>
      <w:bookmarkEnd w:id="1703"/>
      <w:r>
        <w:rPr>
          <w:rFonts w:ascii="Times New Roman;Times;Serif" w:hAnsi="Times New Roman;Times;Serif"/>
          <w:b w:val="false"/>
          <w:i w:val="false"/>
          <w:caps w:val="false"/>
          <w:smallCaps w:val="false"/>
          <w:sz w:val="20"/>
        </w:rPr>
        <w:t>415. During the year ended September 30, 2024, the investor fully exercised the pre-funded warrant, for net proceeds to the Company of $</w:t>
      </w:r>
      <w:bookmarkStart w:id="1704" w:name="xdx_902_eus-gaap--ProceedsFromWarrantExe"/>
      <w:bookmarkEnd w:id="1704"/>
      <w:r>
        <w:rPr>
          <w:rFonts w:ascii="Times New Roman;Times;Serif" w:hAnsi="Times New Roman;Times;Serif"/>
          <w:b w:val="false"/>
          <w:i w:val="false"/>
          <w:caps w:val="false"/>
          <w:smallCaps w:val="false"/>
          <w:sz w:val="2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Private Placement, the Company issued the placement agent warrants to purchase an aggregate of </w:t>
      </w:r>
      <w:bookmarkStart w:id="1705" w:name="xdx_90A_eus-gaap--ClassOfWarrantOrRightN"/>
      <w:bookmarkEnd w:id="1705"/>
      <w:r>
        <w:rPr>
          <w:rFonts w:ascii="Times New Roman;Times;Serif" w:hAnsi="Times New Roman;Times;Serif"/>
          <w:b w:val="false"/>
          <w:i w:val="false"/>
          <w:caps w:val="false"/>
          <w:smallCaps w:val="false"/>
          <w:sz w:val="20"/>
        </w:rPr>
        <w:t>20,143 shares of its Class A Common Stock. The placement agent warrants have an exercise price of $</w:t>
      </w:r>
      <w:bookmarkStart w:id="1706" w:name="xdx_90B_eus-gaap--ClassOfWarrantOrRightE"/>
      <w:bookmarkEnd w:id="1706"/>
      <w:r>
        <w:rPr>
          <w:rFonts w:ascii="Times New Roman;Times;Serif" w:hAnsi="Times New Roman;Times;Serif"/>
          <w:b w:val="false"/>
          <w:i w:val="false"/>
          <w:caps w:val="false"/>
          <w:smallCaps w:val="false"/>
          <w:sz w:val="20"/>
        </w:rPr>
        <w:t xml:space="preserve">17.375 per share, are exercisable upon stockholder approval and expire five years thereafter. Moreover, upon any exercise for cash of the PIPE Common Warrants, the Company is obligated to pay the placement agent cash fees aggregating </w:t>
      </w:r>
      <w:bookmarkStart w:id="1707" w:name="xdx_902_ecustom--PercentageOfPlacementAg"/>
      <w:bookmarkEnd w:id="1707"/>
      <w:r>
        <w:rPr>
          <w:rFonts w:ascii="Times New Roman;Times;Serif" w:hAnsi="Times New Roman;Times;Serif"/>
          <w:b w:val="false"/>
          <w:i w:val="false"/>
          <w:caps w:val="false"/>
          <w:smallCaps w:val="false"/>
          <w:sz w:val="20"/>
        </w:rPr>
        <w:t xml:space="preserve">8% of the gross exercise price and issue to the placement agent warrants to purchase a number of shares of Common Stock equal to </w:t>
      </w:r>
      <w:bookmarkStart w:id="1708" w:name="xdx_90B_ecustom--PercentageOfPurchaseOfS"/>
      <w:bookmarkEnd w:id="1708"/>
      <w:r>
        <w:rPr>
          <w:rFonts w:ascii="Times New Roman;Times;Serif" w:hAnsi="Times New Roman;Times;Serif"/>
          <w:b w:val="false"/>
          <w:i w:val="false"/>
          <w:caps w:val="false"/>
          <w:smallCaps w:val="false"/>
          <w:sz w:val="20"/>
        </w:rPr>
        <w:t>7.0% of the aggregate number of such shares of Class A Common Stock underlying the PIPE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transactions, during the year ended September 30, 2024 the Company recognized a loss of $</w:t>
      </w:r>
      <w:bookmarkStart w:id="1709" w:name="xdx_900_ecustom--FinancingCostsExpensed_"/>
      <w:bookmarkEnd w:id="1709"/>
      <w:r>
        <w:rPr>
          <w:rFonts w:ascii="Times New Roman;Times;Serif" w:hAnsi="Times New Roman;Times;Serif"/>
          <w:b w:val="false"/>
          <w:i w:val="false"/>
          <w:caps w:val="false"/>
          <w:smallCaps w:val="false"/>
          <w:sz w:val="20"/>
        </w:rPr>
        <w:t xml:space="preserve">2,894, representing the excess of the fair value of Pre-Funded Warrants and the PIPE Common Warrants over the proceeds received, the fair value of the warrants issued to the placement agent and the fees and expenses paid to the placement agent, which is included in “Financing costs expensed” in the consolidated statements of operations and comprehensive loss. In connection with the April 2025 Offering, the Company amended the </w:t>
      </w:r>
      <w:bookmarkStart w:id="1710" w:name="xdx_901_eus-gaap--ClassOfWarrantOrRightO"/>
      <w:bookmarkEnd w:id="1710"/>
      <w:r>
        <w:rPr>
          <w:rFonts w:ascii="Times New Roman;Times;Serif" w:hAnsi="Times New Roman;Times;Serif"/>
          <w:b w:val="false"/>
          <w:i w:val="false"/>
          <w:caps w:val="false"/>
          <w:smallCaps w:val="false"/>
          <w:sz w:val="20"/>
        </w:rPr>
        <w:t>575,538 then outstanding PIPE Common Warrants to reduce the exercise price from $</w:t>
      </w:r>
      <w:bookmarkStart w:id="1711" w:name="xdx_901_eus-gaap--ClassOfWarrantOrRightE"/>
      <w:bookmarkEnd w:id="1711"/>
      <w:r>
        <w:rPr>
          <w:rFonts w:ascii="Times New Roman;Times;Serif" w:hAnsi="Times New Roman;Times;Serif"/>
          <w:b w:val="false"/>
          <w:i w:val="false"/>
          <w:caps w:val="false"/>
          <w:smallCaps w:val="false"/>
          <w:sz w:val="20"/>
        </w:rPr>
        <w:t>13.90 per share to $</w:t>
      </w:r>
      <w:bookmarkStart w:id="1712" w:name="xdx_903_eus-gaap--ClassOfWarrantOrRightE"/>
      <w:bookmarkEnd w:id="1712"/>
      <w:r>
        <w:rPr>
          <w:rFonts w:ascii="Times New Roman;Times;Serif" w:hAnsi="Times New Roman;Times;Serif"/>
          <w:b w:val="false"/>
          <w:i w:val="false"/>
          <w:caps w:val="false"/>
          <w:smallCaps w:val="false"/>
          <w:sz w:val="20"/>
        </w:rPr>
        <w:t>8.202 per share. The Company also extended the term of the Series B warrants from January 3, 2026 to April 3, 2026. The term of the Series A Warrants remains unchanged and will expire on January 3, 2030. In September 2025, the Company further amended the remaining Series B Warrants, extending their expiration date to April 3, 2030 (see “</w:t>
      </w:r>
      <w:r>
        <w:rPr>
          <w:rFonts w:ascii="Times New Roman;Times;Serif" w:hAnsi="Times New Roman;Times;Serif"/>
          <w:b w:val="false"/>
          <w:i/>
          <w:caps w:val="false"/>
          <w:smallCaps w:val="false"/>
          <w:sz w:val="20"/>
        </w:rPr>
        <w:t>Warrant Exercise Inducement</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Exercise Inducement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Company entered into a warrant exercise inducement offer letter (the “Inducement Letter”) with a holder of outstanding warrants to purchase shares of the Company’s Class A Common Stock. Pursuant to the Inducement Letter, the holder exercised for cash warrants to purchase </w:t>
      </w:r>
      <w:bookmarkStart w:id="1713" w:name="xdx_902_eus-gaap--ClassOfWarrantOrRightN"/>
      <w:bookmarkEnd w:id="1713"/>
      <w:r>
        <w:rPr>
          <w:rFonts w:ascii="Times New Roman;Times;Serif" w:hAnsi="Times New Roman;Times;Serif"/>
          <w:b w:val="false"/>
          <w:i w:val="false"/>
          <w:caps w:val="false"/>
          <w:smallCaps w:val="false"/>
          <w:sz w:val="20"/>
        </w:rPr>
        <w:t xml:space="preserve">548,646 shares of Class A Common Stock, consisting of (i) </w:t>
      </w:r>
      <w:bookmarkStart w:id="1714" w:name="xdx_902_eus-gaap--DerivativeUnderlyingIn"/>
      <w:bookmarkEnd w:id="1714"/>
      <w:r>
        <w:rPr>
          <w:rFonts w:ascii="Times New Roman;Times;Serif" w:hAnsi="Times New Roman;Times;Serif"/>
          <w:b w:val="false"/>
          <w:i w:val="false"/>
          <w:caps w:val="false"/>
          <w:smallCaps w:val="false"/>
          <w:sz w:val="20"/>
        </w:rPr>
        <w:t xml:space="preserve">148,495 shares underlying Series A Warrants, (ii) </w:t>
      </w:r>
      <w:bookmarkStart w:id="1715" w:name="xdx_907_eus-gaap--DerivativeUnderlyingIn"/>
      <w:bookmarkEnd w:id="1715"/>
      <w:r>
        <w:rPr>
          <w:rFonts w:ascii="Times New Roman;Times;Serif" w:hAnsi="Times New Roman;Times;Serif"/>
          <w:b w:val="false"/>
          <w:i w:val="false"/>
          <w:caps w:val="false"/>
          <w:smallCaps w:val="false"/>
          <w:sz w:val="20"/>
        </w:rPr>
        <w:t xml:space="preserve">148,495 shares underlying Series B Warrants and (iii) </w:t>
      </w:r>
      <w:bookmarkStart w:id="1716" w:name="xdx_900_eus-gaap--DerivativeUnderlyingIn"/>
      <w:bookmarkEnd w:id="1716"/>
      <w:r>
        <w:rPr>
          <w:rFonts w:ascii="Times New Roman;Times;Serif" w:hAnsi="Times New Roman;Times;Serif"/>
          <w:b w:val="false"/>
          <w:i w:val="false"/>
          <w:caps w:val="false"/>
          <w:smallCaps w:val="false"/>
          <w:sz w:val="20"/>
        </w:rPr>
        <w:t>251,656 shares underlying Common Warrants, each at the current exercise price of $</w:t>
      </w:r>
      <w:bookmarkStart w:id="1717" w:name="xdx_900_eus-gaap--ClassOfWarrantOrRightE"/>
      <w:bookmarkStart w:id="1718" w:name="xdx_901_eus-gaap--ClassOfWarrantOrRightE"/>
      <w:bookmarkStart w:id="1719" w:name="xdx_90F_eus-gaap--ClassOfWarrantOrRightE"/>
      <w:bookmarkEnd w:id="1717"/>
      <w:bookmarkEnd w:id="1718"/>
      <w:bookmarkEnd w:id="1719"/>
      <w:r>
        <w:rPr>
          <w:rFonts w:ascii="Times New Roman;Times;Serif" w:hAnsi="Times New Roman;Times;Serif"/>
          <w:b w:val="false"/>
          <w:i w:val="false"/>
          <w:caps w:val="false"/>
          <w:smallCaps w:val="false"/>
          <w:sz w:val="20"/>
        </w:rPr>
        <w:t>8.202 per share. The Company received gross proceeds of approximately $</w:t>
      </w:r>
      <w:bookmarkStart w:id="1720" w:name="xdx_906_eus-gaap--ProceedsFromWarrantExe"/>
      <w:bookmarkEnd w:id="1720"/>
      <w:r>
        <w:rPr>
          <w:rFonts w:ascii="Times New Roman;Times;Serif" w:hAnsi="Times New Roman;Times;Serif"/>
          <w:b w:val="false"/>
          <w:i w:val="false"/>
          <w:caps w:val="false"/>
          <w:smallCaps w:val="false"/>
          <w:sz w:val="20"/>
        </w:rPr>
        <w:t>4,500 from the exercise of these warrants. In connection with the warrant exercise inducement, the Company paid its financial advisor a cash placement fee of $</w:t>
      </w:r>
      <w:bookmarkStart w:id="1721" w:name="xdx_90C_ecustom--CashPlacementFee_c20250"/>
      <w:bookmarkEnd w:id="1721"/>
      <w:r>
        <w:rPr>
          <w:rFonts w:ascii="Times New Roman;Times;Serif" w:hAnsi="Times New Roman;Times;Serif"/>
          <w:b w:val="false"/>
          <w:i w:val="false"/>
          <w:caps w:val="false"/>
          <w:smallCaps w:val="false"/>
          <w:sz w:val="20"/>
        </w:rPr>
        <w:t xml:space="preserve">315 and issued the financial advisor warrants to purchase up to </w:t>
      </w:r>
      <w:bookmarkStart w:id="1722" w:name="xdx_90C_eus-gaap--ClassOfWarrantOrRightN"/>
      <w:bookmarkEnd w:id="1722"/>
      <w:r>
        <w:rPr>
          <w:rFonts w:ascii="Times New Roman;Times;Serif" w:hAnsi="Times New Roman;Times;Serif"/>
          <w:b w:val="false"/>
          <w:i w:val="false"/>
          <w:caps w:val="false"/>
          <w:smallCaps w:val="false"/>
          <w:sz w:val="20"/>
        </w:rPr>
        <w:t>38,405 shares of its Class A Common Stock at an exercise price of $</w:t>
      </w:r>
      <w:bookmarkStart w:id="1723" w:name="xdx_906_eus-gaap--ClassOfWarrantOrRightE"/>
      <w:bookmarkEnd w:id="1723"/>
      <w:r>
        <w:rPr>
          <w:rFonts w:ascii="Times New Roman;Times;Serif" w:hAnsi="Times New Roman;Times;Serif"/>
          <w:b w:val="false"/>
          <w:i w:val="false"/>
          <w:caps w:val="false"/>
          <w:smallCaps w:val="false"/>
          <w:sz w:val="20"/>
        </w:rPr>
        <w:t>10.80 per share.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consideration for the holder’s agreement to exercise the warrants for cash, the Company agreed to issue to the holder new warrants (the “Inducement Warrants”) to purchase up to an aggregate of </w:t>
      </w:r>
      <w:bookmarkStart w:id="1724" w:name="xdx_901_eus-gaap--ClassOfWarrantOrRightN"/>
      <w:bookmarkEnd w:id="1724"/>
      <w:r>
        <w:rPr>
          <w:rFonts w:ascii="Times New Roman;Times;Serif" w:hAnsi="Times New Roman;Times;Serif"/>
          <w:b w:val="false"/>
          <w:i w:val="false"/>
          <w:caps w:val="false"/>
          <w:smallCaps w:val="false"/>
          <w:sz w:val="20"/>
        </w:rPr>
        <w:t>822,970 shares of its Class A Common Stock at an exercise price of $</w:t>
      </w:r>
      <w:bookmarkStart w:id="1725" w:name="xdx_90D_eus-gaap--ClassOfWarrantOrRightE"/>
      <w:bookmarkEnd w:id="1725"/>
      <w:r>
        <w:rPr>
          <w:rFonts w:ascii="Times New Roman;Times;Serif" w:hAnsi="Times New Roman;Times;Serif"/>
          <w:b w:val="false"/>
          <w:i w:val="false"/>
          <w:caps w:val="false"/>
          <w:smallCaps w:val="false"/>
          <w:sz w:val="20"/>
        </w:rPr>
        <w:t>10.80 per share. The Inducement Warrants will become exercisable upon stockholder approval and will expire five years thereafter. The Company also amended the remaining Series B Warrants, extending their expiration date to April 3, 2030. As a result of these transactions, during the year ended September 30, 2025 the Company recognized a non-cash loss of $</w:t>
      </w:r>
      <w:bookmarkStart w:id="1726" w:name="xdx_907_eus-gaap--IssuanceOfStockAndWarr"/>
      <w:bookmarkEnd w:id="1726"/>
      <w:r>
        <w:rPr>
          <w:rFonts w:ascii="Times New Roman;Times;Serif" w:hAnsi="Times New Roman;Times;Serif"/>
          <w:b w:val="false"/>
          <w:i w:val="false"/>
          <w:caps w:val="false"/>
          <w:smallCaps w:val="false"/>
          <w:sz w:val="20"/>
        </w:rPr>
        <w:t>6,458, representing the estimated the fair value of the Inducement Warrants as of the date of issuance, the increase in the estimated fair value of the remaining Series B Warrants resulting from their amendment and the fair value of the warrants issued to the financial advisor, which is included in “Financing costs expensed”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warrants issued to the placement agent and the financial advisor for services rendered in the transactions discussed above met the criteria for classification as equity. The grant date fair value of each of these warrants was accounted for as part of the costs of the respective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 and Private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the Company assumed </w:t>
      </w:r>
      <w:bookmarkStart w:id="1727" w:name="xdx_908_eus-gaap--ClassOfWarrantOrRightN"/>
      <w:bookmarkEnd w:id="1727"/>
      <w:r>
        <w:rPr>
          <w:rFonts w:ascii="Times New Roman;Times;Serif" w:hAnsi="Times New Roman;Times;Serif"/>
          <w:b w:val="false"/>
          <w:i w:val="false"/>
          <w:caps w:val="false"/>
          <w:smallCaps w:val="false"/>
          <w:sz w:val="20"/>
        </w:rPr>
        <w:t xml:space="preserve">6,000,000 Public Warrants and </w:t>
      </w:r>
      <w:bookmarkStart w:id="1728" w:name="xdx_90B_eus-gaap--ClassOfWarrantOrRightN"/>
      <w:bookmarkEnd w:id="1728"/>
      <w:r>
        <w:rPr>
          <w:rFonts w:ascii="Times New Roman;Times;Serif" w:hAnsi="Times New Roman;Times;Serif"/>
          <w:b w:val="false"/>
          <w:i w:val="false"/>
          <w:caps w:val="false"/>
          <w:smallCaps w:val="false"/>
          <w:sz w:val="20"/>
        </w:rPr>
        <w:t>3,000,000 Private Warrants issued by Chavant in connection with its initial public offering, each of which entitles the holder to purchase one share of the Company’s Class A Common Stock. The Public Warrants and Private Warrants are exercisable at any time through December 21, 2028. The Company may redeem the Public Warrants at a price of $</w:t>
      </w:r>
      <w:bookmarkStart w:id="1729" w:name="xdx_906_eus-gaap--ClassOfWarrantOrRightE"/>
      <w:bookmarkEnd w:id="1729"/>
      <w:r>
        <w:rPr>
          <w:rFonts w:ascii="Times New Roman;Times;Serif" w:hAnsi="Times New Roman;Times;Serif"/>
          <w:b w:val="false"/>
          <w:i w:val="false"/>
          <w:caps w:val="false"/>
          <w:smallCaps w:val="false"/>
          <w:sz w:val="20"/>
        </w:rPr>
        <w:t>0.01 per warrant if the last reported sale of the Company’s Class A Common Stock equals or exceeds $</w:t>
      </w:r>
      <w:bookmarkStart w:id="1730" w:name="xdx_908_eus-gaap--ClassOfWarrantOrRightE"/>
      <w:bookmarkEnd w:id="1730"/>
      <w:r>
        <w:rPr>
          <w:rFonts w:ascii="Times New Roman;Times;Serif" w:hAnsi="Times New Roman;Times;Serif"/>
          <w:b w:val="false"/>
          <w:i w:val="false"/>
          <w:caps w:val="false"/>
          <w:smallCaps w:val="false"/>
          <w:sz w:val="20"/>
        </w:rPr>
        <w:t>180.00 per share for any twenty trading days within a thirty-day period. The Private Warrants are identical to the Public Warrants, except that the Private Warrants are exercisable on a cashless basis and are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At the time of Closing, the Company estimated the aggregate fair value of the Private Warrants and recognized a liability of $</w:t>
      </w:r>
      <w:bookmarkStart w:id="1731" w:name="xdx_905_eus-gaap--FairValueAdjustmentOfW"/>
      <w:bookmarkEnd w:id="1731"/>
      <w:r>
        <w:rPr>
          <w:rFonts w:ascii="Times New Roman;Times;Serif" w:hAnsi="Times New Roman;Times;Serif"/>
          <w:b w:val="false"/>
          <w:i w:val="false"/>
          <w:caps w:val="false"/>
          <w:smallCaps w:val="false"/>
          <w:sz w:val="20"/>
        </w:rPr>
        <w:t>150.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Public Warrants and Private Warrants were subject to adjustment if the Company issued additional equity securities below specified levels in connection with the Merger. As a result of the issuances of shares under the PIPE Subscription Agreement and other agreements in connection with the Merger, the Company adjusted the exercise price of the warrants from $</w:t>
      </w:r>
      <w:bookmarkStart w:id="1732" w:name="xdx_901_eus-gaap--ClassOfWarrantOrRightE"/>
      <w:bookmarkEnd w:id="1732"/>
      <w:r>
        <w:rPr>
          <w:rFonts w:ascii="Times New Roman;Times;Serif" w:hAnsi="Times New Roman;Times;Serif"/>
          <w:b w:val="false"/>
          <w:i w:val="false"/>
          <w:caps w:val="false"/>
          <w:smallCaps w:val="false"/>
          <w:sz w:val="20"/>
        </w:rPr>
        <w:t>115.00 to $</w:t>
      </w:r>
      <w:bookmarkStart w:id="1733" w:name="xdx_903_eus-gaap--ClassOfWarrantOrRightE"/>
      <w:bookmarkEnd w:id="1733"/>
      <w:r>
        <w:rPr>
          <w:rFonts w:ascii="Times New Roman;Times;Serif" w:hAnsi="Times New Roman;Times;Serif"/>
          <w:b w:val="false"/>
          <w:i w:val="false"/>
          <w:caps w:val="false"/>
          <w:smallCaps w:val="false"/>
          <w:sz w:val="20"/>
        </w:rPr>
        <w:t>57.90 per share and adjusted the redemption trigger price from $</w:t>
      </w:r>
      <w:bookmarkStart w:id="1734" w:name="xdx_90E_ecustom--ClassOfWarrantOrRightRe"/>
      <w:bookmarkEnd w:id="1734"/>
      <w:r>
        <w:rPr>
          <w:rFonts w:ascii="Times New Roman;Times;Serif" w:hAnsi="Times New Roman;Times;Serif"/>
          <w:b w:val="false"/>
          <w:i w:val="false"/>
          <w:caps w:val="false"/>
          <w:smallCaps w:val="false"/>
          <w:sz w:val="20"/>
        </w:rPr>
        <w:t>180.00 to $</w:t>
      </w:r>
      <w:bookmarkStart w:id="1735" w:name="xdx_909_ecustom--ClassOfWarrantOrRightRe"/>
      <w:bookmarkEnd w:id="1735"/>
      <w:r>
        <w:rPr>
          <w:rFonts w:ascii="Times New Roman;Times;Serif" w:hAnsi="Times New Roman;Times;Serif"/>
          <w:b w:val="false"/>
          <w:i w:val="false"/>
          <w:caps w:val="false"/>
          <w:smallCaps w:val="false"/>
          <w:sz w:val="20"/>
        </w:rPr>
        <w:t>90.60 per share. During the year ended September 30, 2024, the Company recognized a noncash deemed dividend of $</w:t>
      </w:r>
      <w:bookmarkStart w:id="1736" w:name="xdx_90F_eus-gaap--DividendsPaidinkind_pn"/>
      <w:bookmarkEnd w:id="1736"/>
      <w:r>
        <w:rPr>
          <w:rFonts w:ascii="Times New Roman;Times;Serif" w:hAnsi="Times New Roman;Times;Serif"/>
          <w:b w:val="false"/>
          <w:i w:val="false"/>
          <w:caps w:val="false"/>
          <w:smallCaps w:val="false"/>
          <w:sz w:val="20"/>
        </w:rPr>
        <w:t>661 as a result of the warrant price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PIPE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PIPE Subscription Agreements, the Company issued the investors warrants to purchase shares of Class A Common Stock at an exercise price of $</w:t>
      </w:r>
      <w:bookmarkStart w:id="1737" w:name="xdx_906_eus-gaap--ClassOfWarrantOrRightE"/>
      <w:bookmarkEnd w:id="1737"/>
      <w:r>
        <w:rPr>
          <w:rFonts w:ascii="Times New Roman;Times;Serif" w:hAnsi="Times New Roman;Times;Serif"/>
          <w:b w:val="false"/>
          <w:i w:val="false"/>
          <w:caps w:val="false"/>
          <w:smallCaps w:val="false"/>
          <w:sz w:val="20"/>
        </w:rPr>
        <w:t xml:space="preserve">0.10 per share. The Company evaluated these warrants and concluded that they meet the derivative scope exception for contracts in the Company’s own stock. Consequently, the PIPE warrants were recorded in stockholders’ equity. During the year ended September 30, 2025, </w:t>
      </w:r>
      <w:bookmarkStart w:id="1738" w:name="xdx_908_eus-gaap--ClassOfWarrantOrRightN"/>
      <w:bookmarkEnd w:id="1738"/>
      <w:r>
        <w:rPr>
          <w:rFonts w:ascii="Times New Roman;Times;Serif" w:hAnsi="Times New Roman;Times;Serif"/>
          <w:b w:val="false"/>
          <w:i w:val="false"/>
          <w:caps w:val="false"/>
          <w:smallCaps w:val="false"/>
          <w:sz w:val="20"/>
        </w:rPr>
        <w:t>1,500,000 PIPE warrants were exercised, for net proceeds of $</w:t>
      </w:r>
      <w:bookmarkStart w:id="1739" w:name="xdx_907_eus-gaap--ProceedsFromWarrantExe"/>
      <w:bookmarkEnd w:id="1739"/>
      <w:r>
        <w:rPr>
          <w:rFonts w:ascii="Times New Roman;Times;Serif" w:hAnsi="Times New Roman;Times;Serif"/>
          <w:b w:val="false"/>
          <w:i w:val="false"/>
          <w:caps w:val="false"/>
          <w:smallCaps w:val="false"/>
          <w:sz w:val="2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2024, the Company issued warrants to purchase </w:t>
      </w:r>
      <w:bookmarkStart w:id="1740" w:name="xdx_90D_eus-gaap--ClassOfWarrantOrRightN"/>
      <w:bookmarkEnd w:id="1740"/>
      <w:r>
        <w:rPr>
          <w:rFonts w:ascii="Times New Roman;Times;Serif" w:hAnsi="Times New Roman;Times;Serif"/>
          <w:b w:val="false"/>
          <w:i w:val="false"/>
          <w:caps w:val="false"/>
          <w:smallCaps w:val="false"/>
          <w:sz w:val="20"/>
        </w:rPr>
        <w:t>13,000 shares of its Class A Common Stock at $</w:t>
      </w:r>
      <w:bookmarkStart w:id="1741" w:name="xdx_901_eus-gaap--ClassOfWarrantOrRightE"/>
      <w:bookmarkEnd w:id="1741"/>
      <w:r>
        <w:rPr>
          <w:rFonts w:ascii="Times New Roman;Times;Serif" w:hAnsi="Times New Roman;Times;Serif"/>
          <w:b w:val="false"/>
          <w:i w:val="false"/>
          <w:caps w:val="false"/>
          <w:smallCaps w:val="false"/>
          <w:sz w:val="20"/>
        </w:rPr>
        <w:t xml:space="preserve">0.10 per share to a service provider, in respect of services rendered to Legacy Mobix prior to the Merger. In addition, as described in Note 10,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during the year ended September 30, 2024 Legacy Mobix failed to repay the principal amount of a note payable by its maturity date and was obligated to issue warrants to purchase </w:t>
      </w:r>
      <w:bookmarkStart w:id="1742" w:name="xdx_903_eus-gaap--DebtConversionConverte"/>
      <w:bookmarkEnd w:id="1742"/>
      <w:r>
        <w:rPr>
          <w:rFonts w:ascii="Times New Roman;Times;Serif" w:hAnsi="Times New Roman;Times;Serif"/>
          <w:b w:val="false"/>
          <w:i w:val="false"/>
          <w:caps w:val="false"/>
          <w:smallCaps w:val="false"/>
          <w:sz w:val="20"/>
        </w:rPr>
        <w:t>10,300 shares of its Class A Common Stock at $</w:t>
      </w:r>
      <w:bookmarkStart w:id="1743" w:name="xdx_90F_eus-gaap--ClassOfWarrantOrRightE"/>
      <w:bookmarkEnd w:id="1743"/>
      <w:r>
        <w:rPr>
          <w:rFonts w:ascii="Times New Roman;Times;Serif" w:hAnsi="Times New Roman;Times;Serif"/>
          <w:b w:val="false"/>
          <w:i w:val="false"/>
          <w:caps w:val="false"/>
          <w:smallCaps w:val="false"/>
          <w:sz w:val="20"/>
        </w:rPr>
        <w:t>0.10 per share to the lender as additional consideration. The Company initially recorded a liability of $</w:t>
      </w:r>
      <w:bookmarkStart w:id="1744" w:name="xdx_90E_eus-gaap--LiabilitiesFairValueAd"/>
      <w:bookmarkEnd w:id="1744"/>
      <w:r>
        <w:rPr>
          <w:rFonts w:ascii="Times New Roman;Times;Serif" w:hAnsi="Times New Roman;Times;Serif"/>
          <w:b w:val="false"/>
          <w:i w:val="false"/>
          <w:caps w:val="false"/>
          <w:smallCaps w:val="false"/>
          <w:sz w:val="20"/>
        </w:rPr>
        <w:t>732 in the consolidated balance sheets for the estimated fair value of the warrants. For the year ended September 30, 2024, the Company recognized a non-cash gain of $</w:t>
      </w:r>
      <w:bookmarkStart w:id="1745" w:name="xdx_90F_eus-gaap--OtherNoncashIncome_pn3"/>
      <w:bookmarkEnd w:id="1745"/>
      <w:r>
        <w:rPr>
          <w:rFonts w:ascii="Times New Roman;Times;Serif" w:hAnsi="Times New Roman;Times;Serif"/>
          <w:b w:val="false"/>
          <w:i w:val="false"/>
          <w:caps w:val="false"/>
          <w:smallCaps w:val="false"/>
          <w:sz w:val="20"/>
        </w:rPr>
        <w:t>400 from the change in the fair value of the liability, which is included in “Other non-operating losses, net” in the consolidated statements of operations and comprehensive loss. The Company valued the warrants using a probability-weighted expected return model. In April 2024, the Company issued the warrants to the lender, and the lender exercised the warrants.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Legacy Mobix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all of Legacy Mobix’s outstanding warrants were assumed by the Company and converted into the same number of warrants to purchase shares of the Company’s Class A Common Stock, with no change to their exercise prices or other terms. Subsequent to the Merger, warrants to purchase an aggregate of </w:t>
      </w:r>
      <w:bookmarkStart w:id="1746" w:name="xdx_902_eus-gaap--ClassOfWarrantOrRightN"/>
      <w:bookmarkEnd w:id="1746"/>
      <w:r>
        <w:rPr>
          <w:rFonts w:ascii="Times New Roman;Times;Serif" w:hAnsi="Times New Roman;Times;Serif"/>
          <w:b w:val="false"/>
          <w:i w:val="false"/>
          <w:caps w:val="false"/>
          <w:smallCaps w:val="false"/>
          <w:sz w:val="20"/>
        </w:rPr>
        <w:t xml:space="preserve">37,303 shares were exercised and converted into </w:t>
      </w:r>
      <w:bookmarkStart w:id="1747" w:name="xdx_90E_eus-gaap--ClassOfWarrantOrRightN"/>
      <w:bookmarkEnd w:id="1747"/>
      <w:r>
        <w:rPr>
          <w:rFonts w:ascii="Times New Roman;Times;Serif" w:hAnsi="Times New Roman;Times;Serif"/>
          <w:b w:val="false"/>
          <w:i w:val="false"/>
          <w:caps w:val="false"/>
          <w:smallCaps w:val="false"/>
          <w:sz w:val="20"/>
        </w:rPr>
        <w:t xml:space="preserve">36,967 shares of Class A Common Stock, with no cash proceeds to the Company. During the year ended September 30, 2024, Legacy Mobix granted warrants to purchase an aggregate of </w:t>
      </w:r>
      <w:bookmarkStart w:id="1748" w:name="xdx_90D_eus-gaap--ClassOfWarrantOrRightN"/>
      <w:bookmarkEnd w:id="1748"/>
      <w:r>
        <w:rPr>
          <w:rFonts w:ascii="Times New Roman;Times;Serif" w:hAnsi="Times New Roman;Times;Serif"/>
          <w:b w:val="false"/>
          <w:i w:val="false"/>
          <w:caps w:val="false"/>
          <w:smallCaps w:val="false"/>
          <w:sz w:val="20"/>
        </w:rPr>
        <w:t>2,741 shares of common stock at a price of $</w:t>
      </w:r>
      <w:bookmarkStart w:id="1749" w:name="xdx_903_eus-gaap--SharesIssuedPricePerSh"/>
      <w:bookmarkEnd w:id="1749"/>
      <w:r>
        <w:rPr>
          <w:rFonts w:ascii="Times New Roman;Times;Serif" w:hAnsi="Times New Roman;Times;Serif"/>
          <w:b w:val="false"/>
          <w:i w:val="false"/>
          <w:caps w:val="false"/>
          <w:smallCaps w:val="false"/>
          <w:sz w:val="20"/>
        </w:rPr>
        <w:t xml:space="preserve">0.10 per share to investors in connection with the sale of shares of its common stock. See Note 14, </w:t>
      </w:r>
      <w:r>
        <w:rPr>
          <w:rFonts w:ascii="Times New Roman;Times;Serif" w:hAnsi="Times New Roman;Times;Serif"/>
          <w:b w:val="false"/>
          <w:i/>
          <w:caps w:val="false"/>
          <w:smallCaps w:val="false"/>
          <w:sz w:val="20"/>
        </w:rPr>
        <w:t>Equity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for Liability-Classified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all common stock warrants at the time of issuance (or at the Closing) and concluded that the Private Warrants, Pre-Funded Warrants, PIPE Common Warrants, Common Warrants, Inducement Warrants and do not meet the derivative scope exception. Specifically, these warrants contain provisions that affect their settlement amounts which are not inputs into the pricing of a fixed-for-fixed option on equity shares. Therefore, these warrants are not considered indexed to the Company’s stock and must be classified as liabilities. At their respective dates of issuance (or, in the case of the Private Warrants, at the time of the Merger), the Company recognized a liability for each of the warrants in the amount of their estimated fair value using the Black-Scholes option-pricing model. The Company subsequently adjusted the carrying amount of the liability for each warrant to its estimated fair value as of September 30, 2025 and 2024 (or through the warrants’ respective dates of exercise, if earlier). As a result of changes in the fair value of the warrants, for the years ended September 30, 2025 and 2024, the Company recognized net non-cash gains of $</w:t>
      </w:r>
      <w:bookmarkStart w:id="1750" w:name="xdx_903_eus-gaap--FairValueAdjustmentOfW"/>
      <w:bookmarkEnd w:id="1750"/>
      <w:r>
        <w:rPr>
          <w:rFonts w:ascii="Times New Roman;Times;Serif" w:hAnsi="Times New Roman;Times;Serif"/>
          <w:b w:val="false"/>
          <w:i w:val="false"/>
          <w:caps w:val="false"/>
          <w:smallCaps w:val="false"/>
          <w:sz w:val="20"/>
        </w:rPr>
        <w:t>804 and $</w:t>
      </w:r>
      <w:bookmarkStart w:id="1751" w:name="xdx_900_eus-gaap--FairValueAdjustmentOfW"/>
      <w:bookmarkEnd w:id="1751"/>
      <w:r>
        <w:rPr>
          <w:rFonts w:ascii="Times New Roman;Times;Serif" w:hAnsi="Times New Roman;Times;Serif"/>
          <w:b w:val="false"/>
          <w:i w:val="false"/>
          <w:caps w:val="false"/>
          <w:smallCaps w:val="false"/>
          <w:sz w:val="20"/>
        </w:rPr>
        <w:t>1,415, respectively, which are included in “Change in fair value of warrants” in the consolidated statements of operations and comprehensive loss. As of September 30, 2025 and 2024, the related liabilities of $</w:t>
      </w:r>
      <w:bookmarkStart w:id="1752" w:name="xdx_906_ecustom--WarrantLiabilityNoncurr"/>
      <w:bookmarkEnd w:id="1752"/>
      <w:r>
        <w:rPr>
          <w:rFonts w:ascii="Times New Roman;Times;Serif" w:hAnsi="Times New Roman;Times;Serif"/>
          <w:b w:val="false"/>
          <w:i w:val="false"/>
          <w:caps w:val="false"/>
          <w:smallCaps w:val="false"/>
          <w:sz w:val="20"/>
        </w:rPr>
        <w:t>6,859 and $</w:t>
      </w:r>
      <w:bookmarkStart w:id="1753" w:name="xdx_907_ecustom--WarrantLiabilityNoncurr"/>
      <w:bookmarkEnd w:id="1753"/>
      <w:r>
        <w:rPr>
          <w:rFonts w:ascii="Times New Roman;Times;Serif" w:hAnsi="Times New Roman;Times;Serif"/>
          <w:b w:val="false"/>
          <w:i w:val="false"/>
          <w:caps w:val="false"/>
          <w:smallCaps w:val="false"/>
          <w:sz w:val="20"/>
        </w:rPr>
        <w:t>2,139, respectively, are included in “Other noncurrent liabilities” in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17,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for additional information on the Company’s measurements with respect to liability-classified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54" w:name="xdx_801_eus-gaap--DisclosureOfCompensati"/>
      <w:bookmarkEnd w:id="1754"/>
      <w:r>
        <w:rPr>
          <w:rFonts w:ascii="Times New Roman;Times;Serif" w:hAnsi="Times New Roman;Times;Serif"/>
          <w:b/>
          <w:i w:val="false"/>
          <w:caps w:val="false"/>
          <w:smallCaps w:val="false"/>
          <w:sz w:val="20"/>
        </w:rPr>
        <w:t xml:space="preserve">Note 16 — </w:t>
      </w:r>
      <w:bookmarkStart w:id="1755" w:name="xdx_824_zV4KGQ8tGC9i"/>
      <w:bookmarkEnd w:id="1755"/>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the Company adopted the 2023 Equity Incentive Plan, which provides for the issuance of stock options, restricted stock awards, RSUs and other stock-based compensation awards to employees, directors, officers, consultants or others who provide services to the Company. The specific terms of such awards are to be established by the board of directors or a committee thereof. As of September 30, 2025, </w:t>
      </w:r>
      <w:bookmarkStart w:id="1756" w:name="xdx_903_eus-gaap--CommonStockCapitalShar"/>
      <w:bookmarkEnd w:id="1756"/>
      <w:r>
        <w:rPr>
          <w:rFonts w:ascii="Times New Roman;Times;Serif" w:hAnsi="Times New Roman;Times;Serif"/>
          <w:b w:val="false"/>
          <w:i w:val="false"/>
          <w:caps w:val="false"/>
          <w:smallCaps w:val="false"/>
          <w:sz w:val="20"/>
        </w:rPr>
        <w:t>256,089 shares of the Company’s Class A Common Stock are available for the grant of awards under the 2023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Also in connection with the Merger, the Company adopted the 2023 Employee Stock Purchase Plan to assist eligible employees in acquiring stock ownership in the Company and the Company reserved </w:t>
      </w:r>
      <w:bookmarkStart w:id="1757" w:name="xdx_906_eus-gaap--CommonStockCapitalShar"/>
      <w:bookmarkEnd w:id="1757"/>
      <w:r>
        <w:rPr>
          <w:rFonts w:ascii="Times New Roman;Times;Serif" w:hAnsi="Times New Roman;Times;Serif"/>
          <w:b w:val="false"/>
          <w:i w:val="false"/>
          <w:caps w:val="false"/>
          <w:smallCaps w:val="false"/>
          <w:sz w:val="20"/>
        </w:rPr>
        <w:t>68,705 shares of its Class A Common Stock for issuance under the plan. As of September 30, 2025, the Company had not commenced any offering period nor sold any shares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all of Legacy Mobix’s RSUs were assumed by the Company and converted into an RSU covering the same number of shares of the Company’s Class A Common Stock.</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2023, the Company had committed to issue to certain officers and key employees, contingent upon closing of the Merger, an aggregate of </w:t>
      </w:r>
      <w:bookmarkStart w:id="1758" w:name="xdx_901_eus-gaap--StockIssuedDuringPerio"/>
      <w:bookmarkEnd w:id="1758"/>
      <w:r>
        <w:rPr>
          <w:rFonts w:ascii="Times New Roman;Times;Serif" w:hAnsi="Times New Roman;Times;Serif"/>
          <w:b w:val="false"/>
          <w:i w:val="false"/>
          <w:caps w:val="false"/>
          <w:smallCaps w:val="false"/>
          <w:sz w:val="20"/>
        </w:rPr>
        <w:t xml:space="preserve">500,000 RSUs (of which </w:t>
      </w:r>
      <w:bookmarkStart w:id="1759" w:name="xdx_907_eus-gaap--ClassOfWarrantOrRightN"/>
      <w:bookmarkEnd w:id="1759"/>
      <w:r>
        <w:rPr>
          <w:rFonts w:ascii="Times New Roman;Times;Serif" w:hAnsi="Times New Roman;Times;Serif"/>
          <w:b w:val="false"/>
          <w:i w:val="false"/>
          <w:caps w:val="false"/>
          <w:smallCaps w:val="false"/>
          <w:sz w:val="20"/>
        </w:rPr>
        <w:t>100,000 were modified to warrants to purchase shares of the Company’s Class A Common Stock upon the holder’s termination of employment) over three years, beginning on the first anniversary of the Closing of the Merger. Because the vesting of these awards was subject to both a service condition and a performance condition (the completion of the Merger), the Company initially determined that vesting of the awards was not probable and did not recognize any stock-based compensation expense for these awards prior to the Closing. Upon Closing, the performance condition was satisfied, and vesting of the awards is subject only to a service condition. As a result, the Company is required to recognize the value of these awards over the requisite service period. During the year ended September 30, 2024, the Company recognized a catch-up for the portion of the service period completed prior to the performance condition being satisfied and is recognizing the remainder of the cost over the remaining service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Also during the year ended September 30, 2024, in connection with a separation of employment, the Company modified </w:t>
      </w:r>
      <w:bookmarkStart w:id="1760" w:name="xdx_906_eus-gaap--ShareBasedCompensation"/>
      <w:bookmarkEnd w:id="1760"/>
      <w:r>
        <w:rPr>
          <w:rFonts w:ascii="Times New Roman;Times;Serif" w:hAnsi="Times New Roman;Times;Serif"/>
          <w:b w:val="false"/>
          <w:i w:val="false"/>
          <w:caps w:val="false"/>
          <w:smallCaps w:val="false"/>
          <w:sz w:val="20"/>
        </w:rPr>
        <w:t>100,000 RSUs held by an employee such that the RSUs—which were subject to forfeiture under their original terms—would continue to vest over their original service period. Because the fair value of the modified awards was lower than the grant-date fair value of the original awards, the Company recognized a $</w:t>
      </w:r>
      <w:bookmarkStart w:id="1761" w:name="xdx_90A_eus-gaap--AllocatedShareBasedCom"/>
      <w:bookmarkEnd w:id="1761"/>
      <w:r>
        <w:rPr>
          <w:rFonts w:ascii="Times New Roman;Times;Serif" w:hAnsi="Times New Roman;Times;Serif"/>
          <w:b w:val="false"/>
          <w:i w:val="false"/>
          <w:caps w:val="false"/>
          <w:smallCaps w:val="false"/>
          <w:sz w:val="20"/>
        </w:rPr>
        <w:t>2,242 reduction of stock-based compensation expense during the year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2025, the Company and a former employee entered into certain agreements wherein the Company agreed to accelerate the vesting of </w:t>
      </w:r>
      <w:bookmarkStart w:id="1762" w:name="xdx_90B_eus-gaap--SharebasedCompensation"/>
      <w:bookmarkEnd w:id="1762"/>
      <w:r>
        <w:rPr>
          <w:rFonts w:ascii="Times New Roman;Times;Serif" w:hAnsi="Times New Roman;Times;Serif"/>
          <w:b w:val="false"/>
          <w:i w:val="false"/>
          <w:caps w:val="false"/>
          <w:smallCaps w:val="false"/>
          <w:sz w:val="20"/>
        </w:rPr>
        <w:t xml:space="preserve">99,999 common stock warrants and grant the holder an additional </w:t>
      </w:r>
      <w:bookmarkStart w:id="1763" w:name="xdx_90A_eus-gaap--ShareBasedCompensation"/>
      <w:bookmarkEnd w:id="1763"/>
      <w:r>
        <w:rPr>
          <w:rFonts w:ascii="Times New Roman;Times;Serif" w:hAnsi="Times New Roman;Times;Serif"/>
          <w:b w:val="false"/>
          <w:i w:val="false"/>
          <w:caps w:val="false"/>
          <w:smallCaps w:val="false"/>
          <w:sz w:val="20"/>
        </w:rPr>
        <w:t>25,000 common stock warrants. The warrants are immediately exercisable and have an exercise price of $</w:t>
      </w:r>
      <w:bookmarkStart w:id="1764" w:name="xdx_90C_eus-gaap--ClassOfWarrantOrRightE"/>
      <w:bookmarkEnd w:id="1764"/>
      <w:r>
        <w:rPr>
          <w:rFonts w:ascii="Times New Roman;Times;Serif" w:hAnsi="Times New Roman;Times;Serif"/>
          <w:b w:val="false"/>
          <w:i w:val="false"/>
          <w:caps w:val="false"/>
          <w:smallCaps w:val="false"/>
          <w:sz w:val="20"/>
        </w:rPr>
        <w:t xml:space="preserve">0.10 per share. Subsequently, the Company agreed to cancel </w:t>
      </w:r>
      <w:bookmarkStart w:id="1765" w:name="xdx_90C_eus-gaap--StockIssuedDuringPerio"/>
      <w:bookmarkEnd w:id="1765"/>
      <w:r>
        <w:rPr>
          <w:rFonts w:ascii="Times New Roman;Times;Serif" w:hAnsi="Times New Roman;Times;Serif"/>
          <w:b w:val="false"/>
          <w:i w:val="false"/>
          <w:caps w:val="false"/>
          <w:smallCaps w:val="false"/>
          <w:sz w:val="20"/>
        </w:rPr>
        <w:t>45,000 of these common stock warrants and replace them with the same number of fully vested RSUs. As a result of the acceleration of vesting and the grant of the warrants, during the year ended September 30, 2025 the Company recognized additional stock-based compensation expense of $</w:t>
      </w:r>
      <w:bookmarkStart w:id="1766" w:name="xdx_90D_eus-gaap--EmployeeBenefitsAndSha"/>
      <w:bookmarkEnd w:id="1766"/>
      <w:r>
        <w:rPr>
          <w:rFonts w:ascii="Times New Roman;Times;Serif" w:hAnsi="Times New Roman;Times;Serif"/>
          <w:b w:val="false"/>
          <w:i w:val="false"/>
          <w:caps w:val="false"/>
          <w:smallCaps w:val="false"/>
          <w:sz w:val="20"/>
        </w:rPr>
        <w:t>6,917.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67" w:name="xdx_891_eus-gaap--ScheduleOfShareBasedCo"/>
      <w:bookmarkEnd w:id="1767"/>
      <w:r>
        <w:rPr>
          <w:rFonts w:ascii="Times New Roman;Times;Serif" w:hAnsi="Times New Roman;Times;Serif"/>
          <w:b w:val="false"/>
          <w:i w:val="false"/>
          <w:caps w:val="false"/>
          <w:smallCaps w:val="false"/>
          <w:sz w:val="20"/>
        </w:rPr>
        <w:t>A summary of activity in the Company’s RSUs for the year ended September 30, 2025 is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768" w:name="xdx_8BF_zFPge4u0ru02"/>
      <w:bookmarkEnd w:id="1768"/>
      <w:r>
        <w:rPr>
          <w:rFonts w:ascii="Times New Roman;Times;Serif" w:hAnsi="Times New Roman;Times;Serif"/>
          <w:b w:val="false"/>
          <w:i w:val="false"/>
          <w:caps w:val="false"/>
          <w:smallCaps w:val="false"/>
          <w:sz w:val="20"/>
        </w:rPr>
        <w:t>Schedule of Activity in the Company’s RSUs </w:t>
      </w:r>
    </w:p>
    <w:tbl>
      <w:tblPr>
        <w:tblW w:w="5974" w:type="dxa"/>
        <w:jc w:val="left"/>
        <w:tblInd w:w="0" w:type="dxa"/>
        <w:tblLayout w:type="fixed"/>
        <w:tblCellMar>
          <w:top w:w="0" w:type="dxa"/>
          <w:left w:w="0" w:type="dxa"/>
          <w:bottom w:w="0" w:type="dxa"/>
          <w:right w:w="0" w:type="dxa"/>
        </w:tblCellMar>
      </w:tblPr>
      <w:tblGrid>
        <w:gridCol w:w="3380"/>
        <w:gridCol w:w="60"/>
        <w:gridCol w:w="65"/>
        <w:gridCol w:w="1064"/>
        <w:gridCol w:w="95"/>
        <w:gridCol w:w="60"/>
        <w:gridCol w:w="235"/>
        <w:gridCol w:w="940"/>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Grant Date</w:t>
              <w:br/>
              <w:t>Fair Value</w:t>
              <w:br/>
              <w:t>per Unit</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2024</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446,318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w:t>
            </w:r>
          </w:p>
        </w:tc>
        <w:tc>
          <w:tcPr>
            <w:tcW w:w="940" w:type="dxa"/>
            <w:tcBorders/>
            <w:shd w:fill="FFFFFF" w:val="clear"/>
            <w:vAlign w:val="center"/>
          </w:tcPr>
          <w:p>
            <w:pPr>
              <w:pStyle w:val="TableContents"/>
              <w:bidi w:val="0"/>
              <w:spacing w:before="0" w:after="283"/>
              <w:jc w:val="right"/>
              <w:rPr/>
            </w:pPr>
            <w:r>
              <w:rPr/>
              <w:t>79.30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Issued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1,103,679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9.64</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(4,776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33.59</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CCEEFF" w:val="clear"/>
            <w:tcMar>
              <w:bottom w:w="28" w:type="dxa"/>
            </w:tcMar>
            <w:vAlign w:val="center"/>
          </w:tcPr>
          <w:p>
            <w:pPr>
              <w:pStyle w:val="TableContents"/>
              <w:bidi w:val="0"/>
              <w:spacing w:before="0" w:after="283"/>
              <w:jc w:val="right"/>
              <w:rPr/>
            </w:pPr>
            <w:r>
              <w:rPr/>
              <w:t>(590,622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pPr>
            <w:r>
              <w:rPr/>
              <w:t>9.58</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2025</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double" w:sz="6" w:space="0" w:color="000000"/>
            </w:tcBorders>
            <w:shd w:fill="FFFFFF" w:val="clear"/>
            <w:tcMar>
              <w:bottom w:w="28" w:type="dxa"/>
            </w:tcMar>
            <w:vAlign w:val="center"/>
          </w:tcPr>
          <w:p>
            <w:pPr>
              <w:pStyle w:val="TableContents"/>
              <w:bidi w:val="0"/>
              <w:spacing w:before="0" w:after="283"/>
              <w:jc w:val="right"/>
              <w:rPr/>
            </w:pPr>
            <w:r>
              <w:rPr/>
              <w:t>954,599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pPr>
            <w:r>
              <w:rPr/>
              <w:t>42.11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769" w:name="xdx_8AA_zsWljzbL3LEk"/>
      <w:bookmarkEnd w:id="17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RSUs was $</w:t>
      </w:r>
      <w:bookmarkStart w:id="1770" w:name="xdx_907_eus-gaap--EmployeeServiceShareBa"/>
      <w:bookmarkEnd w:id="1770"/>
      <w:r>
        <w:rPr>
          <w:rFonts w:ascii="Times New Roman;Times;Serif" w:hAnsi="Times New Roman;Times;Serif"/>
          <w:b w:val="false"/>
          <w:i w:val="false"/>
          <w:caps w:val="false"/>
          <w:smallCaps w:val="false"/>
          <w:sz w:val="20"/>
        </w:rPr>
        <w:t xml:space="preserve">14,066 as of September 30, 2025 and is expected to be recognized over a weighted-average period of </w:t>
      </w:r>
      <w:bookmarkStart w:id="1771" w:name="xdx_90F_eus-gaap--EmployeeServiceShareBa"/>
      <w:bookmarkEnd w:id="1771"/>
      <w:r>
        <w:rPr>
          <w:rFonts w:ascii="Times New Roman;Times;Serif" w:hAnsi="Times New Roman;Times;Serif"/>
          <w:b w:val="false"/>
          <w:i w:val="false"/>
          <w:caps w:val="false"/>
          <w:smallCaps w:val="false"/>
          <w:sz w:val="20"/>
        </w:rPr>
        <w:t>2.0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2025, the Company granted restricted stock awards (“RSAs”) for a total of </w:t>
      </w:r>
      <w:bookmarkStart w:id="1772" w:name="xdx_90C_eus-gaap--StockIssuedDuringPerio"/>
      <w:bookmarkEnd w:id="1772"/>
      <w:r>
        <w:rPr>
          <w:rFonts w:ascii="Times New Roman;Times;Serif" w:hAnsi="Times New Roman;Times;Serif"/>
          <w:b w:val="false"/>
          <w:i w:val="false"/>
          <w:caps w:val="false"/>
          <w:smallCaps w:val="false"/>
          <w:sz w:val="20"/>
        </w:rPr>
        <w:t>510,000 shares of the Company’s Class A Common Stock to two officers and directors of the Company. The restricted stock awards were made pursuant to separate award agreements between the Company and each of the recipients. One RSA will vest in specified quarterly amounts from July 2025 through July 2028; the other RSA will vest over a two-year period and can be accelerated if certain stock price thresholds are met.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73" w:name="xdx_89C_eus-gaap--NonvestedRestrictedSto"/>
      <w:bookmarkEnd w:id="1773"/>
      <w:r>
        <w:rPr>
          <w:rFonts w:ascii="Times New Roman;Times;Serif" w:hAnsi="Times New Roman;Times;Serif"/>
          <w:b w:val="false"/>
          <w:i w:val="false"/>
          <w:caps w:val="false"/>
          <w:smallCaps w:val="false"/>
          <w:sz w:val="20"/>
        </w:rPr>
        <w:t>A summary of activity in the Company’s RSAs for the year ended September 30, 2025 is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774" w:name="xdx_8B7_zf6lxJtHJV2"/>
      <w:bookmarkEnd w:id="1774"/>
      <w:r>
        <w:rPr>
          <w:rFonts w:ascii="Times New Roman;Times;Serif" w:hAnsi="Times New Roman;Times;Serif"/>
          <w:b w:val="false"/>
          <w:i w:val="false"/>
          <w:caps w:val="false"/>
          <w:smallCaps w:val="false"/>
          <w:sz w:val="20"/>
        </w:rPr>
        <w:t>Schedule of Activity in the Company’s RSAs  </w:t>
      </w:r>
    </w:p>
    <w:tbl>
      <w:tblPr>
        <w:tblW w:w="5973" w:type="dxa"/>
        <w:jc w:val="left"/>
        <w:tblInd w:w="0" w:type="dxa"/>
        <w:tblLayout w:type="fixed"/>
        <w:tblCellMar>
          <w:top w:w="0" w:type="dxa"/>
          <w:left w:w="0" w:type="dxa"/>
          <w:bottom w:w="0" w:type="dxa"/>
          <w:right w:w="0" w:type="dxa"/>
        </w:tblCellMar>
      </w:tblPr>
      <w:tblGrid>
        <w:gridCol w:w="3380"/>
        <w:gridCol w:w="60"/>
        <w:gridCol w:w="78"/>
        <w:gridCol w:w="1051"/>
        <w:gridCol w:w="95"/>
        <w:gridCol w:w="60"/>
        <w:gridCol w:w="283"/>
        <w:gridCol w:w="891"/>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Grant Date</w:t>
              <w:br/>
              <w:t>Fair Value</w:t>
              <w:br/>
              <w:t>per Share</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1775" w:name="xdx_98F_eus-gaap--ShareBasedCompensation"/>
            <w:bookmarkEnd w:id="1775"/>
          </w:p>
        </w:tc>
        <w:tc>
          <w:tcPr>
            <w:tcW w:w="105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bookmarkStart w:id="1776" w:name="xdx_98D_eus-gaap--ShareBasedCompensation"/>
            <w:bookmarkEnd w:id="1776"/>
          </w:p>
        </w:tc>
        <w:tc>
          <w:tcPr>
            <w:tcW w:w="8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1777" w:name="xdx_986_eus-gaap--ShareBasedCompensation"/>
            <w:bookmarkEnd w:id="1777"/>
          </w:p>
        </w:tc>
        <w:tc>
          <w:tcPr>
            <w:tcW w:w="1051" w:type="dxa"/>
            <w:tcBorders/>
            <w:shd w:fill="FFFFFF" w:val="clear"/>
            <w:vAlign w:val="center"/>
          </w:tcPr>
          <w:p>
            <w:pPr>
              <w:pStyle w:val="TableContents"/>
              <w:bidi w:val="0"/>
              <w:spacing w:before="0" w:after="283"/>
              <w:jc w:val="right"/>
              <w:rPr/>
            </w:pPr>
            <w:r>
              <w:rPr/>
              <w:t>510,000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1778" w:name="xdx_988_eus-gaap--ShareBasedCompensation"/>
            <w:bookmarkEnd w:id="1778"/>
          </w:p>
        </w:tc>
        <w:tc>
          <w:tcPr>
            <w:tcW w:w="891" w:type="dxa"/>
            <w:tcBorders/>
            <w:shd w:fill="FFFFFF" w:val="clear"/>
            <w:vAlign w:val="center"/>
          </w:tcPr>
          <w:p>
            <w:pPr>
              <w:pStyle w:val="TableContents"/>
              <w:bidi w:val="0"/>
              <w:spacing w:before="0" w:after="283"/>
              <w:jc w:val="right"/>
              <w:rPr/>
            </w:pPr>
            <w:r>
              <w:rPr/>
              <w:t>7.00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79" w:name="xdx_98F_eus-gaap--ShareBasedCompensation"/>
            <w:bookmarkEnd w:id="1779"/>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pPr>
            <w:r>
              <w:rPr/>
              <w:t>(22,750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bookmarkStart w:id="1780" w:name="xdx_98F_eus-gaap--ShareBasedCompensation"/>
            <w:bookmarkEnd w:id="1780"/>
          </w:p>
        </w:tc>
        <w:tc>
          <w:tcPr>
            <w:tcW w:w="891" w:type="dxa"/>
            <w:tcBorders/>
            <w:shd w:fill="CCEEFF" w:val="clear"/>
            <w:vAlign w:val="center"/>
          </w:tcPr>
          <w:p>
            <w:pPr>
              <w:pStyle w:val="TableContents"/>
              <w:bidi w:val="0"/>
              <w:spacing w:before="0" w:after="283"/>
              <w:jc w:val="right"/>
              <w:rPr/>
            </w:pPr>
            <w:r>
              <w:rPr/>
              <w:t>7.00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2025</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81" w:name="xdx_988_eus-gaap--ShareBasedCompensation"/>
            <w:bookmarkEnd w:id="1781"/>
          </w:p>
        </w:tc>
        <w:tc>
          <w:tcPr>
            <w:tcW w:w="1051" w:type="dxa"/>
            <w:tcBorders>
              <w:bottom w:val="double" w:sz="6" w:space="0" w:color="000000"/>
            </w:tcBorders>
            <w:shd w:fill="FFFFFF" w:val="clear"/>
            <w:tcMar>
              <w:bottom w:w="28" w:type="dxa"/>
            </w:tcMar>
            <w:vAlign w:val="center"/>
          </w:tcPr>
          <w:p>
            <w:pPr>
              <w:pStyle w:val="TableContents"/>
              <w:bidi w:val="0"/>
              <w:spacing w:before="0" w:after="283"/>
              <w:jc w:val="right"/>
              <w:rPr/>
            </w:pPr>
            <w:r>
              <w:rPr/>
              <w:t>487,250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1782" w:name="xdx_987_eus-gaap--ShareBasedCompensation"/>
            <w:bookmarkEnd w:id="1782"/>
          </w:p>
        </w:tc>
        <w:tc>
          <w:tcPr>
            <w:tcW w:w="891" w:type="dxa"/>
            <w:tcBorders/>
            <w:shd w:fill="FFFFFF" w:val="clear"/>
            <w:vAlign w:val="center"/>
          </w:tcPr>
          <w:p>
            <w:pPr>
              <w:pStyle w:val="TableContents"/>
              <w:bidi w:val="0"/>
              <w:spacing w:before="0" w:after="283"/>
              <w:jc w:val="right"/>
              <w:rPr/>
            </w:pPr>
            <w:r>
              <w:rPr/>
              <w:t>7.00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783" w:name="xdx_8A3_zUFe9cLQvvK3"/>
      <w:bookmarkEnd w:id="1783"/>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RSAs was $</w:t>
      </w:r>
      <w:bookmarkStart w:id="1784" w:name="xdx_90E_eus-gaap--EmployeeServiceShareBa"/>
      <w:bookmarkEnd w:id="1784"/>
      <w:r>
        <w:rPr>
          <w:rFonts w:ascii="Times New Roman;Times;Serif" w:hAnsi="Times New Roman;Times;Serif"/>
          <w:b w:val="false"/>
          <w:i w:val="false"/>
          <w:caps w:val="false"/>
          <w:smallCaps w:val="false"/>
          <w:sz w:val="20"/>
        </w:rPr>
        <w:t xml:space="preserve">2,855 as of September 30, 2025 and is expected to be recognized over a weighted-average period of </w:t>
      </w:r>
      <w:bookmarkStart w:id="1785" w:name="xdx_905_eus-gaap--EmployeeServiceShareBa"/>
      <w:bookmarkEnd w:id="1785"/>
      <w:r>
        <w:rPr>
          <w:rFonts w:ascii="Times New Roman;Times;Serif" w:hAnsi="Times New Roman;Times;Serif"/>
          <w:b w:val="false"/>
          <w:i w:val="false"/>
          <w:caps w:val="false"/>
          <w:smallCaps w:val="false"/>
          <w:sz w:val="20"/>
        </w:rPr>
        <w:t>2.0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granted under the Company’s equity incentive plan may be Incentive Stock Options (“ISOs”) or Non-Statutory Stock Options (“NSOs”). ISOs may be granted only to employees and NSOs may be granted to employees and consultants. The types of awards granted to consultants do not vary in characteristics from those granted to employees. The term of each option, which is stated in each option agreement, cannot exceed ten years from the date of grant. The exercise price is determined by the Company’s board of directors. If granted to an employee (other than employee who owns stock representing more than 10% of the voting power of all classes of stock), the option exercise price cannot be less than the fair market value of the stock on the date of grant as determined by the Company’s board of directors. Vesting requirements for options granted under the plans are determined by the board of directors. Stock option awards generally vest over periods of one to four years. Certain awards require the performance of one year of service before vesting commences, with a specified percentage of the award vesting after one year of service, and the remainder vesting ratably over the remaining vesting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all Legacy Mobix stock options were assumed by the Company and converted into the same number of stock options of the Company, with no change to their exercise prices, vesting conditions or other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86" w:name="xdx_89F_eus-gaap--ScheduleOfShareBasedCo"/>
      <w:bookmarkEnd w:id="1786"/>
      <w:r>
        <w:rPr>
          <w:rFonts w:ascii="Times New Roman;Times;Serif" w:hAnsi="Times New Roman;Times;Serif"/>
          <w:b w:val="false"/>
          <w:i w:val="false"/>
          <w:caps w:val="false"/>
          <w:smallCaps w:val="false"/>
          <w:sz w:val="20"/>
        </w:rPr>
        <w:t>Stock option activity for the year ended September 30, 2025 is as follows:</w:t>
      </w:r>
    </w:p>
    <w:p>
      <w:pPr>
        <w:pStyle w:val="TextBody"/>
        <w:bidi w:val="0"/>
        <w:spacing w:before="0" w:after="0"/>
        <w:ind w:left="0" w:right="0" w:hanging="0"/>
        <w:jc w:val="left"/>
        <w:rPr>
          <w:caps w:val="false"/>
          <w:smallCaps w:val="false"/>
        </w:rPr>
      </w:pPr>
      <w:r>
        <w:rPr>
          <w:caps w:val="false"/>
          <w:smallCaps w:val="false"/>
        </w:rPr>
        <w:t> </w:t>
      </w:r>
      <w:bookmarkStart w:id="1787" w:name="xdx_8BB_zMboNG9PLRBl"/>
      <w:bookmarkEnd w:id="1787"/>
      <w:r>
        <w:rPr>
          <w:rFonts w:ascii="Times New Roman;Times;Serif" w:hAnsi="Times New Roman;Times;Serif"/>
          <w:b w:val="false"/>
          <w:i w:val="false"/>
          <w:caps w:val="false"/>
          <w:smallCaps w:val="false"/>
          <w:sz w:val="20"/>
        </w:rPr>
        <w:t>Schedule of Stock Option Activity </w:t>
      </w:r>
    </w:p>
    <w:tbl>
      <w:tblPr>
        <w:tblW w:w="7689" w:type="dxa"/>
        <w:jc w:val="left"/>
        <w:tblInd w:w="0" w:type="dxa"/>
        <w:tblLayout w:type="fixed"/>
        <w:tblCellMar>
          <w:top w:w="0" w:type="dxa"/>
          <w:left w:w="0" w:type="dxa"/>
          <w:bottom w:w="0" w:type="dxa"/>
          <w:right w:w="0" w:type="dxa"/>
        </w:tblCellMar>
      </w:tblPr>
      <w:tblGrid>
        <w:gridCol w:w="3380"/>
        <w:gridCol w:w="60"/>
        <w:gridCol w:w="78"/>
        <w:gridCol w:w="1051"/>
        <w:gridCol w:w="95"/>
        <w:gridCol w:w="60"/>
        <w:gridCol w:w="304"/>
        <w:gridCol w:w="1216"/>
        <w:gridCol w:w="60"/>
        <w:gridCol w:w="60"/>
        <w:gridCol w:w="197"/>
        <w:gridCol w:w="1053"/>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 xml:space="preserve">Exercise Price </w:t>
              <w:b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 xml:space="preserve">Remaining </w:t>
              <w:br/>
              <w:t>Contractual</w:t>
              <w:br/>
              <w:t xml:space="preserve">Term </w:t>
              <w:br/>
              <w:t>(years)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1788" w:name="xdx_98B_eus-gaap--ShareBasedCompensation"/>
            <w:bookmarkEnd w:id="1788"/>
          </w:p>
        </w:tc>
        <w:tc>
          <w:tcPr>
            <w:tcW w:w="1051" w:type="dxa"/>
            <w:tcBorders/>
            <w:shd w:fill="CCEEFF" w:val="clear"/>
            <w:vAlign w:val="center"/>
          </w:tcPr>
          <w:p>
            <w:pPr>
              <w:pStyle w:val="TableContents"/>
              <w:bidi w:val="0"/>
              <w:spacing w:before="0" w:after="283"/>
              <w:jc w:val="right"/>
              <w:rPr/>
            </w:pPr>
            <w:r>
              <w:rPr/>
              <w:t>274,063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bookmarkStart w:id="1789" w:name="xdx_988_eus-gaap--ShareBasedCompensation"/>
            <w:bookmarkEnd w:id="1789"/>
          </w:p>
        </w:tc>
        <w:tc>
          <w:tcPr>
            <w:tcW w:w="1216" w:type="dxa"/>
            <w:tcBorders/>
            <w:shd w:fill="CCEEFF" w:val="clear"/>
            <w:vAlign w:val="center"/>
          </w:tcPr>
          <w:p>
            <w:pPr>
              <w:pStyle w:val="TableContents"/>
              <w:bidi w:val="0"/>
              <w:spacing w:before="0" w:after="283"/>
              <w:jc w:val="right"/>
              <w:rPr/>
            </w:pPr>
            <w:r>
              <w:rPr/>
              <w:t>48.90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1790" w:name="xdx_987_eus-gaap--ShareBasedCompensation"/>
            <w:bookmarkEnd w:id="1790"/>
          </w:p>
        </w:tc>
        <w:tc>
          <w:tcPr>
            <w:tcW w:w="1051" w:type="dxa"/>
            <w:tcBorders/>
            <w:shd w:fill="FFFFFF" w:val="clear"/>
            <w:vAlign w:val="center"/>
          </w:tcPr>
          <w:p>
            <w:pPr>
              <w:pStyle w:val="TableContents"/>
              <w:bidi w:val="0"/>
              <w:spacing w:before="0" w:after="283"/>
              <w:jc w:val="right"/>
              <w:rPr/>
            </w:pPr>
            <w:r>
              <w:rPr/>
              <w:t>(7,154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bookmarkStart w:id="1791" w:name="xdx_98A_eus-gaap--ShareBasedCompensation"/>
            <w:bookmarkEnd w:id="1791"/>
          </w:p>
        </w:tc>
        <w:tc>
          <w:tcPr>
            <w:tcW w:w="1216" w:type="dxa"/>
            <w:tcBorders/>
            <w:shd w:fill="FFFFFF" w:val="clear"/>
            <w:vAlign w:val="center"/>
          </w:tcPr>
          <w:p>
            <w:pPr>
              <w:pStyle w:val="TableContents"/>
              <w:bidi w:val="0"/>
              <w:spacing w:before="0" w:after="283"/>
              <w:jc w:val="right"/>
              <w:rPr/>
            </w:pPr>
            <w:r>
              <w:rPr/>
              <w:t>60.30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92" w:name="xdx_98D_ecustom--ShareBasedCompensationA"/>
            <w:bookmarkEnd w:id="1792"/>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pPr>
            <w:r>
              <w:rPr/>
              <w:t>(21,691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bookmarkStart w:id="1793" w:name="xdx_98A_eus-gaap--ShareBasedCompensation"/>
            <w:bookmarkEnd w:id="1793"/>
          </w:p>
        </w:tc>
        <w:tc>
          <w:tcPr>
            <w:tcW w:w="1216" w:type="dxa"/>
            <w:tcBorders/>
            <w:shd w:fill="CCEEFF" w:val="clear"/>
            <w:vAlign w:val="center"/>
          </w:tcPr>
          <w:p>
            <w:pPr>
              <w:pStyle w:val="TableContents"/>
              <w:bidi w:val="0"/>
              <w:spacing w:before="0" w:after="283"/>
              <w:jc w:val="right"/>
              <w:rPr/>
            </w:pPr>
            <w:r>
              <w:rPr/>
              <w:t>49.20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2025</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94" w:name="xdx_988_eus-gaap--ShareBasedCompensation"/>
            <w:bookmarkEnd w:id="1794"/>
          </w:p>
        </w:tc>
        <w:tc>
          <w:tcPr>
            <w:tcW w:w="1051" w:type="dxa"/>
            <w:tcBorders>
              <w:bottom w:val="double" w:sz="6" w:space="0" w:color="000000"/>
            </w:tcBorders>
            <w:shd w:fill="FFFFFF" w:val="clear"/>
            <w:tcMar>
              <w:bottom w:w="28" w:type="dxa"/>
            </w:tcMar>
            <w:vAlign w:val="center"/>
          </w:tcPr>
          <w:p>
            <w:pPr>
              <w:pStyle w:val="TableContents"/>
              <w:bidi w:val="0"/>
              <w:spacing w:before="0" w:after="283"/>
              <w:jc w:val="right"/>
              <w:rPr/>
            </w:pPr>
            <w:r>
              <w:rPr/>
              <w:t>245,218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bookmarkStart w:id="1795" w:name="xdx_985_eus-gaap--ShareBasedCompensation"/>
            <w:bookmarkEnd w:id="1795"/>
          </w:p>
        </w:tc>
        <w:tc>
          <w:tcPr>
            <w:tcW w:w="1216" w:type="dxa"/>
            <w:tcBorders/>
            <w:shd w:fill="FFFFFF" w:val="clear"/>
            <w:vAlign w:val="center"/>
          </w:tcPr>
          <w:p>
            <w:pPr>
              <w:pStyle w:val="TableContents"/>
              <w:bidi w:val="0"/>
              <w:spacing w:before="0" w:after="283"/>
              <w:jc w:val="right"/>
              <w:rPr/>
            </w:pPr>
            <w:r>
              <w:rPr/>
              <w:t>48.50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bookmarkStart w:id="1796" w:name="xdx_900_eus-gaap--SharebasedCompensation"/>
            <w:bookmarkEnd w:id="1796"/>
            <w:r>
              <w:rPr/>
              <w:t>5.9</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Exercisable at September 30, 2025</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97" w:name="xdx_987_eus-gaap--ShareBasedCompensation"/>
            <w:bookmarkEnd w:id="1797"/>
          </w:p>
        </w:tc>
        <w:tc>
          <w:tcPr>
            <w:tcW w:w="1051" w:type="dxa"/>
            <w:tcBorders>
              <w:bottom w:val="double" w:sz="6" w:space="0" w:color="000000"/>
            </w:tcBorders>
            <w:shd w:fill="CCEEFF" w:val="clear"/>
            <w:tcMar>
              <w:bottom w:w="28" w:type="dxa"/>
            </w:tcMar>
            <w:vAlign w:val="center"/>
          </w:tcPr>
          <w:p>
            <w:pPr>
              <w:pStyle w:val="TableContents"/>
              <w:bidi w:val="0"/>
              <w:spacing w:before="0" w:after="283"/>
              <w:jc w:val="right"/>
              <w:rPr/>
            </w:pPr>
            <w:r>
              <w:rPr/>
              <w:t>233,102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bookmarkStart w:id="1798" w:name="xdx_983_eus-gaap--ShareBasedCompensation"/>
            <w:bookmarkEnd w:id="1798"/>
          </w:p>
        </w:tc>
        <w:tc>
          <w:tcPr>
            <w:tcW w:w="1216" w:type="dxa"/>
            <w:tcBorders/>
            <w:shd w:fill="CCEEFF" w:val="clear"/>
            <w:vAlign w:val="center"/>
          </w:tcPr>
          <w:p>
            <w:pPr>
              <w:pStyle w:val="TableContents"/>
              <w:bidi w:val="0"/>
              <w:spacing w:before="0" w:after="283"/>
              <w:jc w:val="right"/>
              <w:rPr/>
            </w:pPr>
            <w:r>
              <w:rPr/>
              <w:t>47.50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bookmarkStart w:id="1799" w:name="xdx_90B_eus-gaap--SharebasedCompensation"/>
            <w:bookmarkEnd w:id="1799"/>
            <w:r>
              <w:rPr/>
              <w:t>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00" w:name="xdx_8A0_zjLDOMujhomb"/>
      <w:bookmarkEnd w:id="180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stock-based compensation expense related to stock options, totaling $</w:t>
      </w:r>
      <w:bookmarkStart w:id="1801" w:name="xdx_902_eus-gaap--EmployeeServiceShareBa"/>
      <w:bookmarkEnd w:id="1801"/>
      <w:r>
        <w:rPr>
          <w:rFonts w:ascii="Times New Roman;Times;Serif" w:hAnsi="Times New Roman;Times;Serif"/>
          <w:b w:val="false"/>
          <w:i w:val="false"/>
          <w:caps w:val="false"/>
          <w:smallCaps w:val="false"/>
          <w:sz w:val="20"/>
        </w:rPr>
        <w:t xml:space="preserve">399 as of September 30, 2025, is expected to be recognized over a weighted-average period of </w:t>
      </w:r>
      <w:bookmarkStart w:id="1802" w:name="xdx_90A_eus-gaap--EmployeeServiceShareBa"/>
      <w:bookmarkEnd w:id="1802"/>
      <w:r>
        <w:rPr>
          <w:rFonts w:ascii="Times New Roman;Times;Serif" w:hAnsi="Times New Roman;Times;Serif"/>
          <w:b w:val="false"/>
          <w:i w:val="false"/>
          <w:caps w:val="false"/>
          <w:smallCaps w:val="false"/>
          <w:sz w:val="20"/>
        </w:rPr>
        <w:t>1.1 years. The aggregate intrinsic value of stock options outstanding and stock options exercisable as of September 30, 2025 was $</w:t>
      </w:r>
      <w:bookmarkStart w:id="1803" w:name="xdx_90E_eus-gaap--ShareBasedCompensation"/>
      <w:bookmarkEnd w:id="1803"/>
      <w:r>
        <w:rPr>
          <w:rFonts w:ascii="Times New Roman;Times;Serif" w:hAnsi="Times New Roman;Times;Serif"/>
          <w:b w:val="false"/>
          <w:i w:val="false"/>
          <w:caps w:val="false"/>
          <w:smallCaps w:val="false"/>
          <w:sz w:val="20"/>
        </w:rPr>
        <w:t>414 and $</w:t>
      </w:r>
      <w:bookmarkStart w:id="1804" w:name="xdx_90E_eus-gaap--SharebasedCompensation"/>
      <w:bookmarkEnd w:id="1804"/>
      <w:r>
        <w:rPr>
          <w:rFonts w:ascii="Times New Roman;Times;Serif" w:hAnsi="Times New Roman;Times;Serif"/>
          <w:b w:val="false"/>
          <w:i w:val="false"/>
          <w:caps w:val="false"/>
          <w:smallCaps w:val="false"/>
          <w:sz w:val="20"/>
        </w:rPr>
        <w:t>414, respectively. The total intrinsic value of options exercised during the year ended September 30, 2024 was $</w:t>
      </w:r>
      <w:bookmarkStart w:id="1805" w:name="xdx_905_eus-gaap--ShareBasedCompensation"/>
      <w:bookmarkEnd w:id="1805"/>
      <w:r>
        <w:rPr>
          <w:rFonts w:ascii="Times New Roman;Times;Serif" w:hAnsi="Times New Roman;Times;Serif"/>
          <w:b w:val="false"/>
          <w:i w:val="false"/>
          <w:caps w:val="false"/>
          <w:smallCaps w:val="false"/>
          <w:sz w:val="20"/>
        </w:rPr>
        <w:t>4,709. The total fair value of options that vested during the years ended September 30, 2025 and 2024 was $</w:t>
      </w:r>
      <w:bookmarkStart w:id="1806" w:name="xdx_901_eus-gaap--SharebasedCompensation"/>
      <w:bookmarkEnd w:id="1806"/>
      <w:r>
        <w:rPr>
          <w:rFonts w:ascii="Times New Roman;Times;Serif" w:hAnsi="Times New Roman;Times;Serif"/>
          <w:b w:val="false"/>
          <w:i w:val="false"/>
          <w:caps w:val="false"/>
          <w:smallCaps w:val="false"/>
          <w:sz w:val="20"/>
        </w:rPr>
        <w:t>593 and $</w:t>
      </w:r>
      <w:bookmarkStart w:id="1807" w:name="xdx_90B_eus-gaap--SharebasedCompensation"/>
      <w:bookmarkEnd w:id="1807"/>
      <w:r>
        <w:rPr>
          <w:rFonts w:ascii="Times New Roman;Times;Serif" w:hAnsi="Times New Roman;Times;Serif"/>
          <w:b w:val="false"/>
          <w:i w:val="false"/>
          <w:caps w:val="false"/>
          <w:smallCaps w:val="false"/>
          <w:sz w:val="20"/>
        </w:rPr>
        <w:t>1,726, respectively.</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grant date fair value of options granted during the year ended September 30, 2024 was $</w:t>
      </w:r>
      <w:bookmarkStart w:id="1808" w:name="xdx_90F_eus-gaap--ShareBasedCompensation"/>
      <w:bookmarkEnd w:id="1808"/>
      <w:r>
        <w:rPr>
          <w:rFonts w:ascii="Times New Roman;Times;Serif" w:hAnsi="Times New Roman;Times;Serif"/>
          <w:b w:val="false"/>
          <w:i w:val="false"/>
          <w:caps w:val="false"/>
          <w:smallCaps w:val="false"/>
          <w:sz w:val="20"/>
        </w:rPr>
        <w:t>35.00. The fair value of stock options granted was estimated with the following assumptions:</w:t>
      </w:r>
    </w:p>
    <w:p>
      <w:pPr>
        <w:pStyle w:val="TextBody"/>
        <w:bidi w:val="0"/>
        <w:spacing w:before="0" w:after="0"/>
        <w:ind w:left="0" w:right="0" w:hanging="0"/>
        <w:jc w:val="both"/>
        <w:rPr>
          <w:caps w:val="false"/>
          <w:smallCaps w:val="false"/>
        </w:rPr>
      </w:pPr>
      <w:bookmarkStart w:id="1809" w:name="xdx_89A_eus-gaap--ScheduleOfShareBasedPa"/>
      <w:bookmarkEnd w:id="1809"/>
      <w:r>
        <w:rPr>
          <w:caps w:val="false"/>
          <w:smallCaps w:val="false"/>
        </w:rPr>
        <w:t> </w:t>
      </w:r>
      <w:bookmarkStart w:id="1810" w:name="xdx_8BC_z3SjkDWiqZzj"/>
      <w:bookmarkEnd w:id="1810"/>
      <w:r>
        <w:rPr>
          <w:rFonts w:ascii="Times New Roman;Times;Serif" w:hAnsi="Times New Roman;Times;Serif"/>
          <w:b w:val="false"/>
          <w:i w:val="false"/>
          <w:caps w:val="false"/>
          <w:smallCaps w:val="false"/>
          <w:sz w:val="20"/>
        </w:rPr>
        <w:t>Schedule of Weighted-Average Grant Date Fair Value of Options Granted </w:t>
      </w:r>
    </w:p>
    <w:tbl>
      <w:tblPr>
        <w:tblW w:w="4303" w:type="dxa"/>
        <w:jc w:val="left"/>
        <w:tblInd w:w="0" w:type="dxa"/>
        <w:tblLayout w:type="fixed"/>
        <w:tblCellMar>
          <w:top w:w="0" w:type="dxa"/>
          <w:left w:w="0" w:type="dxa"/>
          <w:bottom w:w="0" w:type="dxa"/>
          <w:right w:w="0" w:type="dxa"/>
        </w:tblCellMar>
      </w:tblPr>
      <w:tblGrid>
        <w:gridCol w:w="2330"/>
        <w:gridCol w:w="60"/>
        <w:gridCol w:w="79"/>
        <w:gridCol w:w="581"/>
        <w:gridCol w:w="284"/>
        <w:gridCol w:w="79"/>
        <w:gridCol w:w="79"/>
        <w:gridCol w:w="581"/>
        <w:gridCol w:w="230"/>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3"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2024</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Range</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Low</w:t>
            </w:r>
          </w:p>
        </w:tc>
        <w:tc>
          <w:tcPr>
            <w:tcW w:w="28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High</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0" w:type="dxa"/>
            <w:gridSpan w:val="2"/>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66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1811" w:name="xdx_981_eus-gaap--ShareBasedCompensation"/>
            <w:bookmarkEnd w:id="1811"/>
          </w:p>
        </w:tc>
        <w:tc>
          <w:tcPr>
            <w:tcW w:w="581" w:type="dxa"/>
            <w:tcBorders/>
            <w:shd w:fill="CCEEFF" w:val="clear"/>
            <w:vAlign w:val="center"/>
          </w:tcPr>
          <w:p>
            <w:pPr>
              <w:pStyle w:val="TableContents"/>
              <w:bidi w:val="0"/>
              <w:spacing w:before="0" w:after="283"/>
              <w:jc w:val="right"/>
              <w:rPr/>
            </w:pPr>
            <w:r>
              <w:rPr/>
              <w:t>54.8</w:t>
            </w:r>
          </w:p>
        </w:tc>
        <w:tc>
          <w:tcPr>
            <w:tcW w:w="284"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1812" w:name="xdx_989_eus-gaap--ShareBasedCompensation"/>
            <w:bookmarkEnd w:id="1812"/>
          </w:p>
        </w:tc>
        <w:tc>
          <w:tcPr>
            <w:tcW w:w="581" w:type="dxa"/>
            <w:tcBorders/>
            <w:shd w:fill="CCEEFF" w:val="clear"/>
            <w:vAlign w:val="center"/>
          </w:tcPr>
          <w:p>
            <w:pPr>
              <w:pStyle w:val="TableContents"/>
              <w:bidi w:val="0"/>
              <w:spacing w:before="0" w:after="283"/>
              <w:jc w:val="right"/>
              <w:rPr/>
            </w:pPr>
            <w:r>
              <w:rPr/>
              <w:t>55.6</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1813" w:name="xdx_982_eus-gaap--ShareBasedCompensation"/>
            <w:bookmarkEnd w:id="1813"/>
          </w:p>
        </w:tc>
        <w:tc>
          <w:tcPr>
            <w:tcW w:w="581" w:type="dxa"/>
            <w:tcBorders/>
            <w:shd w:fill="FFFFFF" w:val="clear"/>
            <w:vAlign w:val="center"/>
          </w:tcPr>
          <w:p>
            <w:pPr>
              <w:pStyle w:val="TableContents"/>
              <w:bidi w:val="0"/>
              <w:spacing w:before="0" w:after="283"/>
              <w:jc w:val="right"/>
              <w:rPr/>
            </w:pPr>
            <w:r>
              <w:rPr/>
              <w:t>0</w:t>
            </w:r>
          </w:p>
        </w:tc>
        <w:tc>
          <w:tcPr>
            <w:tcW w:w="284"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1814" w:name="xdx_980_eus-gaap--ShareBasedCompensation"/>
            <w:bookmarkEnd w:id="1814"/>
          </w:p>
        </w:tc>
        <w:tc>
          <w:tcPr>
            <w:tcW w:w="581"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1815" w:name="xdx_985_eus-gaap--ShareBasedCompensation"/>
            <w:bookmarkEnd w:id="1815"/>
          </w:p>
        </w:tc>
        <w:tc>
          <w:tcPr>
            <w:tcW w:w="581" w:type="dxa"/>
            <w:tcBorders/>
            <w:shd w:fill="CCEEFF" w:val="clear"/>
            <w:vAlign w:val="center"/>
          </w:tcPr>
          <w:p>
            <w:pPr>
              <w:pStyle w:val="TableContents"/>
              <w:bidi w:val="0"/>
              <w:spacing w:before="0" w:after="283"/>
              <w:jc w:val="right"/>
              <w:rPr/>
            </w:pPr>
            <w:r>
              <w:rPr/>
              <w:t>3.9</w:t>
            </w:r>
          </w:p>
        </w:tc>
        <w:tc>
          <w:tcPr>
            <w:tcW w:w="284"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1816" w:name="xdx_98A_eus-gaap--ShareBasedCompensation"/>
            <w:bookmarkEnd w:id="1816"/>
          </w:p>
        </w:tc>
        <w:tc>
          <w:tcPr>
            <w:tcW w:w="581" w:type="dxa"/>
            <w:tcBorders/>
            <w:shd w:fill="CCEEFF" w:val="clear"/>
            <w:vAlign w:val="center"/>
          </w:tcPr>
          <w:p>
            <w:pPr>
              <w:pStyle w:val="TableContents"/>
              <w:bidi w:val="0"/>
              <w:spacing w:before="0" w:after="283"/>
              <w:jc w:val="right"/>
              <w:rPr/>
            </w:pPr>
            <w:r>
              <w:rPr/>
              <w:t>4.4</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term (years)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bookmarkStart w:id="1817" w:name="xdx_908_eus-gaap--SharebasedCompensation"/>
            <w:bookmarkEnd w:id="1817"/>
            <w:r>
              <w:rPr/>
              <w:t>4.5</w:t>
            </w:r>
          </w:p>
        </w:tc>
        <w:tc>
          <w:tcPr>
            <w:tcW w:w="284"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bookmarkStart w:id="1818" w:name="xdx_90E_eus-gaap--SharebasedCompensation"/>
            <w:bookmarkEnd w:id="1818"/>
            <w:r>
              <w:rPr/>
              <w:t>5.3</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19" w:name="xdx_8A2_ztop1yRpGRf"/>
      <w:bookmarkEnd w:id="181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20" w:name="xdx_895_eus-gaap--ScheduleOfEmployeeServ"/>
      <w:bookmarkEnd w:id="1820"/>
      <w:r>
        <w:rPr>
          <w:rFonts w:ascii="Times New Roman;Times;Serif" w:hAnsi="Times New Roman;Times;Serif"/>
          <w:b w:val="false"/>
          <w:i w:val="false"/>
          <w:caps w:val="false"/>
          <w:smallCaps w:val="false"/>
          <w:sz w:val="20"/>
        </w:rPr>
        <w:t>The consolidated statements of operations and comprehensive loss include stock-based compensation expense as follows:</w:t>
      </w:r>
    </w:p>
    <w:p>
      <w:pPr>
        <w:pStyle w:val="TextBody"/>
        <w:bidi w:val="0"/>
        <w:spacing w:before="0" w:after="0"/>
        <w:ind w:left="0" w:right="0" w:hanging="0"/>
        <w:jc w:val="both"/>
        <w:rPr>
          <w:caps w:val="false"/>
          <w:smallCaps w:val="false"/>
        </w:rPr>
      </w:pPr>
      <w:r>
        <w:rPr>
          <w:caps w:val="false"/>
          <w:smallCaps w:val="false"/>
        </w:rPr>
        <w:t> </w:t>
      </w:r>
      <w:bookmarkStart w:id="1821" w:name="xdx_8B0_zbxccTCp78ua"/>
      <w:bookmarkEnd w:id="1821"/>
      <w:r>
        <w:rPr>
          <w:rFonts w:ascii="Times New Roman;Times;Serif" w:hAnsi="Times New Roman;Times;Serif"/>
          <w:b w:val="false"/>
          <w:i w:val="false"/>
          <w:caps w:val="false"/>
          <w:smallCaps w:val="false"/>
          <w:sz w:val="20"/>
        </w:rPr>
        <w:t>Schedule of Consolidated Statements of Operations and Comprehensive Loss </w:t>
      </w:r>
    </w:p>
    <w:tbl>
      <w:tblPr>
        <w:tblW w:w="5785" w:type="dxa"/>
        <w:jc w:val="left"/>
        <w:tblInd w:w="0" w:type="dxa"/>
        <w:tblLayout w:type="fixed"/>
        <w:tblCellMar>
          <w:top w:w="0" w:type="dxa"/>
          <w:left w:w="0" w:type="dxa"/>
          <w:bottom w:w="0" w:type="dxa"/>
          <w:right w:w="0" w:type="dxa"/>
        </w:tblCellMar>
      </w:tblPr>
      <w:tblGrid>
        <w:gridCol w:w="3890"/>
        <w:gridCol w:w="60"/>
        <w:gridCol w:w="140"/>
        <w:gridCol w:w="680"/>
        <w:gridCol w:w="60"/>
        <w:gridCol w:w="60"/>
        <w:gridCol w:w="140"/>
        <w:gridCol w:w="680"/>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22" w:name="xdx_493_20241001__20250930_zBh9O8M03LF1"/>
            <w:bookmarkEnd w:id="1822"/>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23" w:name="xdx_49E_20231001__20240930_zWHnZzhOH7Wk"/>
            <w:bookmarkEnd w:id="1823"/>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1824" w:name="xdx_406_eus-gaap--ShareBasedCompensation"/>
            <w:bookmarkEnd w:id="1824"/>
          </w:p>
        </w:tc>
      </w:tr>
      <w:tr>
        <w:trPr/>
        <w:tc>
          <w:tcPr>
            <w:tcW w:w="3890" w:type="dxa"/>
            <w:tcBorders/>
            <w:shd w:fill="CCEEFF" w:val="clear"/>
            <w:vAlign w:val="center"/>
          </w:tcPr>
          <w:p>
            <w:pPr>
              <w:pStyle w:val="TableContents"/>
              <w:bidi w:val="0"/>
              <w:spacing w:before="0" w:after="283"/>
              <w:jc w:val="left"/>
              <w:rPr/>
            </w:pPr>
            <w:r>
              <w:rPr/>
              <w:t>Cost of revenue – product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15</w:t>
            </w:r>
          </w:p>
        </w:tc>
        <w:tc>
          <w:tcPr>
            <w:tcW w:w="75" w:type="dxa"/>
            <w:tcBorders/>
            <w:shd w:fill="CCEEFF" w:val="clear"/>
            <w:vAlign w:val="center"/>
          </w:tcPr>
          <w:p>
            <w:pPr>
              <w:pStyle w:val="TableContents"/>
              <w:bidi w:val="0"/>
              <w:spacing w:before="0" w:after="283"/>
              <w:jc w:val="left"/>
              <w:rPr/>
            </w:pPr>
            <w:r>
              <w:rPr/>
              <w:t> </w:t>
            </w:r>
            <w:bookmarkStart w:id="1825" w:name="xdx_409_eus-gaap--ShareBasedCompensation"/>
            <w:bookmarkEnd w:id="1825"/>
          </w:p>
        </w:tc>
      </w:tr>
      <w:tr>
        <w:trPr/>
        <w:tc>
          <w:tcPr>
            <w:tcW w:w="3890" w:type="dxa"/>
            <w:tcBorders/>
            <w:shd w:fill="FFFFFF" w:val="clear"/>
            <w:vAlign w:val="center"/>
          </w:tcPr>
          <w:p>
            <w:pPr>
              <w:pStyle w:val="TableContents"/>
              <w:bidi w:val="0"/>
              <w:spacing w:before="0" w:after="283"/>
              <w:jc w:val="left"/>
              <w:rPr/>
            </w:pPr>
            <w:r>
              <w:rPr/>
              <w:t>Cost of revenue –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826" w:name="xdx_407_eus-gaap--ShareBasedCompensation"/>
            <w:bookmarkEnd w:id="1826"/>
          </w:p>
        </w:tc>
      </w:tr>
      <w:tr>
        <w:trPr/>
        <w:tc>
          <w:tcPr>
            <w:tcW w:w="38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1,124</w:t>
            </w:r>
          </w:p>
        </w:tc>
        <w:tc>
          <w:tcPr>
            <w:tcW w:w="75" w:type="dxa"/>
            <w:tcBorders/>
            <w:shd w:fill="CCEEFF" w:val="clear"/>
            <w:vAlign w:val="center"/>
          </w:tcPr>
          <w:p>
            <w:pPr>
              <w:pStyle w:val="TableContents"/>
              <w:bidi w:val="0"/>
              <w:spacing w:before="0" w:after="283"/>
              <w:jc w:val="left"/>
              <w:rPr/>
            </w:pPr>
            <w:r>
              <w:rPr/>
              <w:t> </w:t>
            </w:r>
            <w:bookmarkStart w:id="1827" w:name="xdx_40A_eus-gaap--ShareBasedCompensation"/>
            <w:bookmarkEnd w:id="1827"/>
          </w:p>
        </w:tc>
      </w:tr>
      <w:tr>
        <w:trPr/>
        <w:tc>
          <w:tcPr>
            <w:tcW w:w="389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25,098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20,244</w:t>
            </w:r>
          </w:p>
        </w:tc>
        <w:tc>
          <w:tcPr>
            <w:tcW w:w="75" w:type="dxa"/>
            <w:tcBorders/>
            <w:shd w:fill="FFFFFF" w:val="clear"/>
            <w:vAlign w:val="center"/>
          </w:tcPr>
          <w:p>
            <w:pPr>
              <w:pStyle w:val="TableContents"/>
              <w:bidi w:val="0"/>
              <w:spacing w:before="0" w:after="283"/>
              <w:jc w:val="left"/>
              <w:rPr/>
            </w:pPr>
            <w:r>
              <w:rPr/>
              <w:t> </w:t>
            </w:r>
            <w:bookmarkStart w:id="1828" w:name="xdx_400_eus-gaap--ShareBasedCompensation"/>
            <w:bookmarkEnd w:id="1828"/>
          </w:p>
        </w:tc>
      </w:tr>
      <w:tr>
        <w:trPr/>
        <w:tc>
          <w:tcPr>
            <w:tcW w:w="3890" w:type="dxa"/>
            <w:tcBorders/>
            <w:shd w:fill="CCEEFF" w:val="clear"/>
            <w:vAlign w:val="center"/>
          </w:tcPr>
          <w:p>
            <w:pPr>
              <w:pStyle w:val="TableContents"/>
              <w:bidi w:val="0"/>
              <w:spacing w:before="0" w:after="283"/>
              <w:jc w:val="left"/>
              <w:rPr/>
            </w:pPr>
            <w:r>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25,619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21,383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29" w:name="xdx_8AC_zHGEAAaoU33b"/>
      <w:bookmarkEnd w:id="1829"/>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30" w:name="xdx_801_eus-gaap--FairValueDisclosuresTe"/>
      <w:bookmarkEnd w:id="1830"/>
      <w:r>
        <w:rPr>
          <w:rFonts w:ascii="Times New Roman;Times;Serif" w:hAnsi="Times New Roman;Times;Serif"/>
          <w:b/>
          <w:i w:val="false"/>
          <w:caps w:val="false"/>
          <w:smallCaps w:val="false"/>
          <w:sz w:val="20"/>
        </w:rPr>
        <w:t xml:space="preserve">Note 17 — </w:t>
      </w:r>
      <w:bookmarkStart w:id="1831" w:name="xdx_822_z5vNljrOoJ91"/>
      <w:bookmarkEnd w:id="1831"/>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amounts of the Company’s cash, accounts receivable and accounts payable approximate their fair value due to the short-term nature of these instruments. The Company believes the aggregate carrying value of debt approximates its fair value as of September 30, 2025 and 2024 due to the relatively short duration of the notes payable, the </w:t>
      </w:r>
      <w:bookmarkStart w:id="1832" w:name="xdx_902_eus-gaap--DebtInstrumentInterest"/>
      <w:bookmarkStart w:id="1833" w:name="xdx_90C_eus-gaap--DebtInstrumentInterest"/>
      <w:bookmarkEnd w:id="1832"/>
      <w:bookmarkEnd w:id="1833"/>
      <w:r>
        <w:rPr>
          <w:rFonts w:ascii="Times New Roman;Times;Serif" w:hAnsi="Times New Roman;Times;Serif"/>
          <w:b w:val="false"/>
          <w:i w:val="false"/>
          <w:caps w:val="false"/>
          <w:smallCaps w:val="false"/>
          <w:sz w:val="20"/>
        </w:rPr>
        <w:t>7% promissory notes - related parties and the notes payable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834" w:name="xdx_89C_eus-gaap--ScheduleOfFairValueAss"/>
      <w:bookmarkEnd w:id="1834"/>
      <w:r>
        <w:rPr>
          <w:rFonts w:ascii="Times New Roman;Times;Serif" w:hAnsi="Times New Roman;Times;Serif"/>
          <w:b w:val="false"/>
          <w:i w:val="false"/>
          <w:caps w:val="false"/>
          <w:smallCaps w:val="false"/>
          <w:sz w:val="20"/>
        </w:rPr>
        <w:t>Liabilities measured at fair value on a recurring basis as of September 30, 2025 are as follows:</w:t>
      </w:r>
    </w:p>
    <w:p>
      <w:pPr>
        <w:pStyle w:val="TextBody"/>
        <w:bidi w:val="0"/>
        <w:spacing w:before="0" w:after="0"/>
        <w:ind w:left="0" w:right="0" w:hanging="0"/>
        <w:jc w:val="left"/>
        <w:rPr>
          <w:caps w:val="false"/>
          <w:smallCaps w:val="false"/>
        </w:rPr>
      </w:pPr>
      <w:r>
        <w:rPr>
          <w:caps w:val="false"/>
          <w:smallCaps w:val="false"/>
        </w:rPr>
        <w:t> </w:t>
      </w:r>
      <w:bookmarkStart w:id="1835" w:name="xdx_8B3_zbt39NoLS9gd"/>
      <w:bookmarkEnd w:id="1835"/>
      <w:r>
        <w:rPr>
          <w:rFonts w:ascii="Times New Roman;Times;Serif" w:hAnsi="Times New Roman;Times;Serif"/>
          <w:b w:val="false"/>
          <w:i w:val="false"/>
          <w:caps w:val="false"/>
          <w:smallCaps w:val="false"/>
          <w:sz w:val="20"/>
        </w:rPr>
        <w:t>Schedule of Fair Value Assets And Liabilities Measured On Recurring Basis</w:t>
      </w:r>
    </w:p>
    <w:tbl>
      <w:tblPr>
        <w:tblW w:w="6103" w:type="dxa"/>
        <w:jc w:val="left"/>
        <w:tblInd w:w="0" w:type="dxa"/>
        <w:tblLayout w:type="fixed"/>
        <w:tblCellMar>
          <w:top w:w="0" w:type="dxa"/>
          <w:left w:w="0" w:type="dxa"/>
          <w:bottom w:w="0" w:type="dxa"/>
          <w:right w:w="0" w:type="dxa"/>
        </w:tblCellMar>
      </w:tblPr>
      <w:tblGrid>
        <w:gridCol w:w="2645"/>
        <w:gridCol w:w="60"/>
        <w:gridCol w:w="263"/>
        <w:gridCol w:w="491"/>
        <w:gridCol w:w="60"/>
        <w:gridCol w:w="60"/>
        <w:gridCol w:w="263"/>
        <w:gridCol w:w="491"/>
        <w:gridCol w:w="60"/>
        <w:gridCol w:w="60"/>
        <w:gridCol w:w="151"/>
        <w:gridCol w:w="604"/>
        <w:gridCol w:w="60"/>
        <w:gridCol w:w="60"/>
        <w:gridCol w:w="140"/>
        <w:gridCol w:w="560"/>
        <w:gridCol w:w="75"/>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36" w:name="xdx_495_20241001__20250930__us-gaap--Fai"/>
            <w:bookmarkEnd w:id="1836"/>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37" w:name="xdx_496_20241001__20250930__us-gaap--Fai"/>
            <w:bookmarkEnd w:id="1837"/>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38" w:name="xdx_497_20241001__20250930__us-gaap--Fai"/>
            <w:bookmarkEnd w:id="1838"/>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39" w:name="xdx_490_20241001__20250930_zD9m1XZPWHPj"/>
            <w:bookmarkEnd w:id="1839"/>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1840" w:name="xdx_408_ecustom--FairValueAssetLiability"/>
            <w:bookmarkEnd w:id="1840"/>
          </w:p>
        </w:tc>
      </w:tr>
      <w:tr>
        <w:trPr/>
        <w:tc>
          <w:tcPr>
            <w:tcW w:w="2645" w:type="dxa"/>
            <w:tcBorders/>
            <w:shd w:fill="CCEEFF" w:val="clear"/>
            <w:vAlign w:val="center"/>
          </w:tcPr>
          <w:p>
            <w:pPr>
              <w:pStyle w:val="TableContents"/>
              <w:bidi w:val="0"/>
              <w:spacing w:before="0" w:after="283"/>
              <w:jc w:val="left"/>
              <w:rPr/>
            </w:pPr>
            <w:r>
              <w:rPr/>
              <w:t>Earnout liability</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1,240</w:t>
            </w:r>
          </w:p>
        </w:tc>
        <w:tc>
          <w:tcPr>
            <w:tcW w:w="75" w:type="dxa"/>
            <w:tcBorders/>
            <w:shd w:fill="CCEEFF" w:val="clear"/>
            <w:vAlign w:val="center"/>
          </w:tcPr>
          <w:p>
            <w:pPr>
              <w:pStyle w:val="TableContents"/>
              <w:bidi w:val="0"/>
              <w:spacing w:before="0" w:after="283"/>
              <w:jc w:val="left"/>
              <w:rPr/>
            </w:pPr>
            <w:r>
              <w:rPr/>
              <w:t> </w:t>
            </w:r>
            <w:bookmarkStart w:id="1841" w:name="xdx_40F_ecustom--FairValueAssetLiability"/>
            <w:bookmarkEnd w:id="1841"/>
          </w:p>
        </w:tc>
      </w:tr>
      <w:tr>
        <w:trPr/>
        <w:tc>
          <w:tcPr>
            <w:tcW w:w="2645" w:type="dxa"/>
            <w:tcBorders/>
            <w:shd w:fill="FFFFFF" w:val="clear"/>
            <w:vAlign w:val="center"/>
          </w:tcPr>
          <w:p>
            <w:pPr>
              <w:pStyle w:val="TableContents"/>
              <w:bidi w:val="0"/>
              <w:spacing w:before="0" w:after="283"/>
              <w:jc w:val="left"/>
              <w:rPr/>
            </w:pPr>
            <w:r>
              <w:rPr/>
              <w:t>Liability-classified warrants</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pPr>
            <w:r>
              <w:rPr/>
              <w:t>6,859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6,859</w:t>
            </w:r>
          </w:p>
        </w:tc>
        <w:tc>
          <w:tcPr>
            <w:tcW w:w="75" w:type="dxa"/>
            <w:tcBorders/>
            <w:shd w:fill="FFFFFF" w:val="clear"/>
            <w:vAlign w:val="center"/>
          </w:tcPr>
          <w:p>
            <w:pPr>
              <w:pStyle w:val="TableContents"/>
              <w:bidi w:val="0"/>
              <w:spacing w:before="0" w:after="283"/>
              <w:jc w:val="left"/>
              <w:rPr/>
            </w:pPr>
            <w:r>
              <w:rPr/>
              <w:t> </w:t>
            </w:r>
            <w:bookmarkStart w:id="1842" w:name="xdx_408_ecustom--FairValueAssetLiability"/>
            <w:bookmarkEnd w:id="1842"/>
          </w:p>
        </w:tc>
      </w:tr>
      <w:tr>
        <w:trPr/>
        <w:tc>
          <w:tcPr>
            <w:tcW w:w="264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jc w:val="right"/>
              <w:rPr/>
            </w:pPr>
            <w:r>
              <w:rPr/>
              <w:t>8,099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8,099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43" w:name="xdx_8A1_zWpcMYiHS0jb"/>
      <w:bookmarkEnd w:id="184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the earnout liability, the PIPE make-whole liability and the liability-classified warrants and the SAFEs as Level 3 financial instruments due to the judgment required to develop the assumptions used and the significance of those assumptions to the fair value measurement. No financial instruments were transferred between levels of the fair value hierarchy during the years ended September 30, 2025 or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44" w:name="xdx_89B_eus-gaap--FairValueLiabilitiesMe"/>
      <w:bookmarkEnd w:id="1844"/>
      <w:r>
        <w:rPr>
          <w:rFonts w:ascii="Times New Roman;Times;Serif" w:hAnsi="Times New Roman;Times;Serif"/>
          <w:b w:val="false"/>
          <w:i w:val="false"/>
          <w:caps w:val="false"/>
          <w:smallCaps w:val="false"/>
          <w:sz w:val="20"/>
        </w:rPr>
        <w:t>The following table provides a reconciliation of the balance of financial instruments measured at fair value on a recurring basis using Level 3 inputs:</w:t>
      </w:r>
    </w:p>
    <w:p>
      <w:pPr>
        <w:pStyle w:val="TextBody"/>
        <w:bidi w:val="0"/>
        <w:spacing w:before="0" w:after="0"/>
        <w:ind w:left="0" w:right="0" w:hanging="0"/>
        <w:jc w:val="left"/>
        <w:rPr>
          <w:caps w:val="false"/>
          <w:smallCaps w:val="false"/>
        </w:rPr>
      </w:pPr>
      <w:r>
        <w:rPr>
          <w:caps w:val="false"/>
          <w:smallCaps w:val="false"/>
        </w:rPr>
        <w:t> </w:t>
      </w:r>
      <w:bookmarkStart w:id="1845" w:name="xdx_8B7_zbeeAGwTkWN1"/>
      <w:bookmarkEnd w:id="1845"/>
      <w:r>
        <w:rPr>
          <w:rFonts w:ascii="Times New Roman;Times;Serif" w:hAnsi="Times New Roman;Times;Serif"/>
          <w:b w:val="false"/>
          <w:i w:val="false"/>
          <w:caps w:val="false"/>
          <w:smallCaps w:val="false"/>
          <w:sz w:val="20"/>
        </w:rPr>
        <w:t>Schedule of Fair Value Measured On Recurring Basis Unobservable Input Reconciliation</w:t>
      </w:r>
    </w:p>
    <w:tbl>
      <w:tblPr>
        <w:tblW w:w="10205" w:type="dxa"/>
        <w:jc w:val="left"/>
        <w:tblInd w:w="0" w:type="dxa"/>
        <w:tblLayout w:type="fixed"/>
        <w:tblCellMar>
          <w:top w:w="0" w:type="dxa"/>
          <w:left w:w="0" w:type="dxa"/>
          <w:bottom w:w="0" w:type="dxa"/>
          <w:right w:w="0" w:type="dxa"/>
        </w:tblCellMar>
      </w:tblPr>
      <w:tblGrid>
        <w:gridCol w:w="4729"/>
        <w:gridCol w:w="60"/>
        <w:gridCol w:w="140"/>
        <w:gridCol w:w="755"/>
        <w:gridCol w:w="95"/>
        <w:gridCol w:w="60"/>
        <w:gridCol w:w="329"/>
        <w:gridCol w:w="1500"/>
        <w:gridCol w:w="95"/>
        <w:gridCol w:w="60"/>
        <w:gridCol w:w="242"/>
        <w:gridCol w:w="1098"/>
        <w:gridCol w:w="95"/>
        <w:gridCol w:w="60"/>
        <w:gridCol w:w="140"/>
        <w:gridCol w:w="635"/>
        <w:gridCol w:w="112"/>
      </w:tblGrid>
      <w:tr>
        <w:trPr/>
        <w:tc>
          <w:tcPr>
            <w:tcW w:w="47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46" w:name="xdx_4BC_us-gaap--SubsidiarySaleOfStockAx"/>
            <w:bookmarkEnd w:id="1846"/>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Earnout</w:t>
              <w:br/>
              <w:t>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47" w:name="xdx_4B2_us-gaap--SubsidiarySaleOfStockAx"/>
            <w:bookmarkEnd w:id="1847"/>
          </w:p>
        </w:tc>
        <w:tc>
          <w:tcPr>
            <w:tcW w:w="18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Liability Classified</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48" w:name="xdx_4B1_us-gaap--SubsidiarySaleOfStockAx"/>
            <w:bookmarkEnd w:id="1848"/>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PIPE</w:t>
              <w:br/>
              <w:t>Make-Whole</w:t>
              <w:br/>
              <w:t>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49" w:name="xdx_4B6_us-gaap--SubsidiarySaleOfStockAx"/>
            <w:bookmarkEnd w:id="1849"/>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SAFEs</w:t>
            </w:r>
          </w:p>
        </w:tc>
        <w:tc>
          <w:tcPr>
            <w:tcW w:w="112" w:type="dxa"/>
            <w:tcBorders/>
            <w:vAlign w:val="center"/>
          </w:tcPr>
          <w:p>
            <w:pPr>
              <w:pStyle w:val="TableContents"/>
              <w:bidi w:val="0"/>
              <w:spacing w:before="0" w:after="283"/>
              <w:jc w:val="left"/>
              <w:rPr/>
            </w:pPr>
            <w:r>
              <w:rPr/>
              <w:t> </w:t>
            </w:r>
            <w:bookmarkStart w:id="1850" w:name="xdx_43E_c20231001__20240930_eus-gaap--Fa"/>
            <w:bookmarkEnd w:id="1850"/>
          </w:p>
        </w:tc>
      </w:tr>
      <w:tr>
        <w:trPr/>
        <w:tc>
          <w:tcPr>
            <w:tcW w:w="4729" w:type="dxa"/>
            <w:tcBorders/>
            <w:shd w:fill="CCEEFF" w:val="clear"/>
            <w:vAlign w:val="center"/>
          </w:tcPr>
          <w:p>
            <w:pPr>
              <w:pStyle w:val="TableContents"/>
              <w:bidi w:val="0"/>
              <w:spacing w:before="0" w:after="283"/>
              <w:jc w:val="left"/>
              <w:rPr/>
            </w:pPr>
            <w:r>
              <w:rPr/>
              <w:t>Balance, September 30,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w:t>
            </w:r>
          </w:p>
        </w:tc>
        <w:tc>
          <w:tcPr>
            <w:tcW w:w="15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0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1,512</w:t>
            </w:r>
          </w:p>
        </w:tc>
        <w:tc>
          <w:tcPr>
            <w:tcW w:w="112" w:type="dxa"/>
            <w:tcBorders/>
            <w:shd w:fill="CCEEFF" w:val="clear"/>
            <w:vAlign w:val="center"/>
          </w:tcPr>
          <w:p>
            <w:pPr>
              <w:pStyle w:val="TableContents"/>
              <w:bidi w:val="0"/>
              <w:spacing w:before="0" w:after="283"/>
              <w:jc w:val="left"/>
              <w:rPr/>
            </w:pPr>
            <w:r>
              <w:rPr/>
              <w:t> </w:t>
            </w:r>
            <w:bookmarkStart w:id="1851" w:name="xdx_405_ecustom--FairValueMeasurementWit"/>
            <w:bookmarkEnd w:id="1851"/>
          </w:p>
        </w:tc>
      </w:tr>
      <w:tr>
        <w:trPr/>
        <w:tc>
          <w:tcPr>
            <w:tcW w:w="4729" w:type="dxa"/>
            <w:tcBorders/>
            <w:shd w:fill="FFFFFF" w:val="clear"/>
            <w:vAlign w:val="center"/>
          </w:tcPr>
          <w:p>
            <w:pPr>
              <w:pStyle w:val="TableContents"/>
              <w:bidi w:val="0"/>
              <w:spacing w:before="0" w:after="283"/>
              <w:jc w:val="left"/>
              <w:rPr/>
            </w:pPr>
            <w:r>
              <w:rPr/>
              <w:t>Liabilities recognized in the Merger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33,559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2,071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852" w:name="xdx_403_eus-gaap--FairValueMeasurementWi"/>
            <w:bookmarkEnd w:id="1852"/>
          </w:p>
        </w:tc>
      </w:tr>
      <w:tr>
        <w:trPr/>
        <w:tc>
          <w:tcPr>
            <w:tcW w:w="4729" w:type="dxa"/>
            <w:tcBorders/>
            <w:shd w:fill="CCEEFF" w:val="clear"/>
            <w:vAlign w:val="center"/>
          </w:tcPr>
          <w:p>
            <w:pPr>
              <w:pStyle w:val="TableContents"/>
              <w:bidi w:val="0"/>
              <w:spacing w:before="0" w:after="283"/>
              <w:jc w:val="left"/>
              <w:rPr/>
            </w:pPr>
            <w:r>
              <w:rPr/>
              <w:t>Sale of warrants in the July 2024 Private Placement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6,397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853" w:name="xdx_408_ecustom--OtherWarrantsIssued_pn3"/>
            <w:bookmarkEnd w:id="1853"/>
          </w:p>
        </w:tc>
      </w:tr>
      <w:tr>
        <w:trPr/>
        <w:tc>
          <w:tcPr>
            <w:tcW w:w="4729" w:type="dxa"/>
            <w:tcBorders/>
            <w:shd w:fill="FFFFFF" w:val="clear"/>
            <w:vAlign w:val="center"/>
          </w:tcPr>
          <w:p>
            <w:pPr>
              <w:pStyle w:val="TableContents"/>
              <w:bidi w:val="0"/>
              <w:spacing w:before="0" w:after="283"/>
              <w:jc w:val="left"/>
              <w:rPr/>
            </w:pPr>
            <w:r>
              <w:rPr/>
              <w:t>Other warrants issued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732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854" w:name="xdx_40F_ecustom--ConversionOfSafesToComm"/>
            <w:bookmarkEnd w:id="1854"/>
          </w:p>
        </w:tc>
      </w:tr>
      <w:tr>
        <w:trPr/>
        <w:tc>
          <w:tcPr>
            <w:tcW w:w="4729" w:type="dxa"/>
            <w:tcBorders/>
            <w:shd w:fill="CCEEFF" w:val="clear"/>
            <w:vAlign w:val="center"/>
          </w:tcPr>
          <w:p>
            <w:pPr>
              <w:pStyle w:val="TableContents"/>
              <w:bidi w:val="0"/>
              <w:spacing w:before="0" w:after="283"/>
              <w:jc w:val="left"/>
              <w:rPr/>
            </w:pPr>
            <w:r>
              <w:rPr/>
              <w:t>Conversion to Class A Common Stock in the Merger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(1,522</w:t>
            </w:r>
          </w:p>
        </w:tc>
        <w:tc>
          <w:tcPr>
            <w:tcW w:w="112" w:type="dxa"/>
            <w:tcBorders/>
            <w:shd w:fill="CCEEFF" w:val="clear"/>
            <w:vAlign w:val="center"/>
          </w:tcPr>
          <w:p>
            <w:pPr>
              <w:pStyle w:val="TableContents"/>
              <w:bidi w:val="0"/>
              <w:spacing w:before="0" w:after="283"/>
              <w:jc w:val="left"/>
              <w:rPr/>
            </w:pPr>
            <w:r>
              <w:rPr/>
              <w:t>)</w:t>
            </w:r>
            <w:bookmarkStart w:id="1855" w:name="xdx_408_ecustom--FairValueMeasurementWit"/>
            <w:bookmarkEnd w:id="1855"/>
          </w:p>
        </w:tc>
      </w:tr>
      <w:tr>
        <w:trPr/>
        <w:tc>
          <w:tcPr>
            <w:tcW w:w="4729" w:type="dxa"/>
            <w:tcBorders/>
            <w:shd w:fill="FFFFFF" w:val="clear"/>
            <w:vAlign w:val="center"/>
          </w:tcPr>
          <w:p>
            <w:pPr>
              <w:pStyle w:val="TableContents"/>
              <w:bidi w:val="0"/>
              <w:spacing w:before="0" w:after="283"/>
              <w:jc w:val="left"/>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(3,393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rFonts w:ascii="Times New Roman;Times;Serif" w:hAnsi="Times New Roman;Times;Serif"/>
              </w:rPr>
              <w:t>-</w:t>
            </w:r>
            <w:r>
              <w:rPr/>
              <w:t> </w:t>
            </w:r>
          </w:p>
        </w:tc>
        <w:tc>
          <w:tcPr>
            <w:tcW w:w="112" w:type="dxa"/>
            <w:tcBorders/>
            <w:shd w:fill="FFFFFF" w:val="clear"/>
            <w:vAlign w:val="center"/>
          </w:tcPr>
          <w:p>
            <w:pPr>
              <w:pStyle w:val="TableContents"/>
              <w:bidi w:val="0"/>
              <w:spacing w:before="0" w:after="283"/>
              <w:jc w:val="left"/>
              <w:rPr/>
            </w:pPr>
            <w:r>
              <w:rPr/>
              <w:t> </w:t>
            </w:r>
            <w:bookmarkStart w:id="1856" w:name="xdx_403_eus-gaap--FairValueMeasurementWi"/>
            <w:bookmarkEnd w:id="1856"/>
          </w:p>
        </w:tc>
      </w:tr>
      <w:tr>
        <w:trPr/>
        <w:tc>
          <w:tcPr>
            <w:tcW w:w="4729" w:type="dxa"/>
            <w:tcBorders/>
            <w:shd w:fill="CCEEFF" w:val="clear"/>
            <w:vAlign w:val="center"/>
          </w:tcPr>
          <w:p>
            <w:pPr>
              <w:pStyle w:val="TableContents"/>
              <w:bidi w:val="0"/>
              <w:spacing w:before="0" w:after="283"/>
              <w:jc w:val="left"/>
              <w:rPr/>
            </w:pPr>
            <w:r>
              <w:rPr/>
              <w:t>Settlement of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(332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857" w:name="xdx_401_eus-gaap--IncomeLossAttributable"/>
            <w:bookmarkEnd w:id="1857"/>
          </w:p>
        </w:tc>
      </w:tr>
      <w:tr>
        <w:trPr/>
        <w:tc>
          <w:tcPr>
            <w:tcW w:w="4729" w:type="dxa"/>
            <w:tcBorders/>
            <w:shd w:fill="FFFFFF" w:val="clear"/>
            <w:vAlign w:val="center"/>
          </w:tcPr>
          <w:p>
            <w:pPr>
              <w:pStyle w:val="TableContents"/>
              <w:bidi w:val="0"/>
              <w:spacing w:before="0" w:after="283"/>
              <w:jc w:val="left"/>
              <w:rPr/>
            </w:pPr>
            <w:r>
              <w:rPr/>
              <w:t>Change in fair value included in 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(31,879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0" w:type="dxa"/>
            <w:tcBorders>
              <w:bottom w:val="single" w:sz="8" w:space="0" w:color="000000"/>
            </w:tcBorders>
            <w:shd w:fill="FFFFFF" w:val="clear"/>
            <w:tcMar>
              <w:bottom w:w="28" w:type="dxa"/>
            </w:tcMar>
            <w:vAlign w:val="center"/>
          </w:tcPr>
          <w:p>
            <w:pPr>
              <w:pStyle w:val="TableContents"/>
              <w:bidi w:val="0"/>
              <w:spacing w:before="0" w:after="283"/>
              <w:jc w:val="right"/>
              <w:rPr/>
            </w:pPr>
            <w:r>
              <w:rPr/>
              <w:t>(1,415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(830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112" w:type="dxa"/>
            <w:tcBorders/>
            <w:shd w:fill="FFFFFF" w:val="clear"/>
            <w:vAlign w:val="center"/>
          </w:tcPr>
          <w:p>
            <w:pPr>
              <w:pStyle w:val="TableContents"/>
              <w:bidi w:val="0"/>
              <w:spacing w:before="0" w:after="283"/>
              <w:jc w:val="left"/>
              <w:rPr/>
            </w:pPr>
            <w:r>
              <w:rPr/>
              <w:t> </w:t>
            </w:r>
            <w:bookmarkStart w:id="1858" w:name="xdx_436_c20241001__20250930_eus-gaap--Fa"/>
            <w:bookmarkEnd w:id="1858"/>
          </w:p>
        </w:tc>
      </w:tr>
      <w:tr>
        <w:trPr/>
        <w:tc>
          <w:tcPr>
            <w:tcW w:w="4729" w:type="dxa"/>
            <w:tcBorders/>
            <w:shd w:fill="CCEEFF" w:val="clear"/>
            <w:vAlign w:val="center"/>
          </w:tcPr>
          <w:p>
            <w:pPr>
              <w:pStyle w:val="TableContents"/>
              <w:bidi w:val="0"/>
              <w:spacing w:before="0" w:after="283"/>
              <w:jc w:val="left"/>
              <w:rPr/>
            </w:pPr>
            <w:r>
              <w:rPr/>
              <w:t>Balance, September 30, 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0" w:type="dxa"/>
            <w:tcBorders>
              <w:bottom w:val="double" w:sz="6" w:space="0" w:color="000000"/>
            </w:tcBorders>
            <w:shd w:fill="CCEEFF" w:val="clear"/>
            <w:tcMar>
              <w:bottom w:w="28" w:type="dxa"/>
            </w:tcMar>
            <w:vAlign w:val="center"/>
          </w:tcPr>
          <w:p>
            <w:pPr>
              <w:pStyle w:val="TableContents"/>
              <w:bidi w:val="0"/>
              <w:spacing w:before="0" w:after="283"/>
              <w:jc w:val="right"/>
              <w:rPr/>
            </w:pPr>
            <w:r>
              <w:rPr/>
              <w:t>2,139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859" w:name="xdx_408_eus-gaap--FairValueMeasurementWi"/>
            <w:bookmarkEnd w:id="1859"/>
          </w:p>
        </w:tc>
      </w:tr>
      <w:tr>
        <w:trPr/>
        <w:tc>
          <w:tcPr>
            <w:tcW w:w="4729" w:type="dxa"/>
            <w:tcBorders/>
            <w:shd w:fill="FFFFFF" w:val="clear"/>
            <w:vAlign w:val="center"/>
          </w:tcPr>
          <w:p>
            <w:pPr>
              <w:pStyle w:val="TableContents"/>
              <w:bidi w:val="0"/>
              <w:spacing w:before="0" w:after="283"/>
              <w:jc w:val="left"/>
              <w:rPr/>
            </w:pPr>
            <w:r>
              <w:rPr/>
              <w:t>Sale of warrants in the April 2025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2,853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bookmarkStart w:id="1860" w:name="xdx_402_eus-gaap--ProceedsFromIssuanceOf"/>
            <w:bookmarkEnd w:id="1860"/>
          </w:p>
        </w:tc>
      </w:tr>
      <w:tr>
        <w:trPr/>
        <w:tc>
          <w:tcPr>
            <w:tcW w:w="4729" w:type="dxa"/>
            <w:tcBorders/>
            <w:shd w:fill="CCEEFF" w:val="clear"/>
            <w:vAlign w:val="center"/>
          </w:tcPr>
          <w:p>
            <w:pPr>
              <w:pStyle w:val="TableContents"/>
              <w:bidi w:val="0"/>
              <w:spacing w:before="0" w:after="283"/>
              <w:jc w:val="left"/>
              <w:rPr/>
            </w:pPr>
            <w:r>
              <w:rPr/>
              <w:t>Issuance of inducement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5,699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bookmarkStart w:id="1861" w:name="xdx_401_ecustom--FairValueMeasurementWit"/>
            <w:bookmarkEnd w:id="1861"/>
          </w:p>
        </w:tc>
      </w:tr>
      <w:tr>
        <w:trPr/>
        <w:tc>
          <w:tcPr>
            <w:tcW w:w="4729" w:type="dxa"/>
            <w:tcBorders/>
            <w:shd w:fill="FFFFFF" w:val="clear"/>
            <w:vAlign w:val="center"/>
          </w:tcPr>
          <w:p>
            <w:pPr>
              <w:pStyle w:val="TableContents"/>
              <w:bidi w:val="0"/>
              <w:spacing w:before="0" w:after="283"/>
              <w:jc w:val="left"/>
              <w:rPr/>
            </w:pPr>
            <w:r>
              <w:rPr/>
              <w:t>Modification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1,214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bookmarkStart w:id="1862" w:name="xdx_408_ecustom--FairValueMeasurementWit"/>
            <w:bookmarkEnd w:id="1862"/>
          </w:p>
        </w:tc>
      </w:tr>
      <w:tr>
        <w:trPr/>
        <w:tc>
          <w:tcPr>
            <w:tcW w:w="4729" w:type="dxa"/>
            <w:tcBorders/>
            <w:shd w:fill="CCEEFF" w:val="clear"/>
            <w:vAlign w:val="center"/>
          </w:tcPr>
          <w:p>
            <w:pPr>
              <w:pStyle w:val="TableContents"/>
              <w:bidi w:val="0"/>
              <w:spacing w:before="0" w:after="283"/>
              <w:jc w:val="left"/>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(4,242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bookmarkStart w:id="1863" w:name="xdx_40A_eus-gaap--IncomeLossAttributable"/>
            <w:bookmarkEnd w:id="1863"/>
          </w:p>
        </w:tc>
      </w:tr>
      <w:tr>
        <w:trPr/>
        <w:tc>
          <w:tcPr>
            <w:tcW w:w="4729" w:type="dxa"/>
            <w:tcBorders/>
            <w:shd w:fill="FFFFFF" w:val="clear"/>
            <w:vAlign w:val="center"/>
          </w:tcPr>
          <w:p>
            <w:pPr>
              <w:pStyle w:val="TableContents"/>
              <w:bidi w:val="0"/>
              <w:spacing w:before="0" w:after="283"/>
              <w:jc w:val="left"/>
              <w:rPr/>
            </w:pPr>
            <w:r>
              <w:rPr/>
              <w:t>Change in fair value included in 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0" w:type="dxa"/>
            <w:tcBorders>
              <w:bottom w:val="single" w:sz="8" w:space="0" w:color="000000"/>
            </w:tcBorders>
            <w:shd w:fill="FFFFFF" w:val="clear"/>
            <w:tcMar>
              <w:bottom w:w="28" w:type="dxa"/>
            </w:tcM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bookmarkStart w:id="1864" w:name="xdx_43D_c20241001__20250930_eus-gaap--Fa"/>
            <w:bookmarkEnd w:id="1864"/>
          </w:p>
        </w:tc>
      </w:tr>
      <w:tr>
        <w:trPr/>
        <w:tc>
          <w:tcPr>
            <w:tcW w:w="4729" w:type="dxa"/>
            <w:tcBorders/>
            <w:shd w:fill="CCEEFF" w:val="clear"/>
            <w:vAlign w:val="center"/>
          </w:tcPr>
          <w:p>
            <w:pPr>
              <w:pStyle w:val="TableContents"/>
              <w:bidi w:val="0"/>
              <w:spacing w:before="0" w:after="283"/>
              <w:jc w:val="left"/>
              <w:rPr/>
            </w:pPr>
            <w:r>
              <w:rPr/>
              <w:t>Balance, September 30,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0" w:type="dxa"/>
            <w:tcBorders>
              <w:bottom w:val="double" w:sz="6" w:space="0" w:color="000000"/>
            </w:tcBorders>
            <w:shd w:fill="CCEEFF" w:val="clear"/>
            <w:tcMar>
              <w:bottom w:w="28" w:type="dxa"/>
            </w:tcMar>
            <w:vAlign w:val="center"/>
          </w:tcPr>
          <w:p>
            <w:pPr>
              <w:pStyle w:val="TableContents"/>
              <w:bidi w:val="0"/>
              <w:spacing w:before="0" w:after="283"/>
              <w:jc w:val="right"/>
              <w:rPr/>
            </w:pPr>
            <w:r>
              <w:rPr/>
              <w:t>6,859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65" w:name="xdx_8A3_zhLIQowNdHu"/>
      <w:bookmarkEnd w:id="1865"/>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estimates the fair value of liability classified warrants, other than the Private Warrants, using the Black-Scholes option pricing model, as described above under Note 2 — </w:t>
      </w:r>
      <w:r>
        <w:rPr>
          <w:rFonts w:ascii="Times New Roman;Times;Serif" w:hAnsi="Times New Roman;Times;Serif"/>
          <w:b w:val="false"/>
          <w:i/>
          <w:caps w:val="false"/>
          <w:smallCaps w:val="false"/>
          <w:sz w:val="20"/>
        </w:rPr>
        <w:t>Summary of Significant Accounting Policies—Stock-Based Compensation.</w:t>
      </w:r>
      <w:r>
        <w:rPr>
          <w:rFonts w:ascii="Times New Roman;Times;Serif" w:hAnsi="Times New Roman;Times;Serif"/>
          <w:b w:val="false"/>
          <w:i w:val="false"/>
          <w:caps w:val="false"/>
          <w:smallCaps w:val="false"/>
          <w:sz w:val="20"/>
        </w:rPr>
        <w:t xml:space="preserve"> The following table summarizes the assumptions used in estimating the fair value of liability-classified warrants at the respective dates:</w:t>
      </w:r>
    </w:p>
    <w:p>
      <w:pPr>
        <w:pStyle w:val="TextBody"/>
        <w:bidi w:val="0"/>
        <w:spacing w:before="0" w:after="0"/>
        <w:ind w:left="0" w:right="0" w:hanging="0"/>
        <w:jc w:val="left"/>
        <w:rPr>
          <w:caps w:val="false"/>
          <w:smallCaps w:val="false"/>
        </w:rPr>
      </w:pPr>
      <w:bookmarkStart w:id="1866" w:name="xdx_89E_eus-gaap--FairValueConcentration"/>
      <w:bookmarkEnd w:id="1866"/>
      <w:r>
        <w:rPr>
          <w:caps w:val="false"/>
          <w:smallCaps w:val="false"/>
        </w:rPr>
        <w:t> </w:t>
      </w:r>
      <w:bookmarkStart w:id="1867" w:name="xdx_8B5_zqtKH6dJQaNf"/>
      <w:bookmarkEnd w:id="1867"/>
      <w:r>
        <w:rPr>
          <w:rFonts w:ascii="Times New Roman;Times;Serif" w:hAnsi="Times New Roman;Times;Serif"/>
          <w:b w:val="false"/>
          <w:i w:val="false"/>
          <w:caps w:val="false"/>
          <w:smallCaps w:val="false"/>
          <w:sz w:val="20"/>
        </w:rPr>
        <w:t>Schedule of Fair Value of Liability-Classified Warrants</w:t>
      </w:r>
    </w:p>
    <w:tbl>
      <w:tblPr>
        <w:tblW w:w="4745" w:type="dxa"/>
        <w:jc w:val="left"/>
        <w:tblInd w:w="0" w:type="dxa"/>
        <w:tblLayout w:type="fixed"/>
        <w:tblCellMar>
          <w:top w:w="0" w:type="dxa"/>
          <w:left w:w="0" w:type="dxa"/>
          <w:bottom w:w="0" w:type="dxa"/>
          <w:right w:w="0" w:type="dxa"/>
        </w:tblCellMar>
      </w:tblPr>
      <w:tblGrid>
        <w:gridCol w:w="1610"/>
        <w:gridCol w:w="60"/>
        <w:gridCol w:w="125"/>
        <w:gridCol w:w="1190"/>
        <w:gridCol w:w="185"/>
        <w:gridCol w:w="60"/>
        <w:gridCol w:w="125"/>
        <w:gridCol w:w="1190"/>
        <w:gridCol w:w="200"/>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20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price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68" w:name="xdx_981_eus-gaap--SharePrice_iI_pid_c202"/>
            <w:bookmarkEnd w:id="1868"/>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69" w:name="xdx_987_eus-gaap--SharePrice_iI_pid_c202"/>
            <w:bookmarkEnd w:id="1869"/>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10.60</w:t>
            </w:r>
          </w:p>
        </w:tc>
        <w:tc>
          <w:tcPr>
            <w:tcW w:w="200"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bookmarkStart w:id="1870" w:name="xdx_90E_eus-gaap--ShareBasedCompensation"/>
            <w:bookmarkEnd w:id="1870"/>
            <w:r>
              <w:rPr>
                <w:rFonts w:ascii="Times New Roman;Times;Serif" w:hAnsi="Times New Roman;Times;Serif"/>
                <w:sz w:val="20"/>
              </w:rPr>
              <w:t>79.0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bookmarkStart w:id="1871" w:name="xdx_90E_eus-gaap--ShareBasedCompensation"/>
            <w:bookmarkEnd w:id="1871"/>
            <w:r>
              <w:rPr>
                <w:rFonts w:ascii="Times New Roman;Times;Serif" w:hAnsi="Times New Roman;Times;Serif"/>
                <w:sz w:val="20"/>
              </w:rPr>
              <w:t>55.7</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bookmarkStart w:id="1872" w:name="xdx_906_eus-gaap--ShareBasedCompensation"/>
            <w:bookmarkEnd w:id="1872"/>
            <w:r>
              <w:rPr>
                <w:rFonts w:ascii="Times New Roman;Times;Serif" w:hAnsi="Times New Roman;Times;Serif"/>
                <w:sz w:val="20"/>
              </w:rPr>
              <w:t>3.7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bookmarkStart w:id="1873" w:name="xdx_90D_eus-gaap--ShareBasedCompensation"/>
            <w:bookmarkEnd w:id="1873"/>
            <w:r>
              <w:rPr>
                <w:rFonts w:ascii="Times New Roman;Times;Serif" w:hAnsi="Times New Roman;Times;Serif"/>
                <w:sz w:val="20"/>
              </w:rPr>
              <w:t xml:space="preserve">3.5 – </w:t>
            </w:r>
            <w:bookmarkStart w:id="1874" w:name="xdx_90E_eus-gaap--ShareBasedCompensation"/>
            <w:bookmarkEnd w:id="1874"/>
            <w:r>
              <w:rPr>
                <w:rFonts w:ascii="Times New Roman;Times;Serif" w:hAnsi="Times New Roman;Times;Serif"/>
                <w:sz w:val="20"/>
              </w:rPr>
              <w:t>3.9</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Contractual term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bookmarkStart w:id="1875" w:name="xdx_90D_eus-gaap--SharebasedCompensation"/>
            <w:bookmarkEnd w:id="1875"/>
            <w:r>
              <w:rPr>
                <w:rFonts w:ascii="Times New Roman;Times;Serif" w:hAnsi="Times New Roman;Times;Serif"/>
                <w:sz w:val="20"/>
              </w:rPr>
              <w:t xml:space="preserve">4.3 – </w:t>
            </w:r>
            <w:bookmarkStart w:id="1876" w:name="xdx_903_eus-gaap--SharebasedCompensation"/>
            <w:bookmarkEnd w:id="1876"/>
            <w:r>
              <w:rPr>
                <w:rFonts w:ascii="Times New Roman;Times;Serif" w:hAnsi="Times New Roman;Times;Serif"/>
                <w:sz w:val="20"/>
              </w:rPr>
              <w:t>4.9 years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bookmarkStart w:id="1877" w:name="xdx_906_eus-gaap--SharebasedCompensation"/>
            <w:bookmarkEnd w:id="1877"/>
            <w:r>
              <w:rPr>
                <w:rFonts w:ascii="Times New Roman;Times;Serif" w:hAnsi="Times New Roman;Times;Serif"/>
                <w:sz w:val="20"/>
              </w:rPr>
              <w:t xml:space="preserve">1.1 – </w:t>
            </w:r>
            <w:bookmarkStart w:id="1878" w:name="xdx_90C_eus-gaap--SharebasedCompensation"/>
            <w:bookmarkEnd w:id="1878"/>
            <w:r>
              <w:rPr>
                <w:rFonts w:ascii="Times New Roman;Times;Serif" w:hAnsi="Times New Roman;Times;Serif"/>
                <w:sz w:val="20"/>
              </w:rPr>
              <w:t>5.1 years</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79" w:name="xdx_8A2_zywcKF80TOui"/>
      <w:bookmarkEnd w:id="187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Private Warrants based on quoted market prices for the Public Warrants, which have substantially the same economic characteristics.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earnout liability using a Monte Carlo simulation model that utilizes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30" w:type="dxa"/>
        <w:jc w:val="left"/>
        <w:tblInd w:w="0" w:type="dxa"/>
        <w:tblLayout w:type="fixed"/>
        <w:tblCellMar>
          <w:top w:w="0" w:type="dxa"/>
          <w:left w:w="0" w:type="dxa"/>
          <w:bottom w:w="0" w:type="dxa"/>
          <w:right w:w="0" w:type="dxa"/>
        </w:tblCellMar>
      </w:tblPr>
      <w:tblGrid>
        <w:gridCol w:w="1805"/>
        <w:gridCol w:w="60"/>
        <w:gridCol w:w="140"/>
        <w:gridCol w:w="740"/>
        <w:gridCol w:w="215"/>
        <w:gridCol w:w="60"/>
        <w:gridCol w:w="140"/>
        <w:gridCol w:w="74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880" w:name="xdx_984_eus-gaap--SharePrice_iI_pid_c202"/>
            <w:bookmarkEnd w:id="1880"/>
          </w:p>
        </w:tc>
        <w:tc>
          <w:tcPr>
            <w:tcW w:w="740" w:type="dxa"/>
            <w:tcBorders/>
            <w:shd w:fill="CCEEFF" w:val="clear"/>
            <w:vAlign w:val="center"/>
          </w:tcPr>
          <w:p>
            <w:pPr>
              <w:pStyle w:val="TableContents"/>
              <w:bidi w:val="0"/>
              <w:spacing w:before="0" w:after="283"/>
              <w:jc w:val="right"/>
              <w:rPr/>
            </w:pPr>
            <w:r>
              <w:rPr/>
              <w:t>8.06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881" w:name="xdx_982_eus-gaap--SharePrice_iI_pid_c202"/>
            <w:bookmarkEnd w:id="1881"/>
          </w:p>
        </w:tc>
        <w:tc>
          <w:tcPr>
            <w:tcW w:w="740" w:type="dxa"/>
            <w:tcBorders/>
            <w:shd w:fill="CCEEFF" w:val="clear"/>
            <w:vAlign w:val="center"/>
          </w:tcPr>
          <w:p>
            <w:pPr>
              <w:pStyle w:val="TableContents"/>
              <w:bidi w:val="0"/>
              <w:spacing w:before="0" w:after="283"/>
              <w:jc w:val="right"/>
              <w:rPr/>
            </w:pPr>
            <w:r>
              <w:rPr/>
              <w:t>10.60</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bookmarkStart w:id="1882" w:name="xdx_90F_eus-gaap--ShareBasedCompensation"/>
            <w:bookmarkEnd w:id="1882"/>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bookmarkStart w:id="1883" w:name="xdx_904_eus-gaap--ShareBasedCompensation"/>
            <w:bookmarkEnd w:id="1883"/>
            <w:r>
              <w:rPr/>
              <w:t>70</w:t>
            </w:r>
          </w:p>
        </w:tc>
        <w:tc>
          <w:tcPr>
            <w:tcW w:w="23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bookmarkStart w:id="1884" w:name="xdx_909_eus-gaap--ShareBasedCompensation"/>
            <w:bookmarkEnd w:id="1884"/>
            <w:r>
              <w:rPr/>
              <w:t>3.8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bookmarkStart w:id="1885" w:name="xdx_90A_eus-gaap--ShareBasedCompensation"/>
            <w:bookmarkEnd w:id="1885"/>
            <w:r>
              <w:rPr/>
              <w:t>3.6</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bookmarkStart w:id="1886" w:name="xdx_90A_eus-gaap--SharebasedCompensation"/>
            <w:bookmarkEnd w:id="1886"/>
            <w:r>
              <w:rPr>
                <w:rFonts w:ascii="Times New Roman;Times;Serif" w:hAnsi="Times New Roman;Times;Serif"/>
                <w:sz w:val="20"/>
              </w:rPr>
              <w:t>6.2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bookmarkStart w:id="1887" w:name="xdx_907_eus-gaap--SharebasedCompensation"/>
            <w:bookmarkEnd w:id="1887"/>
            <w:r>
              <w:rPr>
                <w:rFonts w:ascii="Times New Roman;Times;Serif" w:hAnsi="Times New Roman;Times;Serif"/>
                <w:sz w:val="20"/>
              </w:rPr>
              <w:t>7.2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88" w:name="xdx_805_eus-gaap--EarningsPerShareTextBl"/>
      <w:bookmarkEnd w:id="1888"/>
      <w:r>
        <w:rPr>
          <w:rFonts w:ascii="Times New Roman;Times;Serif" w:hAnsi="Times New Roman;Times;Serif"/>
          <w:b/>
          <w:i w:val="false"/>
          <w:caps w:val="false"/>
          <w:smallCaps w:val="false"/>
          <w:sz w:val="20"/>
        </w:rPr>
        <w:t xml:space="preserve">Note 18 — </w:t>
      </w:r>
      <w:bookmarkStart w:id="1889" w:name="xdx_826_zsRkO5IgwtCa"/>
      <w:bookmarkEnd w:id="1889"/>
      <w:r>
        <w:rPr>
          <w:rFonts w:ascii="Times New Roman;Times;Serif" w:hAnsi="Times New Roman;Times;Serif"/>
          <w:b/>
          <w:i w:val="false"/>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warrants, RSAs, RSUs and other contingently issuable shares. The dilutive effect of outstanding stock options, warrants, RSAs, RSUs and other contingently issuable shares is reflected in diluted earnings per share by application of the more dilutive of (a) the two-class method or (b) the if-converted method and treasury stock method, as applicable. The computation of the diluted net loss per share of Class A Common Stock assumes the conversion of Class B Common Stock, while the diluted net loss per share of Class B Common Stock does not assume the conversion of those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where the Company has a net loss, most potentially dilutive securities are not included in the computation as their impact is anti-dilutive; those potentially dilutive securities whose impact is dilutive are included in the computation. In periods where their effect is dilutive, the PIPE make-whole liability and the liability-classified warrants are included in the computation of diluted loss per share as if the underlying shares had been issued as of the later of the beginning of the fiscal period or the date of issuance of those securities. Inclusion of those securities increases both the net loss for the period and the number of shares used in the per share computation and is dilutive to the Company’s net loss per share.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bookmarkStart w:id="1890" w:name="xdx_89A_eus-gaap--ScheduleOfEarningsPerS"/>
      <w:bookmarkEnd w:id="1890"/>
      <w:r>
        <w:rPr>
          <w:caps w:val="false"/>
          <w:smallCaps w:val="false"/>
        </w:rPr>
        <w:t> </w:t>
      </w:r>
      <w:bookmarkStart w:id="1891" w:name="xdx_8BC_zA1GpfwObIHl"/>
      <w:bookmarkEnd w:id="1891"/>
      <w:r>
        <w:rPr>
          <w:rFonts w:ascii="Times New Roman;Times;Serif" w:hAnsi="Times New Roman;Times;Serif"/>
          <w:b w:val="false"/>
          <w:i w:val="false"/>
          <w:caps w:val="false"/>
          <w:smallCaps w:val="false"/>
          <w:sz w:val="20"/>
        </w:rPr>
        <w:t>Schedule of Earnings Per Share Basic and Diluted</w:t>
      </w:r>
    </w:p>
    <w:tbl>
      <w:tblPr>
        <w:tblW w:w="10205" w:type="dxa"/>
        <w:jc w:val="left"/>
        <w:tblInd w:w="0" w:type="dxa"/>
        <w:tblLayout w:type="fixed"/>
        <w:tblCellMar>
          <w:top w:w="0" w:type="dxa"/>
          <w:left w:w="0" w:type="dxa"/>
          <w:bottom w:w="0" w:type="dxa"/>
          <w:right w:w="0" w:type="dxa"/>
        </w:tblCellMar>
      </w:tblPr>
      <w:tblGrid>
        <w:gridCol w:w="5450"/>
        <w:gridCol w:w="60"/>
        <w:gridCol w:w="140"/>
        <w:gridCol w:w="980"/>
        <w:gridCol w:w="95"/>
        <w:gridCol w:w="60"/>
        <w:gridCol w:w="140"/>
        <w:gridCol w:w="800"/>
        <w:gridCol w:w="95"/>
        <w:gridCol w:w="60"/>
        <w:gridCol w:w="140"/>
        <w:gridCol w:w="980"/>
        <w:gridCol w:w="95"/>
        <w:gridCol w:w="60"/>
        <w:gridCol w:w="140"/>
        <w:gridCol w:w="800"/>
        <w:gridCol w:w="110"/>
      </w:tblGrid>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92" w:name="xdx_49B_20241001__20250930__us-gaap--Sta"/>
            <w:bookmarkEnd w:id="1892"/>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93" w:name="xdx_49C_20241001__20250930__us-gaap--Sta"/>
            <w:bookmarkEnd w:id="1893"/>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94" w:name="xdx_492_20231001__20240930__us-gaap--Sta"/>
            <w:bookmarkEnd w:id="1894"/>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95" w:name="xdx_49B_20231001__20240930__us-gaap--Sta"/>
            <w:bookmarkEnd w:id="1895"/>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110" w:type="dxa"/>
            <w:tcBorders/>
            <w:vAlign w:val="center"/>
          </w:tcPr>
          <w:p>
            <w:pPr>
              <w:pStyle w:val="TableContents"/>
              <w:bidi w:val="0"/>
              <w:spacing w:before="0" w:after="283"/>
              <w:jc w:val="center"/>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 September 30,</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110" w:type="dxa"/>
            <w:tcBorders/>
            <w:vAlign w:val="center"/>
          </w:tcPr>
          <w:p>
            <w:pPr>
              <w:pStyle w:val="TableContents"/>
              <w:bidi w:val="0"/>
              <w:spacing w:before="0" w:after="283"/>
              <w:jc w:val="center"/>
              <w:rPr/>
            </w:pPr>
            <w:r>
              <w:rPr/>
              <w:t> </w:t>
            </w:r>
          </w:p>
        </w:tc>
      </w:tr>
      <w:tr>
        <w:trPr/>
        <w:tc>
          <w:tcPr>
            <w:tcW w:w="5450" w:type="dxa"/>
            <w:tcBorders/>
            <w:shd w:fill="CCEEFF" w:val="clear"/>
            <w:vAlign w:val="center"/>
          </w:tcPr>
          <w:p>
            <w:pPr>
              <w:pStyle w:val="TableContents"/>
              <w:bidi w:val="0"/>
              <w:spacing w:before="0" w:after="283"/>
              <w:jc w:val="left"/>
              <w:rPr/>
            </w:pPr>
            <w:r>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96" w:name="xdx_40F_eus-gaap--NetIncomeLoss_pn3n3_zR"/>
            <w:bookmarkEnd w:id="1896"/>
          </w:p>
        </w:tc>
      </w:tr>
      <w:tr>
        <w:trPr/>
        <w:tc>
          <w:tcPr>
            <w:tcW w:w="5450" w:type="dxa"/>
            <w:tcBorders/>
            <w:shd w:fill="CCEEFF" w:val="clear"/>
            <w:vAlign w:val="center"/>
          </w:tcPr>
          <w:p>
            <w:pPr>
              <w:pStyle w:val="TableContents"/>
              <w:bidi w:val="0"/>
              <w:spacing w:before="0" w:after="283"/>
              <w:jc w:val="left"/>
              <w:rPr/>
            </w:pPr>
            <w:r>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(44,072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(18,452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(1,582</w:t>
            </w:r>
          </w:p>
        </w:tc>
        <w:tc>
          <w:tcPr>
            <w:tcW w:w="110" w:type="dxa"/>
            <w:tcBorders/>
            <w:shd w:fill="CCEEFF" w:val="clear"/>
            <w:vAlign w:val="center"/>
          </w:tcPr>
          <w:p>
            <w:pPr>
              <w:pStyle w:val="TableContents"/>
              <w:bidi w:val="0"/>
              <w:spacing w:before="0" w:after="283"/>
              <w:jc w:val="left"/>
              <w:rPr/>
            </w:pPr>
            <w:r>
              <w:rPr/>
              <w:t>)</w:t>
            </w:r>
            <w:bookmarkStart w:id="1897" w:name="xdx_40A_ecustom--DeemedDividendFromWarra"/>
            <w:bookmarkEnd w:id="1897"/>
          </w:p>
        </w:tc>
      </w:tr>
      <w:tr>
        <w:trPr/>
        <w:tc>
          <w:tcPr>
            <w:tcW w:w="5450" w:type="dxa"/>
            <w:tcBorders/>
            <w:shd w:fill="FFFFFF" w:val="clear"/>
            <w:vAlign w:val="center"/>
          </w:tcPr>
          <w:p>
            <w:pPr>
              <w:pStyle w:val="TableContents"/>
              <w:bidi w:val="0"/>
              <w:spacing w:before="0" w:after="283"/>
              <w:jc w:val="left"/>
              <w:rPr/>
            </w:pPr>
            <w:r>
              <w:rPr/>
              <w:t>Deemed dividend from warrant price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110" w:type="dxa"/>
            <w:tcBorders/>
            <w:shd w:fill="FFFFFF" w:val="clear"/>
            <w:vAlign w:val="center"/>
          </w:tcPr>
          <w:p>
            <w:pPr>
              <w:pStyle w:val="TableContents"/>
              <w:bidi w:val="0"/>
              <w:spacing w:before="0" w:after="283"/>
              <w:jc w:val="left"/>
              <w:rPr/>
            </w:pPr>
            <w:r>
              <w:rPr/>
              <w:t>)</w:t>
            </w:r>
            <w:bookmarkStart w:id="1898" w:name="xdx_400_ecustom--NetIncomeLossAvailableT"/>
            <w:bookmarkEnd w:id="1898"/>
          </w:p>
        </w:tc>
      </w:tr>
      <w:tr>
        <w:trPr/>
        <w:tc>
          <w:tcPr>
            <w:tcW w:w="5450" w:type="dxa"/>
            <w:tcBorders/>
            <w:shd w:fill="CCEEFF" w:val="clear"/>
            <w:vAlign w:val="center"/>
          </w:tcPr>
          <w:p>
            <w:pPr>
              <w:pStyle w:val="TableContents"/>
              <w:bidi w:val="0"/>
              <w:spacing w:before="0" w:after="283"/>
              <w:jc w:val="left"/>
              <w:rPr/>
            </w:pPr>
            <w:r>
              <w:rPr/>
              <w:t xml:space="preserve">Net loss available to common </w:t>
              <w:br/>
              <w:t>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(44,072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(19,061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(1,634</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99" w:name="xdx_40C_eus-gaap--WeightedAverageNumberO"/>
            <w:bookmarkEnd w:id="1899"/>
          </w:p>
        </w:tc>
      </w:tr>
      <w:tr>
        <w:trPr/>
        <w:tc>
          <w:tcPr>
            <w:tcW w:w="5450" w:type="dxa"/>
            <w:tcBorders/>
            <w:shd w:fill="CCEEFF" w:val="clear"/>
            <w:vAlign w:val="center"/>
          </w:tcPr>
          <w:p>
            <w:pPr>
              <w:pStyle w:val="TableContents"/>
              <w:bidi w:val="0"/>
              <w:spacing w:before="0" w:after="283"/>
              <w:jc w:val="left"/>
              <w:rPr/>
            </w:pPr>
            <w:r>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4,343,588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2,617,527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224,431</w:t>
            </w:r>
          </w:p>
        </w:tc>
        <w:tc>
          <w:tcPr>
            <w:tcW w:w="110" w:type="dxa"/>
            <w:tcBorders/>
            <w:shd w:fill="CCEEFF" w:val="clear"/>
            <w:vAlign w:val="center"/>
          </w:tcPr>
          <w:p>
            <w:pPr>
              <w:pStyle w:val="TableContents"/>
              <w:bidi w:val="0"/>
              <w:spacing w:before="0" w:after="283"/>
              <w:jc w:val="left"/>
              <w:rPr/>
            </w:pPr>
            <w:r>
              <w:rPr/>
              <w:t> </w:t>
            </w:r>
            <w:bookmarkStart w:id="1900" w:name="xdx_401_eus-gaap--EarningsPerShareBasic_"/>
            <w:bookmarkEnd w:id="1900"/>
          </w:p>
        </w:tc>
      </w:tr>
      <w:tr>
        <w:trPr/>
        <w:tc>
          <w:tcPr>
            <w:tcW w:w="5450" w:type="dxa"/>
            <w:tcBorders/>
            <w:shd w:fill="FFFFFF" w:val="clear"/>
            <w:vAlign w:val="center"/>
          </w:tcPr>
          <w:p>
            <w:pPr>
              <w:pStyle w:val="TableContents"/>
              <w:bidi w:val="0"/>
              <w:spacing w:before="0" w:after="283"/>
              <w:jc w:val="left"/>
              <w:rPr/>
            </w:pPr>
            <w:r>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(7.28</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01" w:name="xdx_408_eus-gaap--NetIncomeLossAvailable"/>
            <w:bookmarkEnd w:id="1901"/>
          </w:p>
        </w:tc>
      </w:tr>
      <w:tr>
        <w:trPr/>
        <w:tc>
          <w:tcPr>
            <w:tcW w:w="5450" w:type="dxa"/>
            <w:tcBorders/>
            <w:shd w:fill="FFFFFF" w:val="clear"/>
            <w:vAlign w:val="center"/>
          </w:tcPr>
          <w:p>
            <w:pPr>
              <w:pStyle w:val="TableContents"/>
              <w:bidi w:val="0"/>
              <w:spacing w:before="0" w:after="283"/>
              <w:jc w:val="left"/>
              <w:rPr/>
            </w:pPr>
            <w:r>
              <w:rPr/>
              <w:t xml:space="preserve">Net loss available to common </w:t>
              <w:br/>
              <w:t>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(44,072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(2,059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(19,061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(1,634</w:t>
            </w:r>
          </w:p>
        </w:tc>
        <w:tc>
          <w:tcPr>
            <w:tcW w:w="110" w:type="dxa"/>
            <w:tcBorders/>
            <w:shd w:fill="FFFFFF" w:val="clear"/>
            <w:vAlign w:val="center"/>
          </w:tcPr>
          <w:p>
            <w:pPr>
              <w:pStyle w:val="TableContents"/>
              <w:bidi w:val="0"/>
              <w:spacing w:before="0" w:after="283"/>
              <w:jc w:val="left"/>
              <w:rPr/>
            </w:pPr>
            <w:r>
              <w:rPr/>
              <w:t>)</w:t>
            </w:r>
            <w:bookmarkStart w:id="1902" w:name="xdx_400_ecustom--ChangeInFairValueOfLiab"/>
            <w:bookmarkEnd w:id="1902"/>
          </w:p>
        </w:tc>
      </w:tr>
      <w:tr>
        <w:trPr/>
        <w:tc>
          <w:tcPr>
            <w:tcW w:w="5450" w:type="dxa"/>
            <w:tcBorders/>
            <w:shd w:fill="CCEEFF" w:val="clear"/>
            <w:vAlign w:val="center"/>
          </w:tcPr>
          <w:p>
            <w:pPr>
              <w:pStyle w:val="TableContents"/>
              <w:bidi w:val="0"/>
              <w:spacing w:before="0" w:after="283"/>
              <w:jc w:val="left"/>
              <w:rPr/>
            </w:pPr>
            <w:r>
              <w:rPr/>
              <w:t>Change in fair value of PIPE make-whole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w:t>
            </w:r>
          </w:p>
        </w:tc>
        <w:tc>
          <w:tcPr>
            <w:tcW w:w="110" w:type="dxa"/>
            <w:tcBorders/>
            <w:shd w:fill="CCEEFF" w:val="clear"/>
            <w:vAlign w:val="center"/>
          </w:tcPr>
          <w:p>
            <w:pPr>
              <w:pStyle w:val="TableContents"/>
              <w:bidi w:val="0"/>
              <w:spacing w:before="0" w:after="283"/>
              <w:jc w:val="left"/>
              <w:rPr/>
            </w:pPr>
            <w:r>
              <w:rPr/>
              <w:t>)</w:t>
            </w:r>
            <w:bookmarkStart w:id="1903" w:name="xdx_400_ecustom--ChangeInFairValueOfLiab"/>
            <w:bookmarkEnd w:id="1903"/>
          </w:p>
        </w:tc>
      </w:tr>
      <w:tr>
        <w:trPr/>
        <w:tc>
          <w:tcPr>
            <w:tcW w:w="5450" w:type="dxa"/>
            <w:tcBorders/>
            <w:shd w:fill="FFFFFF" w:val="clear"/>
            <w:vAlign w:val="center"/>
          </w:tcPr>
          <w:p>
            <w:pPr>
              <w:pStyle w:val="TableContents"/>
              <w:bidi w:val="0"/>
              <w:spacing w:before="0" w:after="283"/>
              <w:jc w:val="left"/>
              <w:rPr/>
            </w:pPr>
            <w:r>
              <w:rPr/>
              <w:t>Change in fair value of liability-classified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(54</w:t>
            </w:r>
          </w:p>
        </w:tc>
        <w:tc>
          <w:tcPr>
            <w:tcW w:w="110" w:type="dxa"/>
            <w:tcBorders/>
            <w:shd w:fill="FFFFFF" w:val="clear"/>
            <w:vAlign w:val="center"/>
          </w:tcPr>
          <w:p>
            <w:pPr>
              <w:pStyle w:val="TableContents"/>
              <w:bidi w:val="0"/>
              <w:spacing w:before="0" w:after="283"/>
              <w:jc w:val="left"/>
              <w:rPr/>
            </w:pPr>
            <w:r>
              <w:rPr/>
              <w:t>)</w:t>
            </w:r>
            <w:bookmarkStart w:id="1904" w:name="xdx_40B_ecustom--ReallocationOfNetLossAs"/>
            <w:bookmarkEnd w:id="1904"/>
          </w:p>
        </w:tc>
      </w:tr>
      <w:tr>
        <w:trPr/>
        <w:tc>
          <w:tcPr>
            <w:tcW w:w="5450" w:type="dxa"/>
            <w:tcBorders/>
            <w:shd w:fill="CCEEFF" w:val="clear"/>
            <w:vAlign w:val="center"/>
          </w:tcPr>
          <w:p>
            <w:pPr>
              <w:pStyle w:val="TableContents"/>
              <w:bidi w:val="0"/>
              <w:spacing w:before="0" w:after="283"/>
              <w:jc w:val="left"/>
              <w:rPr/>
            </w:pPr>
            <w:r>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905" w:name="xdx_403_ecustom--ReallocationOfNetIncome"/>
            <w:bookmarkEnd w:id="1905"/>
          </w:p>
        </w:tc>
      </w:tr>
      <w:tr>
        <w:trPr/>
        <w:tc>
          <w:tcPr>
            <w:tcW w:w="5450" w:type="dxa"/>
            <w:tcBorders/>
            <w:shd w:fill="FFFFFF" w:val="clear"/>
            <w:vAlign w:val="center"/>
          </w:tcPr>
          <w:p>
            <w:pPr>
              <w:pStyle w:val="TableContents"/>
              <w:bidi w:val="0"/>
              <w:spacing w:before="0" w:after="283"/>
              <w:jc w:val="left"/>
              <w:rPr/>
            </w:pPr>
            <w:r>
              <w:rPr/>
              <w:t>Reallocation of net loss as a result of 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63</w:t>
            </w:r>
          </w:p>
        </w:tc>
        <w:tc>
          <w:tcPr>
            <w:tcW w:w="110" w:type="dxa"/>
            <w:tcBorders/>
            <w:shd w:fill="FFFFFF" w:val="clear"/>
            <w:vAlign w:val="center"/>
          </w:tcPr>
          <w:p>
            <w:pPr>
              <w:pStyle w:val="TableContents"/>
              <w:bidi w:val="0"/>
              <w:spacing w:before="0" w:after="283"/>
              <w:jc w:val="left"/>
              <w:rPr/>
            </w:pPr>
            <w:r>
              <w:rPr/>
              <w:t> </w:t>
            </w:r>
            <w:bookmarkStart w:id="1906" w:name="xdx_403_ecustom--NetIncomeLossToDiluted_"/>
            <w:bookmarkEnd w:id="1906"/>
          </w:p>
        </w:tc>
      </w:tr>
      <w:tr>
        <w:trPr/>
        <w:tc>
          <w:tcPr>
            <w:tcW w:w="5450" w:type="dxa"/>
            <w:tcBorders/>
            <w:shd w:fill="CCEEFF" w:val="clear"/>
            <w:vAlign w:val="center"/>
          </w:tcPr>
          <w:p>
            <w:pPr>
              <w:pStyle w:val="TableContents"/>
              <w:bidi w:val="0"/>
              <w:spacing w:before="0" w:after="283"/>
              <w:jc w:val="left"/>
              <w:rPr/>
            </w:pPr>
            <w:r>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(46,131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(22,213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(1,691</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07" w:name="xdx_406_ecustom--NumberOfSharesUsedInBas"/>
            <w:bookmarkEnd w:id="1907"/>
          </w:p>
        </w:tc>
      </w:tr>
      <w:tr>
        <w:trPr/>
        <w:tc>
          <w:tcPr>
            <w:tcW w:w="5450" w:type="dxa"/>
            <w:tcBorders/>
            <w:shd w:fill="CCEEFF" w:val="clear"/>
            <w:vAlign w:val="center"/>
          </w:tcPr>
          <w:p>
            <w:pPr>
              <w:pStyle w:val="TableContents"/>
              <w:bidi w:val="0"/>
              <w:spacing w:before="0" w:after="283"/>
              <w:jc w:val="left"/>
              <w:rPr/>
            </w:pPr>
            <w:r>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4,343,588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2,617,527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224,431</w:t>
            </w:r>
          </w:p>
        </w:tc>
        <w:tc>
          <w:tcPr>
            <w:tcW w:w="110" w:type="dxa"/>
            <w:tcBorders/>
            <w:shd w:fill="CCEEFF" w:val="clear"/>
            <w:vAlign w:val="center"/>
          </w:tcPr>
          <w:p>
            <w:pPr>
              <w:pStyle w:val="TableContents"/>
              <w:bidi w:val="0"/>
              <w:spacing w:before="0" w:after="283"/>
              <w:jc w:val="left"/>
              <w:rPr/>
            </w:pPr>
            <w:r>
              <w:rPr/>
              <w:t> </w:t>
            </w:r>
            <w:bookmarkStart w:id="1908" w:name="xdx_40E_ecustom--SharesIssuableInSatisfa"/>
            <w:bookmarkEnd w:id="1908"/>
          </w:p>
        </w:tc>
      </w:tr>
      <w:tr>
        <w:trPr/>
        <w:tc>
          <w:tcPr>
            <w:tcW w:w="5450" w:type="dxa"/>
            <w:tcBorders/>
            <w:shd w:fill="FFFFFF" w:val="clear"/>
            <w:vAlign w:val="center"/>
          </w:tcPr>
          <w:p>
            <w:pPr>
              <w:pStyle w:val="TableContents"/>
              <w:bidi w:val="0"/>
              <w:spacing w:before="0" w:after="283"/>
              <w:jc w:val="left"/>
              <w:rPr/>
            </w:pPr>
            <w:r>
              <w:rPr/>
              <w:t>Shares issuable in satisfaction of PIPE make-whole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72,722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909" w:name="xdx_400_ecustom--SharesIssuableUnderLiab"/>
            <w:bookmarkEnd w:id="1909"/>
          </w:p>
        </w:tc>
      </w:tr>
      <w:tr>
        <w:trPr/>
        <w:tc>
          <w:tcPr>
            <w:tcW w:w="5450" w:type="dxa"/>
            <w:tcBorders/>
            <w:shd w:fill="CCEEFF" w:val="clear"/>
            <w:vAlign w:val="center"/>
          </w:tcPr>
          <w:p>
            <w:pPr>
              <w:pStyle w:val="TableContents"/>
              <w:bidi w:val="0"/>
              <w:spacing w:before="0" w:after="283"/>
              <w:jc w:val="left"/>
              <w:rPr/>
            </w:pPr>
            <w:r>
              <w:rPr/>
              <w:t>Shares issuable under liability-classified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910" w:name="xdx_405_ecustom--ConversionOfClassBToCla"/>
            <w:bookmarkEnd w:id="1910"/>
          </w:p>
        </w:tc>
      </w:tr>
      <w:tr>
        <w:trPr/>
        <w:tc>
          <w:tcPr>
            <w:tcW w:w="5450" w:type="dxa"/>
            <w:tcBorders/>
            <w:shd w:fill="FFFFFF" w:val="clear"/>
            <w:vAlign w:val="center"/>
          </w:tcPr>
          <w:p>
            <w:pPr>
              <w:pStyle w:val="TableContents"/>
              <w:bidi w:val="0"/>
              <w:spacing w:before="0" w:after="283"/>
              <w:jc w:val="left"/>
              <w:rPr/>
            </w:pPr>
            <w:r>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202,921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224,431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911" w:name="xdx_406_eus-gaap--WeightedAverageNumberO"/>
            <w:bookmarkEnd w:id="1911"/>
          </w:p>
        </w:tc>
      </w:tr>
      <w:tr>
        <w:trPr/>
        <w:tc>
          <w:tcPr>
            <w:tcW w:w="5450" w:type="dxa"/>
            <w:tcBorders/>
            <w:shd w:fill="CCEEFF" w:val="clear"/>
            <w:vAlign w:val="center"/>
          </w:tcPr>
          <w:p>
            <w:pPr>
              <w:pStyle w:val="TableContents"/>
              <w:bidi w:val="0"/>
              <w:spacing w:before="0" w:after="283"/>
              <w:jc w:val="left"/>
              <w:rPr/>
            </w:pPr>
            <w:r>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4,546,509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2,948,302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224,431</w:t>
            </w:r>
          </w:p>
        </w:tc>
        <w:tc>
          <w:tcPr>
            <w:tcW w:w="110" w:type="dxa"/>
            <w:tcBorders/>
            <w:shd w:fill="CCEEFF" w:val="clear"/>
            <w:vAlign w:val="center"/>
          </w:tcPr>
          <w:p>
            <w:pPr>
              <w:pStyle w:val="TableContents"/>
              <w:bidi w:val="0"/>
              <w:spacing w:before="0" w:after="283"/>
              <w:jc w:val="left"/>
              <w:rPr/>
            </w:pPr>
            <w:r>
              <w:rPr/>
              <w:t> </w:t>
            </w:r>
            <w:bookmarkStart w:id="1912" w:name="xdx_406_eus-gaap--EarningsPerShareDilute"/>
            <w:bookmarkEnd w:id="1912"/>
          </w:p>
        </w:tc>
      </w:tr>
      <w:tr>
        <w:trPr/>
        <w:tc>
          <w:tcPr>
            <w:tcW w:w="5450" w:type="dxa"/>
            <w:tcBorders/>
            <w:shd w:fill="FFFFFF" w:val="clear"/>
            <w:vAlign w:val="center"/>
          </w:tcPr>
          <w:p>
            <w:pPr>
              <w:pStyle w:val="TableContents"/>
              <w:bidi w:val="0"/>
              <w:spacing w:before="0" w:after="283"/>
              <w:jc w:val="left"/>
              <w:rPr/>
            </w:pPr>
            <w:r>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(7.53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1913" w:name="xdx_8A9_zUMyUP9pkLa9"/>
      <w:bookmarkEnd w:id="191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applying the if converted method or treasury stock method for calculating diluted earnings per share, the Public Warrants, Private Warrants, PIPE Common Warrants, Placement Agent Warrants, RSAs, RSUs and stock options result in anti-dilution. Therefore, these securities are not included in the computation of diluted net loss per share. The Earnout Shares and shares issuable under the Rage Earnout were not included for purposes of calculating the number of diluted shares outstanding because the number of dilutive shares is, in each case, based on a contingency which had not been met during the periods presented herein. The potential shares of Class A Common Stock that were excluded from the computation of diluted net loss per share for the periods presented because including them would have an antidilutive effect were as follows: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bookmarkStart w:id="1914" w:name="xdx_89C_eus-gaap--ScheduleOfAntidilutive"/>
      <w:bookmarkEnd w:id="1914"/>
      <w:r>
        <w:rPr>
          <w:caps w:val="false"/>
          <w:smallCaps w:val="false"/>
        </w:rPr>
        <w:t> </w:t>
      </w:r>
      <w:bookmarkStart w:id="1915" w:name="xdx_8B6_z2L614r0HXT"/>
      <w:bookmarkEnd w:id="1915"/>
      <w:r>
        <w:rPr>
          <w:rFonts w:ascii="Times New Roman;Times;Serif" w:hAnsi="Times New Roman;Times;Serif"/>
          <w:b w:val="false"/>
          <w:i w:val="false"/>
          <w:caps w:val="false"/>
          <w:smallCaps w:val="false"/>
          <w:sz w:val="20"/>
        </w:rPr>
        <w:t>Schedule of Antidilutive Shares</w:t>
      </w:r>
    </w:p>
    <w:tbl>
      <w:tblPr>
        <w:tblW w:w="6825" w:type="dxa"/>
        <w:jc w:val="left"/>
        <w:tblInd w:w="0" w:type="dxa"/>
        <w:tblLayout w:type="fixed"/>
        <w:tblCellMar>
          <w:top w:w="0" w:type="dxa"/>
          <w:left w:w="0" w:type="dxa"/>
          <w:bottom w:w="0" w:type="dxa"/>
          <w:right w:w="0" w:type="dxa"/>
        </w:tblCellMar>
      </w:tblPr>
      <w:tblGrid>
        <w:gridCol w:w="4490"/>
        <w:gridCol w:w="60"/>
        <w:gridCol w:w="60"/>
        <w:gridCol w:w="980"/>
        <w:gridCol w:w="60"/>
        <w:gridCol w:w="60"/>
        <w:gridCol w:w="60"/>
        <w:gridCol w:w="980"/>
        <w:gridCol w:w="75"/>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16" w:name="xdx_49E_20241001__20250930_zYc37yGB7dy1"/>
            <w:bookmarkEnd w:id="1916"/>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17" w:name="xdx_49F_20231001__20240930_zrsiuVTLWa6g"/>
            <w:bookmarkEnd w:id="1917"/>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1918" w:name="xdx_400_eus-gaap--AntidilutiveSecurities"/>
            <w:bookmarkEnd w:id="1918"/>
          </w:p>
        </w:tc>
      </w:tr>
      <w:tr>
        <w:trPr/>
        <w:tc>
          <w:tcPr>
            <w:tcW w:w="4490" w:type="dxa"/>
            <w:tcBorders/>
            <w:shd w:fill="CCEEFF" w:val="clear"/>
            <w:vAlign w:val="center"/>
          </w:tcPr>
          <w:p>
            <w:pPr>
              <w:pStyle w:val="TableContents"/>
              <w:bidi w:val="0"/>
              <w:spacing w:before="0" w:after="283"/>
              <w:jc w:val="left"/>
              <w:rPr/>
            </w:pPr>
            <w:r>
              <w:rPr/>
              <w:t>Public Warrants and Private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900,000</w:t>
            </w:r>
          </w:p>
        </w:tc>
        <w:tc>
          <w:tcPr>
            <w:tcW w:w="75" w:type="dxa"/>
            <w:tcBorders/>
            <w:shd w:fill="CCEEFF" w:val="clear"/>
            <w:vAlign w:val="center"/>
          </w:tcPr>
          <w:p>
            <w:pPr>
              <w:pStyle w:val="TableContents"/>
              <w:bidi w:val="0"/>
              <w:spacing w:before="0" w:after="283"/>
              <w:jc w:val="left"/>
              <w:rPr/>
            </w:pPr>
            <w:r>
              <w:rPr/>
              <w:t> </w:t>
            </w:r>
            <w:bookmarkStart w:id="1919" w:name="xdx_408_eus-gaap--AntidilutiveSecurities"/>
            <w:bookmarkEnd w:id="1919"/>
          </w:p>
        </w:tc>
      </w:tr>
      <w:tr>
        <w:trPr/>
        <w:tc>
          <w:tcPr>
            <w:tcW w:w="4490" w:type="dxa"/>
            <w:tcBorders/>
            <w:shd w:fill="FFFFFF" w:val="clear"/>
            <w:vAlign w:val="center"/>
          </w:tcPr>
          <w:p>
            <w:pPr>
              <w:pStyle w:val="TableContents"/>
              <w:bidi w:val="0"/>
              <w:spacing w:before="0" w:after="283"/>
              <w:jc w:val="left"/>
              <w:rPr/>
            </w:pPr>
            <w:r>
              <w:rPr/>
              <w:t>Other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1,570,568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751,878</w:t>
            </w:r>
          </w:p>
        </w:tc>
        <w:tc>
          <w:tcPr>
            <w:tcW w:w="75" w:type="dxa"/>
            <w:tcBorders/>
            <w:shd w:fill="FFFFFF" w:val="clear"/>
            <w:vAlign w:val="center"/>
          </w:tcPr>
          <w:p>
            <w:pPr>
              <w:pStyle w:val="TableContents"/>
              <w:bidi w:val="0"/>
              <w:spacing w:before="0" w:after="283"/>
              <w:jc w:val="left"/>
              <w:rPr/>
            </w:pPr>
            <w:r>
              <w:rPr/>
              <w:t> </w:t>
            </w:r>
            <w:bookmarkStart w:id="1920" w:name="xdx_402_eus-gaap--AntidilutiveSecurities"/>
            <w:bookmarkEnd w:id="1920"/>
          </w:p>
        </w:tc>
      </w:tr>
      <w:tr>
        <w:trPr/>
        <w:tc>
          <w:tcPr>
            <w:tcW w:w="4490" w:type="dxa"/>
            <w:tcBorders/>
            <w:shd w:fill="CCEEFF" w:val="clear"/>
            <w:vAlign w:val="center"/>
          </w:tcPr>
          <w:p>
            <w:pPr>
              <w:pStyle w:val="TableContents"/>
              <w:bidi w:val="0"/>
              <w:spacing w:before="0" w:after="283"/>
              <w:jc w:val="left"/>
              <w:rPr/>
            </w:pPr>
            <w:r>
              <w:rPr/>
              <w:t>Earnout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350,000</w:t>
            </w:r>
          </w:p>
        </w:tc>
        <w:tc>
          <w:tcPr>
            <w:tcW w:w="75" w:type="dxa"/>
            <w:tcBorders/>
            <w:shd w:fill="CCEEFF" w:val="clear"/>
            <w:vAlign w:val="center"/>
          </w:tcPr>
          <w:p>
            <w:pPr>
              <w:pStyle w:val="TableContents"/>
              <w:bidi w:val="0"/>
              <w:spacing w:before="0" w:after="283"/>
              <w:jc w:val="left"/>
              <w:rPr/>
            </w:pPr>
            <w:r>
              <w:rPr/>
              <w:t> </w:t>
            </w:r>
            <w:bookmarkStart w:id="1921" w:name="xdx_40D_eus-gaap--AntidilutiveSecurities"/>
            <w:bookmarkEnd w:id="1921"/>
          </w:p>
        </w:tc>
      </w:tr>
      <w:tr>
        <w:trPr/>
        <w:tc>
          <w:tcPr>
            <w:tcW w:w="4490" w:type="dxa"/>
            <w:tcBorders/>
            <w:shd w:fill="FFFFFF" w:val="clear"/>
            <w:vAlign w:val="center"/>
          </w:tcPr>
          <w:p>
            <w:pPr>
              <w:pStyle w:val="TableContents"/>
              <w:bidi w:val="0"/>
              <w:spacing w:before="0" w:after="283"/>
              <w:jc w:val="left"/>
              <w:rPr/>
            </w:pPr>
            <w:r>
              <w:rPr/>
              <w:t>Shares potentially issuable under Rage Earnout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128,560</w:t>
            </w:r>
          </w:p>
        </w:tc>
        <w:tc>
          <w:tcPr>
            <w:tcW w:w="75" w:type="dxa"/>
            <w:tcBorders/>
            <w:shd w:fill="FFFFFF" w:val="clear"/>
            <w:vAlign w:val="center"/>
          </w:tcPr>
          <w:p>
            <w:pPr>
              <w:pStyle w:val="TableContents"/>
              <w:bidi w:val="0"/>
              <w:spacing w:before="0" w:after="283"/>
              <w:jc w:val="left"/>
              <w:rPr/>
            </w:pPr>
            <w:r>
              <w:rPr/>
              <w:t> </w:t>
            </w:r>
            <w:bookmarkStart w:id="1922" w:name="xdx_401_eus-gaap--AntidilutiveSecurities"/>
            <w:bookmarkEnd w:id="1922"/>
          </w:p>
        </w:tc>
      </w:tr>
      <w:tr>
        <w:trPr/>
        <w:tc>
          <w:tcPr>
            <w:tcW w:w="4490" w:type="dxa"/>
            <w:tcBorders/>
            <w:shd w:fill="CCEEFF" w:val="clear"/>
            <w:vAlign w:val="center"/>
          </w:tcPr>
          <w:p>
            <w:pPr>
              <w:pStyle w:val="TableContents"/>
              <w:bidi w:val="0"/>
              <w:spacing w:before="0" w:after="283"/>
              <w:jc w:val="left"/>
              <w:rPr/>
            </w:pPr>
            <w:r>
              <w:rPr/>
              <w:t>RSAs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487,250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923" w:name="xdx_403_eus-gaap--AntidilutiveSecurities"/>
            <w:bookmarkEnd w:id="1923"/>
          </w:p>
        </w:tc>
      </w:tr>
      <w:tr>
        <w:trPr/>
        <w:tc>
          <w:tcPr>
            <w:tcW w:w="4490" w:type="dxa"/>
            <w:tcBorders/>
            <w:shd w:fill="FFFFFF" w:val="clear"/>
            <w:vAlign w:val="center"/>
          </w:tcPr>
          <w:p>
            <w:pPr>
              <w:pStyle w:val="TableContents"/>
              <w:bidi w:val="0"/>
              <w:spacing w:before="0" w:after="283"/>
              <w:jc w:val="left"/>
              <w:rPr/>
            </w:pPr>
            <w:r>
              <w:rPr/>
              <w:t>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954,599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446,318</w:t>
            </w:r>
          </w:p>
        </w:tc>
        <w:tc>
          <w:tcPr>
            <w:tcW w:w="75" w:type="dxa"/>
            <w:tcBorders/>
            <w:shd w:fill="FFFFFF" w:val="clear"/>
            <w:vAlign w:val="center"/>
          </w:tcPr>
          <w:p>
            <w:pPr>
              <w:pStyle w:val="TableContents"/>
              <w:bidi w:val="0"/>
              <w:spacing w:before="0" w:after="283"/>
              <w:jc w:val="left"/>
              <w:rPr/>
            </w:pPr>
            <w:r>
              <w:rPr/>
              <w:t> </w:t>
            </w:r>
            <w:bookmarkStart w:id="1924" w:name="xdx_408_eus-gaap--AntidilutiveSecurities"/>
            <w:bookmarkEnd w:id="1924"/>
          </w:p>
        </w:tc>
      </w:tr>
      <w:tr>
        <w:trPr/>
        <w:tc>
          <w:tcPr>
            <w:tcW w:w="4490"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245,218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274,063</w:t>
            </w:r>
          </w:p>
        </w:tc>
        <w:tc>
          <w:tcPr>
            <w:tcW w:w="75" w:type="dxa"/>
            <w:tcBorders/>
            <w:shd w:fill="CCEEFF" w:val="clear"/>
            <w:vAlign w:val="center"/>
          </w:tcPr>
          <w:p>
            <w:pPr>
              <w:pStyle w:val="TableContents"/>
              <w:bidi w:val="0"/>
              <w:spacing w:before="0" w:after="283"/>
              <w:jc w:val="left"/>
              <w:rPr/>
            </w:pPr>
            <w:r>
              <w:rPr/>
              <w:t> </w:t>
            </w:r>
            <w:bookmarkStart w:id="1925" w:name="xdx_40F_eus-gaap--AntidilutiveSecurities"/>
            <w:bookmarkEnd w:id="1925"/>
          </w:p>
        </w:tc>
      </w:tr>
      <w:tr>
        <w:trPr/>
        <w:tc>
          <w:tcPr>
            <w:tcW w:w="44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4,571,915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2,850,819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1926" w:name="xdx_8A0_zotmDUYBTwff"/>
      <w:bookmarkEnd w:id="1926"/>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27" w:name="xdx_80C_eus-gaap--ConcentrationRiskDiscl"/>
      <w:bookmarkEnd w:id="1927"/>
      <w:r>
        <w:rPr>
          <w:rFonts w:ascii="Times New Roman;Times;Serif" w:hAnsi="Times New Roman;Times;Serif"/>
          <w:b/>
          <w:i w:val="false"/>
          <w:caps w:val="false"/>
          <w:smallCaps w:val="false"/>
          <w:sz w:val="20"/>
        </w:rPr>
        <w:t xml:space="preserve">Note 19 — </w:t>
      </w:r>
      <w:bookmarkStart w:id="1928" w:name="xdx_823_ztbwAulLa0ka"/>
      <w:bookmarkEnd w:id="1928"/>
      <w:r>
        <w:rPr>
          <w:rFonts w:ascii="Times New Roman;Times;Serif" w:hAnsi="Times New Roman;Times;Serif"/>
          <w:b/>
          <w:i w:val="false"/>
          <w:caps w:val="false"/>
          <w:smallCaps w:val="false"/>
          <w:sz w:val="20"/>
        </w:rPr>
        <w:t>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September 30, 2025, one customer accounted for </w:t>
      </w:r>
      <w:bookmarkStart w:id="1929" w:name="xdx_90B_eus-gaap--ConcentrationRiskPerce"/>
      <w:bookmarkEnd w:id="1929"/>
      <w:r>
        <w:rPr>
          <w:rFonts w:ascii="Times New Roman;Times;Serif" w:hAnsi="Times New Roman;Times;Serif"/>
          <w:b w:val="false"/>
          <w:i w:val="false"/>
          <w:caps w:val="false"/>
          <w:smallCaps w:val="false"/>
          <w:sz w:val="20"/>
        </w:rPr>
        <w:t xml:space="preserve">50% of the Company’s net revenue. For the year ended September 30, 2024, one customer accounted for </w:t>
      </w:r>
      <w:bookmarkStart w:id="1930" w:name="xdx_90B_eus-gaap--ConcentrationRiskPerce"/>
      <w:bookmarkEnd w:id="1930"/>
      <w:r>
        <w:rPr>
          <w:rFonts w:ascii="Times New Roman;Times;Serif" w:hAnsi="Times New Roman;Times;Serif"/>
          <w:b w:val="false"/>
          <w:i w:val="false"/>
          <w:caps w:val="false"/>
          <w:smallCaps w:val="false"/>
          <w:sz w:val="20"/>
        </w:rPr>
        <w:t xml:space="preserve">40% of the Company’s net revenue. No other customer accounted for more than </w:t>
      </w:r>
      <w:bookmarkStart w:id="1931" w:name="xdx_904_eus-gaap--ConcentrationRiskPerce"/>
      <w:bookmarkEnd w:id="1931"/>
      <w:r>
        <w:rPr>
          <w:rFonts w:ascii="Times New Roman;Times;Serif" w:hAnsi="Times New Roman;Times;Serif"/>
          <w:b w:val="false"/>
          <w:i w:val="false"/>
          <w:caps w:val="false"/>
          <w:smallCaps w:val="false"/>
          <w:sz w:val="20"/>
        </w:rPr>
        <w:t>10% of net revenue in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two customers had balances due that represented </w:t>
      </w:r>
      <w:bookmarkStart w:id="1932" w:name="xdx_90D_eus-gaap--ConcentrationRiskPerce"/>
      <w:bookmarkEnd w:id="1932"/>
      <w:r>
        <w:rPr>
          <w:rFonts w:ascii="Times New Roman;Times;Serif" w:hAnsi="Times New Roman;Times;Serif"/>
          <w:b w:val="false"/>
          <w:i w:val="false"/>
          <w:caps w:val="false"/>
          <w:smallCaps w:val="false"/>
          <w:sz w:val="20"/>
        </w:rPr>
        <w:t xml:space="preserve">30% of the Company’s total accounts receivable. As of September 30, 2024, two customers had balances due that represented </w:t>
      </w:r>
      <w:bookmarkStart w:id="1933" w:name="xdx_903_eus-gaap--ConcentrationRiskPerce"/>
      <w:bookmarkEnd w:id="1933"/>
      <w:r>
        <w:rPr>
          <w:rFonts w:ascii="Times New Roman;Times;Serif" w:hAnsi="Times New Roman;Times;Serif"/>
          <w:b w:val="false"/>
          <w:i w:val="false"/>
          <w:caps w:val="false"/>
          <w:smallCaps w:val="false"/>
          <w:sz w:val="20"/>
        </w:rPr>
        <w:t>71% of the Company’s total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34" w:name="xdx_801_eus-gaap--SegmentReportingDisclo"/>
      <w:bookmarkEnd w:id="1934"/>
      <w:r>
        <w:rPr>
          <w:rFonts w:ascii="Times New Roman;Times;Serif" w:hAnsi="Times New Roman;Times;Serif"/>
          <w:b/>
          <w:i w:val="false"/>
          <w:caps w:val="false"/>
          <w:smallCaps w:val="false"/>
          <w:sz w:val="20"/>
        </w:rPr>
        <w:t xml:space="preserve">Note 20 — </w:t>
      </w:r>
      <w:bookmarkStart w:id="1935" w:name="xdx_828_z1rrOIojNvXb"/>
      <w:bookmarkEnd w:id="1935"/>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operating segment. The Company’s chief operating decision maker (“CODM”) is its Chief Executive Officer. All significant operating decisions are based upon analysis of the Company as one operating segment to allocate resources, make operating decisions, and evaluate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considers consolidated net income (loss) to be the measure of segment profit and loss for monitoring budget versus actual results, performing variance analysis, and forecasting future performance. The CODM considers the impact of significant segment expenses on net income, which are the same expenses presented on the consolidated statements of operations and comprehensive loss when making operating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consolidated balance sheets as total assets. The CODM does not review segment assets at a level other than that presented in the Company’s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by Geographic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36" w:name="xdx_89F_eus-gaap--RevenueFromExternalCus"/>
      <w:bookmarkEnd w:id="1936"/>
      <w:r>
        <w:rPr>
          <w:rFonts w:ascii="Times New Roman;Times;Serif" w:hAnsi="Times New Roman;Times;Serif"/>
          <w:b w:val="false"/>
          <w:i w:val="false"/>
          <w:caps w:val="false"/>
          <w:smallCaps w:val="false"/>
          <w:sz w:val="20"/>
        </w:rPr>
        <w:t>The Company’s net revenue by geographic region, based on ship-to location, are summarized as follows:</w:t>
      </w:r>
    </w:p>
    <w:p>
      <w:pPr>
        <w:pStyle w:val="TextBody"/>
        <w:bidi w:val="0"/>
        <w:spacing w:before="0" w:after="0"/>
        <w:ind w:left="0" w:right="0" w:hanging="0"/>
        <w:jc w:val="left"/>
        <w:rPr>
          <w:caps w:val="false"/>
          <w:smallCaps w:val="false"/>
        </w:rPr>
      </w:pPr>
      <w:r>
        <w:rPr>
          <w:caps w:val="false"/>
          <w:smallCaps w:val="false"/>
        </w:rPr>
        <w:t> </w:t>
      </w:r>
      <w:bookmarkStart w:id="1937" w:name="xdx_8BB_zeSHvsGyl9b6"/>
      <w:bookmarkEnd w:id="1937"/>
      <w:r>
        <w:rPr>
          <w:rFonts w:ascii="Times New Roman;Times;Serif" w:hAnsi="Times New Roman;Times;Serif"/>
          <w:b w:val="false"/>
          <w:i w:val="false"/>
          <w:caps w:val="false"/>
          <w:smallCaps w:val="false"/>
          <w:sz w:val="20"/>
        </w:rPr>
        <w:t>Schedule of Company’s Net Revenue by Geographic Region</w:t>
      </w:r>
    </w:p>
    <w:tbl>
      <w:tblPr>
        <w:tblW w:w="3340" w:type="dxa"/>
        <w:jc w:val="left"/>
        <w:tblInd w:w="0" w:type="dxa"/>
        <w:tblLayout w:type="fixed"/>
        <w:tblCellMar>
          <w:top w:w="0" w:type="dxa"/>
          <w:left w:w="0" w:type="dxa"/>
          <w:bottom w:w="0" w:type="dxa"/>
          <w:right w:w="0" w:type="dxa"/>
        </w:tblCellMar>
      </w:tblPr>
      <w:tblGrid>
        <w:gridCol w:w="1685"/>
        <w:gridCol w:w="60"/>
        <w:gridCol w:w="140"/>
        <w:gridCol w:w="560"/>
        <w:gridCol w:w="60"/>
        <w:gridCol w:w="60"/>
        <w:gridCol w:w="140"/>
        <w:gridCol w:w="560"/>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38" w:name="xdx_497_20241001__20250930_zrkuI9jbAEx3"/>
            <w:bookmarkEnd w:id="1938"/>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39" w:name="xdx_49C_20231001__20240930_zDP1RYENDDJ7"/>
            <w:bookmarkEnd w:id="1939"/>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1940" w:name="xdx_403_eus-gaap--RevenueFromContractWit"/>
            <w:bookmarkEnd w:id="1940"/>
          </w:p>
        </w:tc>
      </w:tr>
      <w:tr>
        <w:trPr/>
        <w:tc>
          <w:tcPr>
            <w:tcW w:w="168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5,699</w:t>
            </w:r>
          </w:p>
        </w:tc>
        <w:tc>
          <w:tcPr>
            <w:tcW w:w="75" w:type="dxa"/>
            <w:tcBorders/>
            <w:shd w:fill="CCEEFF" w:val="clear"/>
            <w:vAlign w:val="center"/>
          </w:tcPr>
          <w:p>
            <w:pPr>
              <w:pStyle w:val="TableContents"/>
              <w:bidi w:val="0"/>
              <w:spacing w:before="0" w:after="283"/>
              <w:jc w:val="left"/>
              <w:rPr/>
            </w:pPr>
            <w:r>
              <w:rPr/>
              <w:t> </w:t>
            </w:r>
            <w:bookmarkStart w:id="1941" w:name="xdx_402_eus-gaap--RevenueFromContractWit"/>
            <w:bookmarkEnd w:id="1941"/>
          </w:p>
        </w:tc>
      </w:tr>
      <w:tr>
        <w:trPr/>
        <w:tc>
          <w:tcPr>
            <w:tcW w:w="1685" w:type="dxa"/>
            <w:tcBorders/>
            <w:shd w:fill="FFFFFF" w:val="clear"/>
            <w:vAlign w:val="center"/>
          </w:tcPr>
          <w:p>
            <w:pPr>
              <w:pStyle w:val="TableContents"/>
              <w:bidi w:val="0"/>
              <w:spacing w:before="0" w:after="283"/>
              <w:jc w:val="left"/>
              <w:rPr/>
            </w:pPr>
            <w:r>
              <w:rPr/>
              <w:t>China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288</w:t>
            </w:r>
          </w:p>
        </w:tc>
        <w:tc>
          <w:tcPr>
            <w:tcW w:w="75" w:type="dxa"/>
            <w:tcBorders/>
            <w:shd w:fill="FFFFFF" w:val="clear"/>
            <w:vAlign w:val="center"/>
          </w:tcPr>
          <w:p>
            <w:pPr>
              <w:pStyle w:val="TableContents"/>
              <w:bidi w:val="0"/>
              <w:spacing w:before="0" w:after="283"/>
              <w:jc w:val="left"/>
              <w:rPr/>
            </w:pPr>
            <w:r>
              <w:rPr/>
              <w:t> </w:t>
            </w:r>
            <w:bookmarkStart w:id="1942" w:name="xdx_40D_eus-gaap--RevenueFromContractWit"/>
            <w:bookmarkEnd w:id="1942"/>
          </w:p>
        </w:tc>
      </w:tr>
      <w:tr>
        <w:trPr/>
        <w:tc>
          <w:tcPr>
            <w:tcW w:w="168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455</w:t>
            </w:r>
          </w:p>
        </w:tc>
        <w:tc>
          <w:tcPr>
            <w:tcW w:w="75" w:type="dxa"/>
            <w:tcBorders/>
            <w:shd w:fill="CCEEFF" w:val="clear"/>
            <w:vAlign w:val="center"/>
          </w:tcPr>
          <w:p>
            <w:pPr>
              <w:pStyle w:val="TableContents"/>
              <w:bidi w:val="0"/>
              <w:spacing w:before="0" w:after="283"/>
              <w:jc w:val="left"/>
              <w:rPr/>
            </w:pPr>
            <w:r>
              <w:rPr/>
              <w:t> </w:t>
            </w:r>
            <w:bookmarkStart w:id="1943" w:name="xdx_40A_eus-gaap--RevenueFromContractWit"/>
            <w:bookmarkEnd w:id="1943"/>
          </w:p>
        </w:tc>
      </w:tr>
      <w:tr>
        <w:trPr/>
        <w:tc>
          <w:tcPr>
            <w:tcW w:w="1685" w:type="dxa"/>
            <w:tcBorders/>
            <w:shd w:fill="FFFFFF" w:val="clear"/>
            <w:vAlign w:val="center"/>
          </w:tcPr>
          <w:p>
            <w:pPr>
              <w:pStyle w:val="TableContents"/>
              <w:bidi w:val="0"/>
              <w:spacing w:before="0" w:after="283"/>
              <w:jc w:val="left"/>
              <w:rPr/>
            </w:pPr>
            <w:r>
              <w:rPr/>
              <w:t>Total net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9,912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6,442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944" w:name="xdx_8A3_zZQjP1nioUYf"/>
      <w:bookmarkEnd w:id="1944"/>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long-lived assets are located in the United States.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45" w:name="xdx_803_eus-gaap--SubsequentEventsTextBl"/>
      <w:bookmarkEnd w:id="1945"/>
      <w:r>
        <w:rPr>
          <w:rFonts w:ascii="Times New Roman;Times;Serif" w:hAnsi="Times New Roman;Times;Serif"/>
          <w:b/>
          <w:i w:val="false"/>
          <w:caps w:val="false"/>
          <w:smallCaps w:val="false"/>
          <w:sz w:val="20"/>
        </w:rPr>
        <w:t xml:space="preserve">Note 21 — </w:t>
      </w:r>
      <w:bookmarkStart w:id="1946" w:name="xdx_82F_zLbM4HvaG5t5"/>
      <w:bookmarkEnd w:id="1946"/>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Market Offering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2025, the Company entered into an At The Market Offering Agreement (the “ATM Agreement”) with Roth Capital Partners, LLC (“Manager”) under which the Company may offer and sell, from time to time at its sole discretion, up to $</w:t>
      </w:r>
      <w:bookmarkStart w:id="1947" w:name="xdx_90A_eus-gaap--StockIssuedDuringPerio"/>
      <w:bookmarkEnd w:id="1947"/>
      <w:r>
        <w:rPr>
          <w:rFonts w:ascii="Times New Roman;Times;Serif" w:hAnsi="Times New Roman;Times;Serif"/>
          <w:b w:val="false"/>
          <w:i w:val="false"/>
          <w:caps w:val="false"/>
          <w:smallCaps w:val="false"/>
          <w:sz w:val="20"/>
        </w:rPr>
        <w:t>15,800 in shares of its Class A Common Stock through the Manager acting in its capacity as its sales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sales of the Common Stock, if any, will be made under the Company’s effective Registration Statement on Form S-3 (File No. 333-284351), previously filed with the Securities and Exchange Commission on January 17, 2025 and declared effective on January 24, 2025, and the prospectus supplement relating to this offering for up to $</w:t>
      </w:r>
      <w:bookmarkStart w:id="1948" w:name="xdx_90A_eus-gaap--StockIssuedDuringPerio"/>
      <w:bookmarkEnd w:id="1948"/>
      <w:r>
        <w:rPr>
          <w:rFonts w:ascii="Times New Roman;Times;Serif" w:hAnsi="Times New Roman;Times;Serif"/>
          <w:b w:val="false"/>
          <w:i w:val="false"/>
          <w:caps w:val="false"/>
          <w:smallCaps w:val="false"/>
          <w:sz w:val="20"/>
        </w:rPr>
        <w:t>15,800 in shares of its Common Stock, filed on October 21, 2025 by any method that is deemed to be an “at the market offering” as defined in Rule 415(a)(4) under the Securities Act of 1933, as amended, including privately negotiated and block transactions. The Manager will use commercially reasonable efforts consistent with its normal trading and sales practices and applicable state and federal law, rules and regulations and the rules of The Nasdaq Capital Market to sell the Common Stock from time to time, based upon instructions from the Company (including any price, time or size limits or other customary parameters or conditions the Company may impose). The Company will pay the Manager a commission of three percent of the gross sales proceeds of any Common Stock sold through the Manager under the ATM Agreement, and also has provided the Manager with customary indemnification rights. The Company also reimbursed the Manager for certain expenses in connection with entering into the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the offering for working capital purposes. The amount and timing of the proceeds the Company receives from the sale of its Class A Common Stock pursuant to the ATM Agreement, if any, will depend on a number of factors, including the numbers of shares the Company may elect to sell, the timing of such sales and the future market price of the Company’s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2025, the Company entered into amendments to the PIPE Common Warrants, the Common Warrants and the Inducement Warrants, which comprise warrants to purchase an aggregate of </w:t>
      </w:r>
      <w:bookmarkStart w:id="1949" w:name="xdx_90B_eus-gaap--ClassOfWarrantOrRightO"/>
      <w:bookmarkEnd w:id="1949"/>
      <w:r>
        <w:rPr>
          <w:rFonts w:ascii="Times New Roman;Times;Serif" w:hAnsi="Times New Roman;Times;Serif"/>
          <w:b w:val="false"/>
          <w:i w:val="false"/>
          <w:caps w:val="false"/>
          <w:smallCaps w:val="false"/>
          <w:sz w:val="20"/>
        </w:rPr>
        <w:t xml:space="preserve">1,337,547 shares of the Company’s Class A Common Stock. The amendments revise certain terms of the warrants with the objective that, under the applicable guidance in ASC 480 and ASC 815, the warrants are expected to be equity-classified financial instruments. The amendments did not affect any terms of the warrants that are inputs into the estimation of the fair value of warrants under the Black-Scholes option pricing model, which the Company uses to estimate the fair value of warrants. As part of these amendments, the Company issued the warrant holder an additional warrant to purchase </w:t>
      </w:r>
      <w:bookmarkStart w:id="1950" w:name="xdx_907_eus-gaap--ClassOfWarrantOrRightN"/>
      <w:bookmarkEnd w:id="1950"/>
      <w:r>
        <w:rPr>
          <w:rFonts w:ascii="Times New Roman;Times;Serif" w:hAnsi="Times New Roman;Times;Serif"/>
          <w:b w:val="false"/>
          <w:i w:val="false"/>
          <w:caps w:val="false"/>
          <w:smallCaps w:val="false"/>
          <w:sz w:val="20"/>
        </w:rPr>
        <w:t>100,000 shares of Class A Common Stock on the same terms as the Inducement Warrant, including an exercise price of $</w:t>
      </w:r>
      <w:bookmarkStart w:id="1951" w:name="xdx_906_eus-gaap--ClassOfWarrantOrRightE"/>
      <w:bookmarkEnd w:id="1951"/>
      <w:r>
        <w:rPr>
          <w:rFonts w:ascii="Times New Roman;Times;Serif" w:hAnsi="Times New Roman;Times;Serif"/>
          <w:b w:val="false"/>
          <w:i w:val="false"/>
          <w:caps w:val="false"/>
          <w:smallCaps w:val="false"/>
          <w:sz w:val="20"/>
        </w:rPr>
        <w:t>10.80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of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2025, the Company executed exchange agreements with two vendors, pursuant to which the Company issued </w:t>
      </w:r>
      <w:bookmarkStart w:id="1952" w:name="xdx_90D_eus-gaap--StockIssuedDuringPerio"/>
      <w:bookmarkEnd w:id="1952"/>
      <w:r>
        <w:rPr>
          <w:rFonts w:ascii="Times New Roman;Times;Serif" w:hAnsi="Times New Roman;Times;Serif"/>
          <w:b w:val="false"/>
          <w:i w:val="false"/>
          <w:caps w:val="false"/>
          <w:smallCaps w:val="false"/>
          <w:sz w:val="20"/>
        </w:rPr>
        <w:t>47,795 shares of its Class A Common Stock in exchange for the cancellation of $</w:t>
      </w:r>
      <w:bookmarkStart w:id="1953" w:name="xdx_907_eus-gaap--StockIssuedDuringPerio"/>
      <w:bookmarkEnd w:id="1953"/>
      <w:r>
        <w:rPr>
          <w:rFonts w:ascii="Times New Roman;Times;Serif" w:hAnsi="Times New Roman;Times;Serif"/>
          <w:b w:val="false"/>
          <w:i w:val="false"/>
          <w:caps w:val="false"/>
          <w:smallCaps w:val="false"/>
          <w:sz w:val="20"/>
        </w:rPr>
        <w:t>405 of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Also in October 2025, the Company executed an exchange agreement with the holder of a note payable, pursuant to which the Company issued </w:t>
      </w:r>
      <w:bookmarkStart w:id="1954" w:name="xdx_905_eus-gaap--StockIssuedDuringPerio"/>
      <w:bookmarkEnd w:id="1954"/>
      <w:r>
        <w:rPr>
          <w:rFonts w:ascii="Times New Roman;Times;Serif" w:hAnsi="Times New Roman;Times;Serif"/>
          <w:b w:val="false"/>
          <w:i w:val="false"/>
          <w:caps w:val="false"/>
          <w:smallCaps w:val="false"/>
          <w:sz w:val="20"/>
        </w:rPr>
        <w:t>68,789 shares of its Class A Common Stock in exchange for the cancellation of the note payable and accrued interest of $</w:t>
      </w:r>
      <w:bookmarkStart w:id="1955" w:name="xdx_90A_eus-gaap--StockIssuedDuringPerio"/>
      <w:bookmarkEnd w:id="1955"/>
      <w:r>
        <w:rPr>
          <w:rFonts w:ascii="Times New Roman;Times;Serif" w:hAnsi="Times New Roman;Times;Serif"/>
          <w:b w:val="false"/>
          <w:i w:val="false"/>
          <w:caps w:val="false"/>
          <w:smallCaps w:val="false"/>
          <w:sz w:val="20"/>
        </w:rPr>
        <w:t>511.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amended a note payable with an unaffiliated investor to increase the borrowings thereunder, for net proceeds of $</w:t>
      </w:r>
      <w:bookmarkStart w:id="1956" w:name="xdx_90A_eus-gaap--ProceedsFromDebtNetOfI"/>
      <w:bookmarkEnd w:id="1956"/>
      <w:r>
        <w:rPr>
          <w:rFonts w:ascii="Times New Roman;Times;Serif" w:hAnsi="Times New Roman;Times;Serif"/>
          <w:b w:val="false"/>
          <w:i w:val="false"/>
          <w:caps w:val="false"/>
          <w:smallCaps w:val="false"/>
          <w:sz w:val="20"/>
        </w:rPr>
        <w:t>112. Amounts owed under this note are payable in weekly installments through May,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and December 2025, the Company entered into two amended agreements for the sale of future receipts, wherein the Company sold future receipts totaling $</w:t>
      </w:r>
      <w:bookmarkStart w:id="1957" w:name="xdx_909_eus-gaap--ProceedsFromOtherShort"/>
      <w:bookmarkStart w:id="1958" w:name="xdx_90D_eus-gaap--ProceedsFromOtherShort"/>
      <w:bookmarkEnd w:id="1957"/>
      <w:bookmarkEnd w:id="1958"/>
      <w:r>
        <w:rPr>
          <w:rFonts w:ascii="Times New Roman;Times;Serif" w:hAnsi="Times New Roman;Times;Serif"/>
          <w:b w:val="false"/>
          <w:i w:val="false"/>
          <w:caps w:val="false"/>
          <w:smallCaps w:val="false"/>
          <w:sz w:val="20"/>
        </w:rPr>
        <w:t>1,966 for net proceeds of $</w:t>
      </w:r>
      <w:bookmarkStart w:id="1959" w:name="xdx_903_eus-gaap--ProceedsFromBankDebt_p"/>
      <w:bookmarkStart w:id="1960" w:name="xdx_90E_eus-gaap--ProceedsFromBankDebt_p"/>
      <w:bookmarkEnd w:id="1959"/>
      <w:bookmarkEnd w:id="1960"/>
      <w:r>
        <w:rPr>
          <w:rFonts w:ascii="Times New Roman;Times;Serif" w:hAnsi="Times New Roman;Times;Serif"/>
          <w:b w:val="false"/>
          <w:i w:val="false"/>
          <w:caps w:val="false"/>
          <w:smallCaps w:val="false"/>
          <w:sz w:val="20"/>
        </w:rPr>
        <w:t>806. Amounts owed under these agreements are payable in weekly installments through 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Company issued a $</w:t>
      </w:r>
      <w:bookmarkStart w:id="1961" w:name="xdx_909_eus-gaap--NotesPayable_iI_pn3n3_"/>
      <w:bookmarkEnd w:id="1961"/>
      <w:r>
        <w:rPr>
          <w:rFonts w:ascii="Times New Roman;Times;Serif" w:hAnsi="Times New Roman;Times;Serif"/>
          <w:b w:val="false"/>
          <w:i w:val="false"/>
          <w:caps w:val="false"/>
          <w:smallCaps w:val="false"/>
          <w:sz w:val="20"/>
        </w:rPr>
        <w:t>1,100 promissory note for net proceeds of $</w:t>
      </w:r>
      <w:bookmarkStart w:id="1962" w:name="xdx_904_eus-gaap--ProceedsFromNotesPayab"/>
      <w:bookmarkEnd w:id="1962"/>
      <w:r>
        <w:rPr>
          <w:rFonts w:ascii="Times New Roman;Times;Serif" w:hAnsi="Times New Roman;Times;Serif"/>
          <w:b w:val="false"/>
          <w:i w:val="false"/>
          <w:caps w:val="false"/>
          <w:smallCaps w:val="false"/>
          <w:sz w:val="20"/>
        </w:rPr>
        <w:t>800. The $</w:t>
      </w:r>
      <w:bookmarkStart w:id="1963" w:name="xdx_90F_eus-gaap--DebtInstrumentFaceAmou"/>
      <w:bookmarkEnd w:id="1963"/>
      <w:r>
        <w:rPr>
          <w:rFonts w:ascii="Times New Roman;Times;Serif" w:hAnsi="Times New Roman;Times;Serif"/>
          <w:b w:val="false"/>
          <w:i w:val="false"/>
          <w:caps w:val="false"/>
          <w:smallCaps w:val="false"/>
          <w:sz w:val="20"/>
        </w:rPr>
        <w:t>1,100 principal amount of the promissory note will be payable, without interest, in June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6, 2026, the Company entered into certain securities purchase agreements with unrelated investors relating to a public offering of </w:t>
      </w:r>
      <w:bookmarkStart w:id="1964" w:name="xdx_902_eus-gaap--SaleOfStockNumberOfSha"/>
      <w:bookmarkEnd w:id="1964"/>
      <w:r>
        <w:rPr>
          <w:rFonts w:ascii="Times New Roman;Times;Serif" w:hAnsi="Times New Roman;Times;Serif"/>
          <w:b w:val="false"/>
          <w:i w:val="false"/>
          <w:caps w:val="false"/>
          <w:smallCaps w:val="false"/>
          <w:sz w:val="20"/>
        </w:rPr>
        <w:t>3,000,000 shares of its Class A Common Stock at a price to the public of $</w:t>
      </w:r>
      <w:bookmarkStart w:id="1965" w:name="xdx_90B_eus-gaap--SaleOfStockPricePerSha"/>
      <w:bookmarkEnd w:id="1965"/>
      <w:r>
        <w:rPr>
          <w:rFonts w:ascii="Times New Roman;Times;Serif" w:hAnsi="Times New Roman;Times;Serif"/>
          <w:b w:val="false"/>
          <w:i w:val="false"/>
          <w:caps w:val="false"/>
          <w:smallCaps w:val="false"/>
          <w:sz w:val="20"/>
        </w:rPr>
        <w:t>2.00 per share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In connection with the Offering, the Company entered into a placement agency agreement, pursuant to which the Company agreed to pay the placement agent a cash placement fee equal to 8.0% of the aggregate gross proceeds raised in the Offering. Subject to certain conditions, the Company also agreed to reimburse the placement agent up to 1.0% of the gross proceeds raised in the Offering for non-accountable expenses and up to $</w:t>
      </w:r>
      <w:bookmarkStart w:id="1966" w:name="xdx_90A_eus-gaap--LegalFees_pn3n3_c20260"/>
      <w:bookmarkEnd w:id="1966"/>
      <w:r>
        <w:rPr>
          <w:rFonts w:ascii="Times New Roman;Times;Serif" w:hAnsi="Times New Roman;Times;Serif"/>
          <w:b w:val="false"/>
          <w:i w:val="false"/>
          <w:caps w:val="false"/>
          <w:smallCaps w:val="false"/>
          <w:sz w:val="20"/>
        </w:rPr>
        <w:t>100 for fees and expenses of legal counsel and other out-of-pocket expenses. The Company also agreed to indemnify the placement agent against certain liabilities, including liabilities under the Securities Act of 1933, as amended, or to contribute to payments that the placement agent may be required to make in respect of those liabilities. The net proceeds to the Company from the Offering were approximately $</w:t>
      </w:r>
      <w:bookmarkStart w:id="1967" w:name="xdx_905_eus-gaap--ProceedsFromIssuanceIn"/>
      <w:bookmarkEnd w:id="1967"/>
      <w:r>
        <w:rPr>
          <w:rFonts w:ascii="Times New Roman;Times;Serif" w:hAnsi="Times New Roman;Times;Serif"/>
          <w:b w:val="false"/>
          <w:i w:val="false"/>
          <w:caps w:val="false"/>
          <w:smallCaps w:val="false"/>
          <w:sz w:val="20"/>
        </w:rPr>
        <w:t>5,135, after deducting placement agent fees and commissions and other estimated offering expenses payable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the Company’s board of directors approved a reverse stock split of its Class A common stock and Class B common stock at a ratio of 1-for-10 (the “Reverse Stock Split”). The Reverse Stock Split became effective at 4:00 p.m. Eastern Time on April 6, 2026, and the Company’s Class A common stock began trading on a post-split adjusted basis on April 7, 2026. The number of authorized shares and par value per share were not adjusted as a result of the Reverse Stock Split. All references to shares, options to purchase common stock, share amounts, per share amounts, and related information contained in the consolidated financial statements have been retrospectively adjusted to reflect the effect of the Reverse Stock Split for all periods presented.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As the Legacy Mobix shares converted on a one for one basis to Class A Common Stock of the Company during the Merger, the number of Chavant shares outstanding immediately prior to the Merger have also been recast such that the total shares of Class A Common Stock disclosed at the time of the Merger close reflects the impact of the Reverse Stock Split on a consistent basis. The number of warrants outstanding was not reduced as a result of the Reverse Stock Split. Rather, in accordance with the terms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consolidated financial statements. No fractional shares were issued in connection with the Reverse Stock Split, and cash was paid in lieu of fractional shares.</w:t>
      </w:r>
    </w:p>
    <w:p>
      <w:pPr>
        <w:pStyle w:val="TextBody"/>
        <w:bidi w:val="0"/>
        <w:spacing w:before="0" w:after="0"/>
        <w:ind w:left="0" w:right="0" w:hanging="0"/>
        <w:jc w:val="left"/>
        <w:rPr>
          <w:caps w:val="false"/>
          <w:smallCaps w:val="false"/>
        </w:rPr>
      </w:pPr>
      <w:bookmarkStart w:id="1968" w:name="xdx_81A_zLERKtUpCGm"/>
      <w:bookmarkEnd w:id="196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 — 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various expenses expected to be incurred in connection with the sale and distribution of the securities being registered hereby, other than underwriting discounts and commissions, all of which will be borne by the Company.</w:t>
      </w:r>
    </w:p>
    <w:p>
      <w:pPr>
        <w:pStyle w:val="TextBody"/>
        <w:bidi w:val="0"/>
        <w:spacing w:before="0" w:after="0"/>
        <w:ind w:left="0" w:right="0" w:firstLine="720"/>
        <w:jc w:val="left"/>
        <w:rPr>
          <w:caps w:val="false"/>
          <w:smallCaps w:val="false"/>
        </w:rPr>
      </w:pPr>
      <w:r>
        <w:rPr>
          <w:caps w:val="false"/>
          <w:smallCaps w:val="false"/>
        </w:rPr>
        <w:t> </w:t>
      </w:r>
    </w:p>
    <w:tbl>
      <w:tblPr>
        <w:tblW w:w="4355" w:type="dxa"/>
        <w:jc w:val="left"/>
        <w:tblInd w:w="0" w:type="dxa"/>
        <w:tblLayout w:type="fixed"/>
        <w:tblCellMar>
          <w:top w:w="0" w:type="dxa"/>
          <w:left w:w="0" w:type="dxa"/>
          <w:bottom w:w="0" w:type="dxa"/>
          <w:right w:w="0" w:type="dxa"/>
        </w:tblCellMar>
      </w:tblPr>
      <w:tblGrid>
        <w:gridCol w:w="2900"/>
        <w:gridCol w:w="60"/>
        <w:gridCol w:w="140"/>
        <w:gridCol w:w="1100"/>
        <w:gridCol w:w="155"/>
      </w:tblGrid>
      <w:tr>
        <w:trPr/>
        <w:tc>
          <w:tcPr>
            <w:tcW w:w="290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1,072.92</w:t>
            </w:r>
          </w:p>
        </w:tc>
        <w:tc>
          <w:tcPr>
            <w:tcW w:w="15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50,000.00</w:t>
            </w:r>
          </w:p>
        </w:tc>
        <w:tc>
          <w:tcPr>
            <w:tcW w:w="155" w:type="dxa"/>
            <w:tcBorders/>
            <w:shd w:fill="FFFFFF" w:val="clear"/>
            <w:vAlign w:val="center"/>
          </w:tcPr>
          <w:p>
            <w:pPr>
              <w:pStyle w:val="TableContents"/>
              <w:bidi w:val="0"/>
              <w:spacing w:before="0" w:after="283"/>
              <w:jc w:val="left"/>
              <w:rPr/>
            </w:pPr>
            <w:r>
              <w:rPr/>
              <w:t>*</w:t>
            </w:r>
          </w:p>
        </w:tc>
      </w:tr>
      <w:tr>
        <w:trPr/>
        <w:tc>
          <w:tcPr>
            <w:tcW w:w="290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50,000.00</w:t>
            </w:r>
          </w:p>
        </w:tc>
        <w:tc>
          <w:tcPr>
            <w:tcW w:w="155" w:type="dxa"/>
            <w:tcBorders/>
            <w:shd w:fill="CCEEFF" w:val="clear"/>
            <w:vAlign w:val="center"/>
          </w:tcPr>
          <w:p>
            <w:pPr>
              <w:pStyle w:val="TableContents"/>
              <w:bidi w:val="0"/>
              <w:spacing w:before="0" w:after="283"/>
              <w:jc w:val="left"/>
              <w:rPr/>
            </w:pPr>
            <w:r>
              <w:rPr/>
              <w:t>*</w:t>
            </w:r>
          </w:p>
        </w:tc>
      </w:tr>
      <w:tr>
        <w:trPr/>
        <w:tc>
          <w:tcPr>
            <w:tcW w:w="2900" w:type="dxa"/>
            <w:tcBorders/>
            <w:shd w:fill="FFFFFF" w:val="clear"/>
            <w:vAlign w:val="center"/>
          </w:tcPr>
          <w:p>
            <w:pPr>
              <w:pStyle w:val="TableContents"/>
              <w:bidi w:val="0"/>
              <w:spacing w:before="0" w:after="283"/>
              <w:jc w:val="left"/>
              <w:rPr/>
            </w:pPr>
            <w:r>
              <w:rPr/>
              <w:t>Miscellaneous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20,000.00</w:t>
            </w:r>
          </w:p>
        </w:tc>
        <w:tc>
          <w:tcPr>
            <w:tcW w:w="155" w:type="dxa"/>
            <w:tcBorders/>
            <w:shd w:fill="FFFFFF" w:val="clear"/>
            <w:vAlign w:val="center"/>
          </w:tcPr>
          <w:p>
            <w:pPr>
              <w:pStyle w:val="TableContents"/>
              <w:bidi w:val="0"/>
              <w:spacing w:before="0" w:after="283"/>
              <w:jc w:val="left"/>
              <w:rPr/>
            </w:pPr>
            <w:r>
              <w:rPr/>
              <w:t>*</w:t>
            </w:r>
          </w:p>
        </w:tc>
      </w:tr>
      <w:tr>
        <w:trPr/>
        <w:tc>
          <w:tcPr>
            <w:tcW w:w="2900" w:type="dxa"/>
            <w:tcBorders/>
            <w:shd w:fill="CCEEFF" w:val="clear"/>
            <w:vAlign w:val="center"/>
          </w:tcPr>
          <w:p>
            <w:pPr>
              <w:pStyle w:val="TableContents"/>
              <w:bidi w:val="0"/>
              <w:spacing w:before="0" w:after="283"/>
              <w:jc w:val="left"/>
              <w:rPr/>
            </w:pPr>
            <w:r>
              <w:rPr/>
              <w:t>Total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121,072.92</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140"/>
        <w:gridCol w:w="512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fees are estimates and accordingly are subject to change.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Charter limits the liability of our directors to the fullest extent permitted by the DGCL, and our Bylaws provide that we will indemnify them to the fullest extent permitted by such law. We have entered into and expect to continue to enter into agreements to indemnify our directors, executive officers and other employees as determined by our Board.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under the circumstances and to the extent provided for therein, from and against all losses, claims, damages, liabilities, joint or several, expenses (including legal fees and expenses), judgments, fines, penalties, interest, settlements or other amounts arising from any and all threatened, pending or completed claim, demand, action, suit or proceeding, whether civil, criminal, administrative or investigative, and whether formal or informal, and including appeals, in which he or she may be involved, or is threatened to be involved, as a party or otherwise, to the fullest extent permitted under the DGCL and the Bylaws. The indemnification agreements also require us, if so requested, to advance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list sets forth information as to all of our securities sold in the last three years that were not registered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Sage Hill PIPE Subscription Agreement and Sage Hill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the Company entered into a subscription agreement (the “Sage Hill PIPE Subscription Agreement”) with Sage Hill Investors, LLC (“Sage Hill”), pursuant to which Sage Hill agreed to purchase, in a private placement that closed substantially concurrently with the Closing, 150,000 shares of Class A Common Stock in cash at a price of $100.00 per share for an aggregate purchase price of $15,000,000, on the terms and subject to the conditions set forth in the Sage Hill PIPE Subscription Agreement. Pursuant to the Sage Hill Subscription Agreement, Chavant agreed to issue additional shares of Class A Common Stock to Sage Hill in the event that the volume weighted average price per share of the Class A Common Stock during the 30-day period (the “Adjustment Period”) commencing on the date that is 30 days after the date on which a resale registration statement is declared effective (the “Adjustment Period VWAP”) is less than $100.00 per share. In such case, Sage will be entitled to receive a number of shares of Class A Common Stock equal to the product of (x) the number of shares of Class A Common Stock issued to Sage Hill at the closing of the subscription and held by Sage Hill through the end of the Adjustment Period multiplied by (y) a fraction, (A) the numerator of which is $100.00 minus the Adjustment Period VWAP and (B) the denominator of which is the Adjustment Period VWAP (the “Make-Whole Shares”). In the event that the Adjustment Period VWAP is less than $70.00, the Adjustment Period VWAP will be deemed to be $70.00.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Sage Hill PIPE Subscription Agreement, Mobix Labs issued to Sage Hill a warrant to purchase 150,000 shares of Mobix Labs Stock at an exercise price of $0.10 per share, exercisable upon the closing of the Sage Hill PIPE Subscription Agreement and stockholder approval (the “Sage Hill Warrant”). Our stockholders approved the exercise of the Sage Hill Warrant at the special meeting held on January 3, 2025 and was exercised on February 25, 2025.</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Sponsor PIPE Subscription Agreement, Sponsor Warrant and Sponsor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2023, Chavant entered into the subscription agreement (the “Sponsor PIPE Subscription Agreement”) with the Sponsor pursuant to which the Sponsor agreed to purchase, in a private placement that closed substantially concurrently with the Closing, 19,973 shares of Class A Common Stock at a price of $100.00 per share for an aggregate purchase price of $1,997,370 paid through the forgiveness of the Forgiven Chavant Obligations (as defined below), on the terms and subject to the conditions set forth in the Sponsor PIPE Subscription Agreement and the Sponsor Letter Agreement described below. Pursuant to the Sponsor PIPE Subscription Agreement, Chavant agreed to issue additional shares of Class A Common Stock to the Sponsor or its permitted transferees in the event that the Adjustment Period VWAP during the Adjustment Period is less than $100.00 per share. In such case, the Sponsor or its permitted transferees will be entitled to receive a number of shares equal to the product of (x) the number of issued to the Sponsor at the closing of the subscription and held by the Sponsor or its permitted transferees through the end of the Adjustment Period multiplied by (y) a fraction, (A) the numerator of which is $100.00 minus the Adjustment Period VWAP and (B) the denominator of which is the Adjustment Period VWAP (the “Make-Whole Shares”). In the event that the Adjustment Period VWAP is less than $70.00, the Adjustment Period VWAP will be deemed to be $70.00.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Sponsor PIPE Subscription Agreement, Mobix Labs issued to the Sponsor a warrant to purchase 27,245 shares of Mobix Labs Stock at an exercise price of $0.10 per share, exercisable upon the closing of the Sponsor PIPE Subscription Agreement (the “Sponsor Warrant”). The Sponsor Warrant was exercised at the closing of the Sponsor PIPE Subscription Agreement and, following net settlement into 27,218 shares of Mobix Labs Stock, converted into 27,218 shares of Class A Common Stock of the Company in connection with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also entered into a Sponsor Letter Agreement with the Sponsor (the “Sponsor Letter Agreement”). Pursuant to the Sponsor Letter Agreement, as consideration for the 19,973 shares issued pursuant to the Sponsor PIPE Subscription Agreement, the Sponsor agreed to forgive, effective upon the Closing, approximately $1,997,370 of aggregate outstanding obligations of Chavant owed to the Sponsor, consisting of (i) $1,150,000 aggregate principal amount of working capital loans outstanding under Chavant’s convertible promissory notes issued to the Sponsor, (ii) $610,000 aggregate principal amount of working capital loans outstanding under Chavant’s non-convertible promissory notes issued to the Sponsor (the accrued interest under which was forgiven), (iii) an estimated additional $40,000 in aggregate principal amount of working capital loans incurred to pay additional expenses in connection with the Closing, (iv) approximately $165,000 of outstanding reimbursement obligations owed to the Sponsor by Chavant for administrative services, as described above under the heading “</w:t>
      </w:r>
      <w:r>
        <w:rPr>
          <w:rFonts w:ascii="Times New Roman;Times;Serif" w:hAnsi="Times New Roman;Times;Serif"/>
          <w:b w:val="false"/>
          <w:i/>
          <w:caps w:val="false"/>
          <w:smallCaps w:val="false"/>
          <w:sz w:val="20"/>
        </w:rPr>
        <w:t>Certain Chavant Relationships and Related Person Transactions - Administrative Services</w:t>
      </w:r>
      <w:r>
        <w:rPr>
          <w:rFonts w:ascii="Times New Roman;Times;Serif" w:hAnsi="Times New Roman;Times;Serif"/>
          <w:b w:val="false"/>
          <w:i w:val="false"/>
          <w:caps w:val="false"/>
          <w:smallCaps w:val="false"/>
          <w:sz w:val="20"/>
        </w:rPr>
        <w:t>” and (v) approximately $32,370 of reimbursement obligations owed to Dr. Jiong Ma, the Chief Executive Officer of Chavant, by Chavant for certain operating expenses of Chavant paid by Dr. Ma (collectively, the “Forgiven Chavant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Sponsor Letter Agreement, the Sponsor agreed to forfeit (1) 65,863 Founder Shares that it held (“Sponsor Forfeited Founder Shares”) and (2) 40,000 Private Placement Warrants that it held (“Sponsor Forfeited Private Placement Warrants”), in each case upon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forfeiture of the Sponsor Forfeited Founder Shares reduced the number of Founder Shares held by the Sponsor, which are subject to the lock-up agreement applicable to the Founder Equityholders as set forth in the Amended and Restated Registration Rights and Lock-Up Agreement (the “Founder Share Lock-Up”), to 92,218 Founder Shares. The Sponsor has distributed these Founder Shares to its members, subject to the Founder Share Lock-Up. In such distributions, (1) Chavant Family Office, a controlled affiliate of Dr. Ma, received 72,460 representing Founder Shares, and (2) STAR SCI, a controlled affiliate of Dr. André-Jacques Auberton-Hervé, Chavant’s Chairman, received 19,758 representing Founder Shares. The forfeiture of the Sponsor Forfeited Private Placement Warrants reduced the number of Private Placement Warrants held by the Sponsor to 239,433 Private Placement Warrants. None of the Private Placement Warrants are subject to the Founder Share Lock-Up, and the Sponsor distributed these Private Placement Warrants to its members following the Closing. In such distribution, (i) Chavant Family Office, a controlled affiliate of Dr. Ma, received 124,155 Private Placement Warrants, and (ii) STAR SCI, a controlled affiliate of Dr. Auberton-Hervé, received 35,832 Private Placement Warrants. In addition, the shares of Class A Common Stock the Sponsor received upon the Closing pursuant to the Sponsor PIPE Subscription Agreement and the conversion of the Sponsor Warrant, as described above, are not subject to the Founder Share Lock-Up. The Sponsor distributed these PIPE Shares to its members in April 2024. In such distribution, (1) Chavant Family Office, a controlled affiliate of Dr. Ma, is expected to receive approximately 7,139 shares of Class A Common Stock (reflecting $140,000 of non-convertible debt that Dr. Ma had funded to the Sponsor in respect of working capital loans to Chavant, Dr. Ma’s pro rata share in the amount of approximately $130,000 of the outstanding reimbursement obligations owed to the Sponsor for administrative services, and the outstanding reimbursement obligations of $32,370 owed to Dr. Ma, as described above, each forgiven pursuant to the Sponsor Letter Agreement) and (2) STAR SCI, a controlled affiliate of Dr. Auberton-Hervé, is expected to receive approximately 34,338 shares of Class A Common Stock (reflecting $1.4 million of convertible and non-convertible debt that Dr. Auberton-Hervé had funded to the Sponsor in respect of working capital loans to Chavant and Dr. Auberton-Hervé’s pro rata share of the outstanding reimbursement obligations owed to the Sponsor for administrative services, each forgiven pursuant to the Sponsor Letter Agreement).</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PIPE Subscription Agreements and Additional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21, 2023, Chavant had entered into additional subscription agreements (the “Additional PIPE Subscription Agreements and, together with the Sage Hill PIPE Subscription Agreement and the Sponsor PIPE Subscription Agreement, the “PIPE Subscription Agreements”) with other investors (the “Other Investors”), pursuant to which the Other Investors agreed to purchase, in private placements that closed substantially concurrently with the Closing, a total of 47,500 shares of Class A Common Stock in cash at a price of $100.00 per share for an aggregate purchase price of $4,750,000, on the terms and subject to the conditions set forth in each such Additional PIPE Subscription Agreement. The terms of each Additional PIPE Subscription Agreement (other than the purchase amount) are substantially similar to those in the subscription agreement entered into between Chavant and Sage Hill and the Sponsor, including those relating to issuance of additional shares of Class A Common Stock in the event that the Adjustment Period VWAP is less than $100.00, as discussed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Additional PIPE Subscription Agreements, Mobix Labs issued to the Other Investors warrants to purchase 45,000 shares of Mobix Labs Stock at an exercise price of $0.10 per share (the “Additional Warrants”), of which Additional Warrants convertible into 19,980 shares of Class A Common Stock (following net settlement) were exercisable upon the closing of the Additional PIPE Subscription Agreements (the “Converted Additional Warrants”) and Additional Warrants convertible into 25,000 shares of Class A Common Stock are exercisable upon the closing of the Additional PIPE Subscription Agreements and stockholder approval (the “Non-Converted Additional Warrants”; the shares of Class A Common Stock underlying the Non-Converted Additional Warrants and the Sage Hill Warrant, the “Unregistered Warrant Shares”). The Converted Additional Warrants were exercised at the closing of the Additional PIPE Subscription Agreements and, following net settlement into 19,980 shares of Mobix Common Stock, converted into 19,980 shares of Class A Common Stock in connection with the Closing. The Non-Converted Warrants remain outstanding, and stockholder approval for the exercise of the Non-Converted Warrants is expected to be obtained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or will issue, the foregoing securities under Section 4(a)(2) of the Securities Act of 1933, as amended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the Company’s transfer agent). The parties also had adequate access, through business or other relationships, to information about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Under the Committed Equity Facility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we entered into the B. Riley Purchase Agreement with B. Riley Principal Capital, pursuant to which we have the right to sell to B. Riley Principal Capital up to $100 million in shares of Class A Common Stock, subject to certain limitations and the satisfaction of specified conditions in the B. Riley Purchase Agreement, from time to time over the 24-month period commencing on the date that a registration statement covering the resale of the shares is declared effective by the SEC. Such registration statement, which registered 950,000 shares of Class A Common Stock, became effective on May 13, 2024. As of the date of this prospectus, we sold 3,636 shares of our Class A Common Stock to B. Riley Principal Capital for proceeds of $73, net of discounts. We intend to use the net proceeds for general corporate purposes, including funding capital expenditures, future acquisitions and working capital. The issuance of the shares was deemed to be exempt from registration under the Securities Act, in reliance on Section 4(a)(2) of the Securities Act as transactions by an issuer not involving a public offering.</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RaGE Systems Inc.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we consummated the transactions pursuant to the RaGE Business Combination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RaGE Business Combination Agreement, we issued 321,404 shares of Class A Common Stock to the RaGE Systems stockholders. In addition, RaGE Systems stockholders will be paid an aggregate cash amount of $2.0 million as follows: (a) $0.2 million was paid on May 21, 2024; (b) $1.0 million will be paid on November 15, 2024 and (c) $0.8 million will be paid on April 15, 2025. Moreover, subject to achievement of certain milestones, the RaGE Systems stockholders will also be entitled to receive the RaGE EarnOut of up to $8.0 million over eight fiscal quarters in a combination of cash and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we issued 464,952 earnout shares shares in connection with our acquisition of RaGE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Shares will be issued pursuant to and in accordance with the exemption from registration under the Securities Act of 1933, as amended, provided by Section 4(a)(2) thereof as a transaction by an issuer not involving any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Shares under Confidential Settlement and Release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2024, we entered into a Confidential Settlement and Release Agreement pursuant to which we issued 2,499 shares of Class A Common Stock to a former employee.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Shares were issued pursuant to and in accordance with the exemption from registration under the Securities Act of 1933, as amended, provided by Section 4(a)(2) thereof as a transaction by an issuer not involving any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Shares under the July 2024 Purchase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2024, we entered into the July 2024 Purchase Agreement with Master Fund in connection with the 2024 Private Placement. Pursuant to the July 2024 Purchase Agreement, we issued the Pre-Funded Warrant to purchase up to 287,769 shares of Class A Common Stock. We also issued the Existing Warrants to purchase an aggregate of 575,539 shares of our Class A Common Stock. In August 2024, the Master Fund exercised the Pre-Funded Warrant in full and hence has now expired. The Existing Warrants had an original exercise price of $13.90 per share, which was amended in the 2025 Offering to have a new exercise price of $8.20. The Existing Warrants are exercisable beginning on the effective date of stockholder approval of the issuance of the shares of Class A Common Stock issuable upon exercise of the Existing Warrants. The gross proceeds in connection with the 2024 Private Placement was approximately $4 million. The Pre-Funded Warrants and the Existing Warrants and the shares of Class A Common Stock issuable thereunder were issued in reliance upon the exemption from the registration requirements in Section 4(a)(2) of the Securities Act, and Regulation D promulgated thereunder and HCW acted as the exclusive placement agent for the Company in connection with the 2024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Shares under the Stock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30, 2024, we entered into a Stock Purchase Agreement with an unaffiliated investor, pursuant to which we sold 37,641 share of our Class A Common Stock and issued the investor a warrant to purchase up to 40,700 shares of our Class A Common Stock. The warrant has an exercise price of $11.80, is immediately exercisable upon issuance, and has a five year term. The gross proceeds in connection with this Stock Purchase Agreement were $192. The shares of our Class A Common Stock, the warrants and the shares of Class A Common Stock issuable thereunder were issued in reliance upon the exemption from the registration requirements in Section 4(a)(2) of the Securities Act, and Regulation D promulgated thereunder.</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settlement of litigation, on October 11, 2024, we agreed to issue a warrant to purchase 25,000 shares of Class A Common Stock to a former employee. Such warrants have an exercise price of $0.10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25, 2024 and December 20, 2024, we agreed that two outstanding notes payable with an aggregate principal balance of $500,000, plus accrued interest of $45,896, would be converted into an aggregate of 631,805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2024, we agreed to issue 4,000 shares of Class A Common Stock to two of our vendors in exchange for services rendered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26, 2024, we agreed to sell 52,173 shares of Class A Common Stock to an accredited investor for an aggregate of $600,000.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2025, we issued 24,818 shares of Class A Common Stock to one of the holders of our outstanding warrants upon that holder’s exercise pursuant to a cashless exercise provision. The warrant had an exercise price of $0.10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2025, we issued 56,310 shares of Class A Common Stock to RaGE Systems stockholders under the first tranche of the RaGE Earnout.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we issued 1,000 shares of Class A Common Stock upon the vesting of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2025, we issued 150,000 shares of Class A Common Stock to one of the holders of our outstanding warrants upon the exercise of warrant for cash of $15,000.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issued an aggregate of 61,058 shares of Class A Common Stock, with (i) 7,723 shares issued on January 25, 2025, (ii) 3,335 shares issued on March 17, 2025, and (iii) 50,000 shares issued on March 21, 2025, to three of our vendors in settlement of unpaid accounts payable of $700,000.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of shares under the April 2025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concurrent with the Registered Direct Offering, the Company conducted a private placement and offered unregistered Common Warrants to purchase up to 487,686 shares of Company’s Class A Common Stock. Roth acted as the exclusive placement agent for the Company in connection with the 2025 Offering. Furthermore, the Company agreed to issue Placement Agent Warrants to Roth (or its designees) to purchase up to 68,276 shares of Class A Common Stock at an exercise price of $8.20. The Placement Agent Warrants issued to Roth are exercisable upon receipt of stockholder approval, will expire on April 4, 2030, and are not transferable for 180 days beginning April 4, 2025 (the date of entering into the April 2025 Purchase Agreement). The net proceeds from the 2025 Offering were $3.2 million, after payment of Roth’s fees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and Placement Agent Warrants issued to Roth and the shares of Class A Common Stock issuable thereunder were issued in reliance upon the exemption from the registration requirements provided in Section 4(a)(2) under the Securities Act and Rule 506(b)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April 2025 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we issued 29,700 shares of Class A Common Stock to one of the holders of our outstanding warrants upon that holder’s exercise pursuant to a cashless exercise provision. The warrant had an exercise price of $0.10 per share. No underwriting discounts and commissions were paid with respect to the foregoing transaction. We believe the sales and issuances of the above securities were exempt from registration under the Securities Act by virtue of Section 3(a)(9) of the Securities Act because the warrants were exercised pursuant to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April 2025 Debt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2025, we issued 16,687 shares of Class A Common Stock to one of our creditors in exchange for satisfaction of the Company’s debt owed to such creditor in the amount of $115,500. On May 9, 2025, we issued 7,970 shares of Class A Common Stock to RaGE Systems stockholders as partial settlement of liability under the RaGE Earnout.</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underwriting discounts and commissions were paid with respect to the foregoing transactions. We believe the sales and issuances of the above securities were exempt from registration under the Securities Act by virtue of Section 4(a)(2) of the Securities Act or Regulation D promulgated thereunder because the issuance of securities to the recipients did not involve a public offering, or in reliance on Rule 701 because the transactions were pursuant to compensatory benefit plans or contracts relating to compensation as provided under such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 Half of 2025 Financings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2025, we entered into a Securities Purchase Agreement with Lendspark Corporation, pursuant to which it issued a secured promissory note (the “Lendspark Note”) in the principal amount of $550,000. The Note bears a fixed annual interest rate and matures 12 months from issuance. As part of the financing, the Company issued 15,000 shares of Class A Common Stock as commitment shares, granted customary registration rights, and provided a first-priority security interest in substantially all of our assets, subject to permitted liens. The Note is convertible at the option of Lendspark, into up to 250,000 shares of our Class A Common Stock at a fixed conversion price of $7.00 per share. In addition, the Note contains “make-whole” provisions that require us to issue a limited number of additional shares or make cash payments under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2025, we also entered into a Business Loan and Security Agreement with Maximcash Solutions LLC (“Maxim”), pursuant to which the Company received $600,000 of loan proceeds secured by all of our assets. In connection with this financing, we issued 19,375 shares of Class A Common Stock as commitment shares and issued 150,000 shares of Class A Common Stock to Maxim which were pledged as additional collateral, which may only be utilized by Maxim in the event of default. Maxim was also granted customary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August 15, 2025, we entered into a Stock Purchase Agreement with an accredited investor for the sale of 105,272 shares of Class A Common Stock at a price of $9.50 per share, resulting in gross proceeds of approximately $1.0 million. The investor also received a warrant to purchase 50,004 shares of Class A Common Stock at $9.60 per share, which is exercisable for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we entered into the Inducement Letter with a warrant holder pursuant to which the holder agreed to exercise for cash previously issued warrants to purchase up to 548,646 shares of our common stock at a price of $8.20 per share, resulting in gross proceeds of approximately $4.5 million. In consideration for the exercise, the holder received inducement warrants to purchase up to 822,970 shares of our common stock at $10.80 per share, which are exercisable for five years following stockholder approval. Roth Capital Partners acted as our financial advisor and received a cash placement fee equal to 7.0% of the gross proceeds, as well as warrants to purchase up to 38,405 shares of our common stock at $10.80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October 24, 2025, we issued an additional warrant to purchase 100,000 shares of Class A Common Stock to the Master Fund as consideration for revising certain terms of the Armistice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October 15, 2025 through October 23, 2025, we issued an aggregate of 116,284 shares of Class A Common Stock to three of our creditors in exchange for satisfaction of the Company’s debt owed to such creditors in the aggregate amount of $916 thousand.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we issued 35,000 shares of Class A Common Stock to an accredited investor in exchange for advisory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December 15, 2025, we issued 2,500 shares of Class A Common Stock in connection with the settlement of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issued an aggregate of 206,876 shares of Class A Common Stock to three of our creditors in exchange for satisfaction of the Company’s debt owed to such creditors in the aggregate amount of $3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23, 2026 and March 16, 2026, we entered into two securities purchase agreements providing for the issuance of convertible notes. The agreements were entered into on February 23, 2026 and March 16, 2026, respectively, and provided for bridge promissory notes with an aggregate principal amount of $554 thousand, aggregate original issue discount of $72 thousand, aggregate purchase price of $482 thousand, and one-time interest charges of 12%. These bridge notes mature on December 30, 2026 and January 15, 2027, respectively, and require aggregate scheduled payments of $621 thousand. The promissory notes are convertible into shares of our Class A Common Stock at the election of the holder at a conversion price equal to 75% multiplied by the lowest trading price of the Class A Common Stock during the 10 trading days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we entered into a securities purchase agreement (the “Securities Purchase Agreement”) with Leviston Resources, LLC (“Leviston”), pursuant to which we agreed to issue a convertible promissory note (the “Promissory Note”). The $3 million principal amount of the Promissory Note will be payable with interest in July 2026. We intend to use the net proceeds from the sale of the Promissory Note for working capital and general corporate purposes. The Promissory Note bears an interest rate of 10% per annum. </w:t>
      </w:r>
      <w:r>
        <w:rPr>
          <w:rFonts w:ascii="Times New Roman;Times;Serif" w:hAnsi="Times New Roman;Times;Serif"/>
          <w:b w:val="false"/>
          <w:i w:val="false"/>
          <w:caps w:val="false"/>
          <w:smallCaps w:val="false"/>
          <w:sz w:val="20"/>
          <w:shd w:fill="FFFFFF" w:val="clear"/>
        </w:rPr>
        <w:t xml:space="preserve">The Promissory Note is convertible into shares of our Class A Common Stock at the election of Leviston at a Conversion Price that is the lesser of (i) the closing price on March 31, 2026, which was $3.34 and (ii) 85% of the lowest 8-day VWAP immediately prior to and including the date of the notice of conversion.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we agreed to issue 488,506 shares of Class A Common Stock to Rocket in exchange for satisfaction of a portion of the debt owed to them in the amount of $850 thousand. On June 8, 2026 we agreed to issue 344,431 shares to Rocket in satisfaction of the remaining debt owed to them in the amount of $779 thousand.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we entered into a final exchange and release agreement with Fuji West Funding, LLC, pursuant to which issued 375,005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we entered into the Investor Rights Agreement (the “Investor Rights Agreement”) that grants Leviston the right, but not the obligation, to acquire, over a seven-month period, additional secured convertible notes of up to $4 million in aggregate principal amount on terms substantially similar to the Promissory Note and secured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basis.</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May 12, 2026 and May 18, 2026, Leviston converted the entire $4,000 of outstanding principal under the Promissory Note, as amended, together with all accrued interest thereon, into an aggregate of 2,500,000 shares of Class A Common Stock, satisfying the Promissory Note in full. The issuance of the shares of Class A Common Stock was exempt from registration under Section 3(a)(9) of the Securities Act. Any shares issuable pursuant to the Investor Rights Agreement upon conversion of additional secured convertible notes will be effected in reliance upon Section 3(a)(9) of the Securities Act.</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we entered into an amendment to the Investor Rights Agreement, pursuant to which we issued an additional senior secured convertible promissory note with a principal amount of $2.8 million in favor of Leviston. Any shares issuable upon conversion of the additional secured convertible note will be effected in reliance upon Section 3(a)(9) of the Securities Act.</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a Securities Purchase Agreement with Kips (the “May 2026 Purchase Agreement”), pursuant to which we agreed to sell to Kips (i) 2,000 shares of Series A Preferred Stock for aggregate gross proceeds of $2,400 and (ii) the Preferred Warrant to purchase up to an additional 6,000 Preferred Shares at an exercise price of $1,000.00 per share. Dividends are payable in cash, or at our option, in additional shares of Series A Preferred Stock. The Preferred Shares are convertible into shares of our Class A Common Stock at a conversion price equal to 82% of the lowest 8-day VWAP of the Class A Common Stock, immediately prior to and including the conversion date, subject to adjustments provided in the Certificate of Designation of Preferences, Rights and Limitations of Series A 10% Convertible Preferred Stock, including for stock dividends, stock splits, subsequent equity sales and similar events. The Preferred Warrant is exercisable beginning May 19, 2026 and expires no later than twelve months thereafter. In connection with the transaction, on May 19, 2026, we also entered into a registration rights agreement, as amended on June 18, 2026, with Kips (the “May 2026 Registration Rights Agreement”) pursuant to which we agreed to register the resale of shares of Class A Common Stock issuable upon conversion of the Preferred Shares. We agreed to issue $600,000 of shares of Class A Common Stock (or 294,117 shares) to Kips as consideration for extending the filing deadlines in the May 2026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underwriting discounts and commissions were paid with respect to the foregoing transactions. We believe the sales and issuances of the above securities were exempt from registration under the Securities Act by virtue of Section 4(a)(2) of the Securities Act or Regulation D promulgated thereunder because the issuance of securities to the recipients did not involve a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of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we entered into a settlement agreement and mutual release pursuant to which we issued 49,702 shares to Green Flash Media LLC and 21,565 shares to Wolff Moscaro LLP in connection with the settlement of litigation.</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filed as part of this registration statement are listed in the index to the financial statements immediately preceding such financial statements, which index to the financial statements is incorporated herein by reference.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"https://www.sec.gov/Archives/edgar/data/1855467/000110465923116469/clay-20230630xs4a.htm" \l "AnnexA1_255698"</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Business Combination Agreement, dated as of November 15, 2022, by and among Chavant, Merger Sub and Mobix Labs, Inc. (included as Annex A-1 to the proxy statement/prospectus, which is a part of the Company’s Registration Statement on Form S-4 filed on November 13, 2023, and incorporated herein by reference).</w:t>
            </w:r>
            <w:r>
              <w:rPr>
                <w:rStyle w:val="InternetLink"/>
                <w:smallCaps w:val="false"/>
                <w:caps w:val="false"/>
                <w:sz w:val="20"/>
                <w:i w:val="false"/>
                <w:b w:val="false"/>
                <w:rFonts w:ascii="Times New Roman;Times;Serif" w:hAnsi="Times New Roman;Times;Serif"/>
              </w:rPr>
              <w:fldChar w:fldCharType="end"/>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"https://www.sec.gov/Archives/edgar/data/1855467/000110465923116469/clay-20230630xs4a.htm" \l "AnnexA2_688945"</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Amendment No. 1 to the Business Combination Agreement, dated as of April 7, 2023, by and among Chavant, Merger Sub and Mobix Labs, Inc. (included as Annex A-2 to the proxy statement/prospectus, which is a part of the Company’s Registration Statement on Form S-4 filed on November 13, 2023, and incorporated herein by reference).</w:t>
            </w:r>
            <w:r>
              <w:rPr>
                <w:rStyle w:val="InternetLink"/>
                <w:smallCaps w:val="false"/>
                <w:caps w:val="false"/>
                <w:sz w:val="20"/>
                <w:i w:val="false"/>
                <w:b w:val="false"/>
                <w:rFonts w:ascii="Times New Roman;Times;Serif" w:hAnsi="Times New Roman;Times;Serif"/>
              </w:rPr>
              <w:fldChar w:fldCharType="end"/>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Amendment No. 2 to the Business Combination Agreement, dated as of November 26, 2023, by and among Chavant, Merger Sub and Mobix Labs, Inc. (incorporated by reference to Exhibit 2.1 to Chavant’s Current Report on Form 8-K filed on November 30, 2023).</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Amendment No. 3 to the Business Combination Agreement, dated as of February 12, 2024, by and among Mobix Labs, Inc. and Mobix Labs Operations, Inc. (incorporated by reference to Exhibit 2.4 to the Registrant’s Registration Statement on Form S-1 (File No. 333.278451), filed with the SEC on April 2, 2024).</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Agreement and Plan of Merger, dated as of September 26, 2022, by and among Mobix Labs, Inc., Mobix Merger Sub I, Inc., Mobix Merger Sub II, LLC, EMI Solutions, Inc., Yden Holdings, LLC, Robert Ydens and Julie Ydens (incorporated by reference to Exhibit 2.4 to Mobix Labs, Inc.’s Current Report on Form 8-K filed on December 28, 2023).</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Amendment No. 1 to the Agreement and Plan of Merger, dated as of November 28, 2023, by and among Mobix Labs, Inc., Mobix Merger Sub I, Inc., Mobix Merger Sub II, LLC, EMI Solutions, Inc., Yden Holdings, LLC, Robert Ydens and Julie Ydens (incorporated by reference to Exhibit 2.5 to Mobix Labs, Inc.’s Current Report on Form 8-K filed on December 28, 2023).</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Certificate of Incorporation of the Company (incorporated by reference to Exhibit 3.1 to Mobix Labs, Inc.’s Current Report on Form 8-K filed on December 28, 2023).</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Amendment of Certificate of Incorporation (incorporated by reference to Exhibit 3.2 of the Registrant’s Registration Statement on Form S-1 (File No. 333-278451), filed with the SEC on April 2, 2024).</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Bylaws of Mobix Labs, Inc. (incorporated by reference to Exhibit 3.2 to Mobix Labs, Inc.’s Current Report on Form 8-K filed on December 28, 2023).</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Specimen Class A Common Stock Certificate (incorporated by reference to Exhibit 4.1 to Mobix Labs, Inc.’s Current Report on Form 8-K filed on December 28, 2023).</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Specimen Warrant Certificate (incorporated by reference to Exhibit 4.2 to Mobix Labs, Inc.’s Current Report on Form 8-K filed on December 28, 2023).</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Warrant Agreement, dated July 19, 2021, by and between Chavant and Continental Stock Transfer &amp; Trust Company, as warrant agent (incorporated by reference to Exhibit 4.1 to Chavant’s Current Report on Form 8-K filed on July 23, 2021).</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Amendment to the Warrant Agreement, dated December 21, 2023, by and between Chavant and Continental Stock Transfer &amp; Trust Company, as warrant agent (incorporated by reference to Exhibit 4.4 to Mobix Labs, Inc.’s Current Report on Form 8-K filed on December 28, 2023).</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Form of Pre-Funded Warrant, dated July 24, 2024 (incorporated by reference to Exhibit 4.1 to Mobix Labs, Inc.’s Current Report on Form 8-K filed on July 24, 2024).</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Placement Agent Warrant, dated July 24, 2024 (incorporated by reference to Exhibit 4.4 to Mobix Labs, Inc.’s Current Report on Form 8-K filed on July 24, 2024).</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Pre-Funded Warrant, dated April 7, 2025 (incorporated by reference to Exhibit 4.2 to Mobix Labs, Inc.’s Current Report on Form 8-K filed on April 7, 2025).</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Placement Agent Warrant, dated April 7, 2025 (incorporated by reference to Exhibit 4.3 to Mobix Labs, Inc.’s Current Report on Form 8-K filed on April 7, 2025).</w:t>
              </w:r>
            </w:hyperlink>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2"/>
        <w:gridCol w:w="60"/>
        <w:gridCol w:w="9613"/>
      </w:tblGrid>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Form of Placement Agent Warrant (incorporated by reference to Exhibit 4.3 to Mobix Labs, Inc.’s Current Report on Form 8-K filed on September 4, 2025).</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Form of Accredited Investor Warrant (incorporated by reference to Exhibit 4.15 to the Registrant’s Amendment No. 1 to the Registrant’s Registration Statement on Form S-1 (File No. 333-287493), filed with the SEC on October 14, 2025).</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Form of Amended and Restated Series A Warrant (incorporated by reference to Exhibit 4.1 to Mobix Labs, Inc.’s Current Report on Form 8-K filed on October 30, 2025).</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Form of Amended and Restated Series B Warrant (incorporated by reference to Exhibit 4.2 to Mobix Labs, Inc.’s Current Report on Form 8-K filed on October 30, 2025).</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Form of Amended and Restated Common Warrant (incorporated by reference to Exhibit 4.13 to Mobix Labs, Inc.’s Annual Report on Form 10-K filed on January 13, 2026).</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Form of Amended and Restated Inducement Warrant (incorporated by reference to Exhibit 4.4 to Mobix Labs, Inc.’s Current Report on Form 8-K filed on October 30, 2025).</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Form of Warrant (incorporated by reference to Exhibit 4.5 to Mobix Labs, Inc.’s Current Report on Form 8-K filed on October 30, 2025).</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Description of Securities (incorporated by reference to Exhibit 4.9 to Mobix Labs, Inc.’s Annual Report on Form 10-K filed on December 26, 2024).</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Senior Secured Convertible Promissory Note in favor of Leviston Resources, LLC dated as of March 31, 2026 (incorporated by reference to Exhibit 4.17 to the Registrant’s Registration Statement on Form S-1 (File No. 333-295357), filed with the SEC on April 27, 2026).</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First Amendment to Securities Purchase Agreement and Senior Secured Convertible Promissory Note in favor of Leviston Resources, LLC dated as of May 13, 2026 (incorporated by reference to Exhibit 4.2 of Mobix Labs, Inc.’s Quarterly Report on Form 10-Q filed on May 20, 2026).</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Preferred Stock Purchase Warrant, dated May 19, 2026, in favor of Kips Bay Select, LP (incorporated by reference to Exhibit 4.3 of Mobix Labs, Inc.’s Quarterly Report on Form 10-Q filed on May 20, 2026).</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Certificate of Designation of Series A 10% Convertible Preferred Stock.</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Senior Secured Convertible Promissory Note in favor of Leviston Resources, LLC dated as of June 22, 2026 (incorporated by reference to Exhibit 4.1 of Mobix Labs, Inc.’s Current Report on Form 8-K filed on June 26, 2026).</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Opinion of Greenberg Traurig, P.A. as to the validity of shares of Mobix Labs, Inc. Class A Common Stock.</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Letter Agreement, dated July 19, 2021, by and among Chavant, its executive officers, its directors, Roth Capital Partners, LLC, Craig-Hallum Capital Group LLC and their respective permitted designees and Chavant Capital Partners LLC (incorporated by reference to Exhibit 10.1 to Chavant’s Current Report on Form 8-K filed on July 23, 2021).</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Amended and Restated Registration Rights and Lock-Up Agreement, dated December 21, 2023, by and among Mobix Labs, Inc. and the other parties thereto (incorporated by reference to Exhibit 10.2 to Mobix Labs, Inc.’s Current Report on Form 8-K filed on December 28, 2023).</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of Indemnification Agreement (incorporated by reference to Exhibit 10.3 to Mobix Labs, Inc.’s Current Report on Form 8-K filed on December 28, 2023).</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Mobix Labs, Inc. 2023 Equity Incentive Plan (incorporated by reference to Exhibit 10.4 to Mobix Labs, Inc.’s Current Report on Form 8-K filed on December 28, 2023).</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Mobix Labs, Inc. 2023 Employee Stock Purchase Plan (incorporated by reference to Exhibit 10.5 to Mobix Labs, Inc.’s Current Report on Form 8-K filed on December 28, 2023).</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Amended and Restated Executive Employment Agreement between Fabrizio Battaglia and Mobix Labs, Inc. (included as Exhibit 10.14 to the proxy statement/prospectus, which is a part of the Company’s Registration Statement on Form S-4 filed on November 13, 2023, and incorporated herein by reference).</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Amended and Restated Executive Employment Term Sheet between Fabrizio Battaglia and Mobix Labs, Inc. (included as Exhibit 10.15 to the proxy statement/prospectus, which is a part of the Company’s Registration Statement on Form S-4 filed on November 13, 2023, and incorporated herein by reference).</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Amended and Restated Executive Employment Agreement between Keyvan Samini and Mobix Labs, Inc. (included as Exhibit 10.16 to the proxy statement/prospectus, which is a part of the Company’s Registration Statement on Form S-4 filed on November 13, 2023, and incorporated herein by reference).</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Amended and Restated Executive Employment Term Sheet between Keyvan Samini and Mobix Labs, Inc. (included as Exhibit 10.17 to the proxy statement/prospectus, which is a part of the Company’s Registration Statement on Form S-4 filed on November 13, 2023, and incorporated herein by reference).</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Employment Agreement between James Aralis and Mobix Labs, Inc. (included as Exhibit 10.18 to the proxy statement/prospectus, which is a part of the Company’s Registration Statement on Form S-4 filed on November 13, 2023, and incorporated herein by reference).</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Form of Cancellation and Termination Agreement between Mobix Labs, Inc. and certain RSU holders (included as Exhibit 10.20 to the proxy statement/prospectus, which is a part of the Company’s Registration Statement on Form S-4 filed on November 13, 2023, and incorporated herein by reference).</w:t>
              </w:r>
            </w:hyperlink>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4"/>
        <w:gridCol w:w="60"/>
        <w:gridCol w:w="9611"/>
      </w:tblGrid>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Board of Directors Agreement, dated March 12, 2021, between Mobix Labs, Inc. and Kurt Busch (included as Exhibit 10.21 to the proxy statement/prospectus, which is a part of the Company’s Registration Statement on Form S-4 filed on November 13, 2023, and incorporated herein by reference).</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Board of Directors Agreement, dated March 12, 2021, between Mobix Labs, Inc. and William Carpou (included as Exhibit 10.22 to the proxy statement/prospectus, which is a part of the Company’s Registration Statement on Form S-4 filed on November 13, 2023, and incorporated herein by reference).</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Board of Directors Agreement, dated March 2, 2021, between Mobix Labs, Inc. and David Aldrich (included as Exhibit 10.23 to the proxy statement/prospectus, which is a part of the Company’s Registration Statement on Form S-4 filed on November 13, 2023, and incorporated herein by reference).</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Board of Directors Agreement, dated February 1, 2021, between Mobix Labs, Inc. and James Peterson (included as Exhibit 10.24 to the proxy statement/prospectus, which is a part of the Company’s Registration Statement on Form S-4 filed on November 13, 2023, and incorporated herein by reference).</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Board of Directors Agreement, dated February 1, 2021, between Mobix Labs, Inc. and Frederick Goerner (included as Exhibit 10.25 to the proxy statement/prospectus, which is a part of the Company’s Registration Statement on Form S-4 filed on November 13, 2023, and incorporated herein by reference).</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First Amendment to Board of Directors Agreement, dated March 26, 2023, between Mobix Labs, Inc. and James Peterson (included as Exhibit 10.26 to the proxy statement/prospectus, which is a part of the Company’s Registration Statement on Form S-4 filed on November 13, 2023, and incorporated herein by reference).</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First Amendment to Board of Directors Agreement, dated March 26, 2023, between Mobix Labs, Inc. and Frederick Goerner (included as Exhibit 10.27 to the proxy statement/prospectus, which is a part of the Company’s Registration Statement on Form S-4 filed on November 13, 2023, and incorporated herein by reference).</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Subscription Agreement, effective as of December 18, 2023, by and among Chavant Capital Acquisition Corp., Mobix Labs, Inc. and Sage Hill Investors, LLC (incorporated by reference to Exhibit 10.1 to Chavant’s Current Report on Form 8-K filed on December 19, 2023).</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Warrant to Purchase Shares of Common Stock, dated December 14, 2023, by and between Mobix Labs, Inc. and Sage Hill Investors, LLC (incorporated by reference to Exhibit 10.2 to Chavant’s Current Report on Form 8-K filed on December 19, 2023).</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Subscription Agreement, dated December 19, 2023, by and among Chavant Capital Acquisition Corp., Mobix Labs, Inc. and Chavant Capital Partners LLC (incorporated by reference to Exhibit 10.1 to Mobix Labs, Inc.’s Current Report on Form 8-K on December 26, 2023).</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Warrant to Purchase Shares of Common Stock, dated December 20, 2023, by and between Mobix Labs, Inc. and Chavant Capital Partners LLC (incorporated by reference to Exhibit 10.2 to Mobix Labs, Inc.’s Current Report on Form 8-K filed on December 26, 2023).</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Sponsor Letter Agreement, dated December 20, 2023, by and among Chavant Capital Acquisition Corp., Mobix Labs, Inc. and Chavant Capital Partners (incorporated by reference to Exhibit 10.3 to Mobix Labs, Inc.’s Current Report on Form 8-K filed on December 26, 2023).</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Form of Additional PIPE Subscription Agreement (incorporated by reference to Exhibit 10.4 to Mobix Labs, Inc.’s Current Report on Form 8-K filed on December 26, 2023).</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Form of Converted Additional Warrant to Purchase Shares of Common Stock of Mobix Labs, Inc. (incorporated by reference to Exhibit 10.5 to Mobix Labs, Inc.’s Current Report on Form 8-K filed on December 26, 2023).</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Form of Non-Converted Additional Warrant to Purchase Shares of Common Stock of Mobix Labs, Inc. (incorporated by reference to Exhibit 10.6 to Mobix Labs, Inc.’s Current Report on Form 8-K filed on December 26, 2023).</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Non-Redemption Agreement, dated December 20, 2023, by and among Chavant Capital Acquisition Corp., Mobix Labs, Inc. and a shareholder of Chavant (incorporated by reference to Exhibit 10.7 to Mobix Labs, Inc.’s Current Report on Form 8-K filed on December 26,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7"/>
        <w:gridCol w:w="60"/>
        <w:gridCol w:w="9608"/>
      </w:tblGrid>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Non-Redemption Warrant, dated December 20, 2023, between Mobix Labs, Inc. and a shareholder of Chavant (incorporated by reference to Exhibit 10.8 to Mobix Labs, Inc.’s Current Report on Form 8-K filed on December 26, 2023).</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Amendment to Business Combination Marketing Agreement, dated December 21, 2023, by and among Chavant, Roth Capital Partners, LLC and Craig-Hallum Capital Group LLC (incorporated by reference to Exhibit 10.29 to Mobix Labs, Inc.’s Current Report on Form 8-K filed on December 28, 2023).</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Common Stock Purchase Agreement, dated as of March 18, 2024, by and between Mobix Labs, Inc. and B. Riley Principal Capital II, LLC (incorporated by reference to Exhibit 10.1 to Mobix Labs, Inc.’s Current Report on Form 8-K filed on March 19, 2024).</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Registration Rights Agreement, dated as of March 18, 2024, by and between Mobix Labs, Inc. and B. Riley Principal Capital II, LLC (incorporated by reference to Exhibit 10.2 to Mobix Labs, Inc.’s Current Report on Form 8-K filed on March 19, 2024).</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Business Combination Agreement, dated as of May 8, 2024, by and among Mobix Labs, Inc, RaGE Systems, Inc and Mobix Merger Sub III, LLC (incorporated by reference to Exhibit 99.1 to Mobix Labs, Inc.’s Current Report on Form 8-K filed on May 14, 2024).</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Form of Securities Purchase Agreement, dated as of July 22, 2024 (incorporated by reference to Exhibit 10.1 to Mobix Labs, Inc.’s Current Report on Form 8-K filed on July 24, 2024).</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Form of Registration Rights Agreement, dated as of July 22, 2024 (incorporated by reference to Exhibit 10.2 to Mobix Labs, Inc.’s Current Report on Form 8-K filed on July 24, 2024).</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Form of Lock-Up Agreement, dated as of July 24, 2024 (incorporated by reference to Exhibit 10.3 to Mobix Labs, Inc.’s Current Report on Form 8-K filed on July 24, 2024).</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Form of Placement Agency Agreement, dated as of April 4, 2025 (incorporated by reference to Exhibit 10.1 to Mobix Labs, Inc.’s Current Report on Form 8-K filed on April 7,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8">
              <w:r>
                <w:rPr>
                  <w:rStyle w:val="InternetLink"/>
                  <w:rFonts w:ascii="Times New Roman;Times;Serif" w:hAnsi="Times New Roman;Times;Serif"/>
                  <w:b w:val="false"/>
                  <w:i w:val="false"/>
                  <w:caps w:val="false"/>
                  <w:smallCaps w:val="false"/>
                  <w:sz w:val="20"/>
                </w:rPr>
                <w:t>Form of Securities Purchase Agreement, dated as of April 4, 2025 (incorporated by reference to Exhibit 10.2 to Mobix Labs, Inc.’s Current Report on Form 8-K filed on April 7,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Amended and Restated Restricted Stock Unit Award Agreement by and between Mobix Labs, Inc. and James Peterson dated as of April 11, 2025 (incorporated by reference to Exhibit 10.1 to Mobix Labs, Inc.’s Quarterly Report on Form 10-Q filed on May 15,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0">
              <w:r>
                <w:rPr>
                  <w:rStyle w:val="InternetLink"/>
                  <w:rFonts w:ascii="Times New Roman;Times;Serif" w:hAnsi="Times New Roman;Times;Serif"/>
                  <w:b w:val="false"/>
                  <w:i w:val="false"/>
                  <w:caps w:val="false"/>
                  <w:smallCaps w:val="false"/>
                  <w:sz w:val="20"/>
                </w:rPr>
                <w:t>Amended and Restated Restricted Stock Unit Award Agreement by and between Mobix Labs, Inc. and Frederick Goerner dated as of April 11, 2025 (incorporated by reference to Exhibit 10.2 to Mobix Labs, Inc.’s Quarterly Report on Form 10-Q filed on May 15,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1">
              <w:r>
                <w:rPr>
                  <w:rStyle w:val="InternetLink"/>
                  <w:rFonts w:ascii="Times New Roman;Times;Serif" w:hAnsi="Times New Roman;Times;Serif"/>
                  <w:b w:val="false"/>
                  <w:i w:val="false"/>
                  <w:caps w:val="false"/>
                  <w:smallCaps w:val="false"/>
                  <w:sz w:val="20"/>
                </w:rPr>
                <w:t>Restricted Stock Unit Award Agreement by and between Mobix Labs, Inc. and David Aldrich dated as of April 10, 2025 (incorporated by reference to Exhibit 99.3 of the Registrant’s Registration Statement on Form S-8 (File No. 333-286200), filed with the SEC on March 28,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2">
              <w:r>
                <w:rPr>
                  <w:rStyle w:val="InternetLink"/>
                  <w:rFonts w:ascii="Times New Roman;Times;Serif" w:hAnsi="Times New Roman;Times;Serif"/>
                  <w:b w:val="false"/>
                  <w:i w:val="false"/>
                  <w:caps w:val="false"/>
                  <w:smallCaps w:val="false"/>
                  <w:sz w:val="20"/>
                </w:rPr>
                <w:t>Restricted Stock Unit Award Agreement by and between Mobix Labs, Inc. and Kurt Busch dated as of April 10, 2025 (incorporated by reference to Exhibit 99.4 of the Registrant’s Registration Statement on Form S-8 (File No. 333-286200), filed with the SEC on March 28,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3">
              <w:r>
                <w:rPr>
                  <w:rStyle w:val="InternetLink"/>
                  <w:rFonts w:ascii="Times New Roman;Times;Serif" w:hAnsi="Times New Roman;Times;Serif"/>
                  <w:b w:val="false"/>
                  <w:i w:val="false"/>
                  <w:caps w:val="false"/>
                  <w:smallCaps w:val="false"/>
                  <w:sz w:val="20"/>
                </w:rPr>
                <w:t>Restricted Stock Unit Award Agreement by and between Mobix Labs, Inc. and William Carpou dated as of April 10, 2025 (incorporated by reference to Exhibit 99.5 of the Registrant’s Registration Statement on Form S-8 (File No. 333-286200), filed with the SEC on March 28,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4">
              <w:r>
                <w:rPr>
                  <w:rStyle w:val="InternetLink"/>
                  <w:rFonts w:ascii="Times New Roman;Times;Serif" w:hAnsi="Times New Roman;Times;Serif"/>
                  <w:b w:val="false"/>
                  <w:i w:val="false"/>
                  <w:caps w:val="false"/>
                  <w:smallCaps w:val="false"/>
                  <w:sz w:val="20"/>
                </w:rPr>
                <w:t>Amended and Restated Restricted Stock Award Agreement by and between Mobix Labs, Inc. and Fabrizio Battaglia dated as of May 5, 2025 (incorporated by reference to Exhibit 10.6 to Mobix Labs, Inc.’s Quarterly Report on Form 10-Q filed on May 15,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5">
              <w:r>
                <w:rPr>
                  <w:rStyle w:val="InternetLink"/>
                  <w:rFonts w:ascii="Times New Roman;Times;Serif" w:hAnsi="Times New Roman;Times;Serif"/>
                  <w:b w:val="false"/>
                  <w:i w:val="false"/>
                  <w:caps w:val="false"/>
                  <w:smallCaps w:val="false"/>
                  <w:sz w:val="20"/>
                </w:rPr>
                <w:t>Amended and Restated Restricted Stock Award Agreement by and between Mobix Labs, Inc. and Keyvan Samini dated as of May 5, 2025 (incorporated by reference to Exhibit 10.7 to Mobix Labs, Inc.’s Quarterly Report on Form 10-Q filed on May 15,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6">
              <w:r>
                <w:rPr>
                  <w:rStyle w:val="InternetLink"/>
                  <w:rFonts w:ascii="Times New Roman;Times;Serif" w:hAnsi="Times New Roman;Times;Serif"/>
                  <w:b w:val="false"/>
                  <w:i w:val="false"/>
                  <w:caps w:val="false"/>
                  <w:smallCaps w:val="false"/>
                  <w:sz w:val="20"/>
                </w:rPr>
                <w:t>2023 Equity Incentive Plan (As Amended) (incorporated by reference to Exhibit 99.11 of the Registrant’s Registration Statement on Form S-8 (File No. 333-286200), filed with the SEC on March 28,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7">
              <w:r>
                <w:rPr>
                  <w:rStyle w:val="InternetLink"/>
                  <w:rFonts w:ascii="Times New Roman;Times;Serif" w:hAnsi="Times New Roman;Times;Serif"/>
                  <w:b w:val="false"/>
                  <w:i w:val="false"/>
                  <w:caps w:val="false"/>
                  <w:smallCaps w:val="false"/>
                  <w:sz w:val="20"/>
                </w:rPr>
                <w:t>Retirement and Release Agreement, by and among Mobix Labs, Inc. and Fabrizio Battaglia, dated as of July 25, 2025 (incorporated by reference to Exhibit 10.46 to the Registrant’s Amendment No. 1 to the Registrant’s Registration on Form S-1).</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8">
              <w:r>
                <w:rPr>
                  <w:rStyle w:val="InternetLink"/>
                  <w:rFonts w:ascii="Times New Roman;Times;Serif" w:hAnsi="Times New Roman;Times;Serif"/>
                  <w:b w:val="false"/>
                  <w:i w:val="false"/>
                  <w:caps w:val="false"/>
                  <w:smallCaps w:val="false"/>
                  <w:sz w:val="20"/>
                </w:rPr>
                <w:t>Form of Inducement Letter (incorporated by reference to Exhibit 10.1 to Mobix Labs, Inc.’s Current Report on Form 8-K filed on September 4,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9">
              <w:r>
                <w:rPr>
                  <w:rStyle w:val="InternetLink"/>
                  <w:rFonts w:ascii="Times New Roman;Times;Serif" w:hAnsi="Times New Roman;Times;Serif"/>
                  <w:b w:val="false"/>
                  <w:i w:val="false"/>
                  <w:caps w:val="false"/>
                  <w:smallCaps w:val="false"/>
                  <w:sz w:val="20"/>
                </w:rPr>
                <w:t>Senior Secured Promissory Note in favor of Lendspark Corporation, dated as of August 13, 2025 (incorporated by reference to Exhibit 10.48 to the Registrant’s Amendment No. 1 to the Registrant’s Registration Statement on Form S-1 (File No. 333-287493), filed with the SEC on October 14, 2025).</w:t>
              </w:r>
            </w:hyperlink>
          </w:p>
        </w:tc>
      </w:tr>
    </w:tbl>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6"/>
        <w:gridCol w:w="60"/>
        <w:gridCol w:w="9499"/>
      </w:tblGrid>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pPr>
            <w:hyperlink r:id="rId80">
              <w:r>
                <w:rPr>
                  <w:rStyle w:val="InternetLink"/>
                  <w:rFonts w:ascii="Times New Roman;Times;Serif" w:hAnsi="Times New Roman;Times;Serif"/>
                  <w:b w:val="false"/>
                  <w:i w:val="false"/>
                  <w:caps w:val="false"/>
                  <w:smallCaps w:val="false"/>
                  <w:sz w:val="20"/>
                </w:rPr>
                <w:t>Securities Purchase Agreement, by and between Mobix Labs, Inc. and Lendspark Corporation, dated as of August 13, 2025 (incorporated by reference to Exhibit 10.49 to the Registrant’s Amendment No. 1 to the Registrant’s Registration Statement on Form S-1 (File No. 333-287493), filed with the SEC on October 14, 2025).</w:t>
              </w:r>
            </w:hyperlink>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pPr>
            <w:hyperlink r:id="rId81">
              <w:r>
                <w:rPr>
                  <w:rStyle w:val="InternetLink"/>
                  <w:rFonts w:ascii="Times New Roman;Times;Serif" w:hAnsi="Times New Roman;Times;Serif"/>
                  <w:b w:val="false"/>
                  <w:i w:val="false"/>
                  <w:caps w:val="false"/>
                  <w:smallCaps w:val="false"/>
                  <w:sz w:val="20"/>
                </w:rPr>
                <w:t>Business Loan and Security Agreement, by and between Mobix Labs, Inc. and Maximcash Solutions LLC, dated as August 13, 2025 (incorporated by reference to Exhibit 10.50 to the Registrant’s Amendment No. 1 to the Registrant’s Registration Statement on Form S-1 (File No. 333-287493), filed with the SEC on October 14, 2025).</w:t>
              </w:r>
            </w:hyperlink>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pPr>
            <w:hyperlink r:id="rId82">
              <w:r>
                <w:rPr>
                  <w:rStyle w:val="InternetLink"/>
                  <w:rFonts w:ascii="Times New Roman;Times;Serif" w:hAnsi="Times New Roman;Times;Serif"/>
                  <w:b w:val="false"/>
                  <w:i w:val="false"/>
                  <w:caps w:val="false"/>
                  <w:smallCaps w:val="false"/>
                  <w:sz w:val="20"/>
                </w:rPr>
                <w:t>Stock Pledge Agreement, by and between Mobix Labs, Inc. and Maximcash Solutions LLC, dated as August 13, 2025 (incorporated by reference to Exhibit 10.51 to the Registrant’s Amendment No. 1 to the Registrant’s Registration Statement on Form S-1 (File No. 333-287493), filed with the SEC on October 14, 2025).</w:t>
              </w:r>
            </w:hyperlink>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pPr>
            <w:hyperlink r:id="rId83">
              <w:r>
                <w:rPr>
                  <w:rStyle w:val="InternetLink"/>
                  <w:rFonts w:ascii="Times New Roman;Times;Serif" w:hAnsi="Times New Roman;Times;Serif"/>
                  <w:b w:val="false"/>
                  <w:i w:val="false"/>
                  <w:caps w:val="false"/>
                  <w:smallCaps w:val="false"/>
                  <w:sz w:val="20"/>
                </w:rPr>
                <w:t>Stock Purchase Agreement, by and between Mobix Labs, Inc. and Charles William Jacobson, dated as of August 15, 2025 (incorporated by reference to Exhibit 10.52 to the Registrant’s Amendment No. 1 to the Registrant’s Registration Statement on Form S-1 (File No. 333-287493), filed with the SEC on October 14, 2025).</w:t>
              </w:r>
            </w:hyperlink>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pPr>
            <w:hyperlink r:id="rId84">
              <w:r>
                <w:rPr>
                  <w:rStyle w:val="InternetLink"/>
                  <w:rFonts w:ascii="Times New Roman;Times;Serif" w:hAnsi="Times New Roman;Times;Serif"/>
                  <w:b w:val="false"/>
                  <w:i w:val="false"/>
                  <w:caps w:val="false"/>
                  <w:smallCaps w:val="false"/>
                  <w:sz w:val="20"/>
                </w:rPr>
                <w:t>Side Letter, by and between Mobix Labs, Inc. and Maximcash Solutions LLC, dated as of September 2, 2025 (incorporated by reference to Exhibit 10.53 to the Registrant’s Amendment No. 1 to the Registrant’s Registration Statement on Form S-1 (File No. 333-287493), filed with the SEC on October 14, 2025).</w:t>
              </w:r>
            </w:hyperlink>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pPr>
            <w:hyperlink r:id="rId85">
              <w:r>
                <w:rPr>
                  <w:rStyle w:val="InternetLink"/>
                  <w:rFonts w:ascii="Times New Roman;Times;Serif" w:hAnsi="Times New Roman;Times;Serif"/>
                  <w:b w:val="false"/>
                  <w:i w:val="false"/>
                  <w:caps w:val="false"/>
                  <w:smallCaps w:val="false"/>
                  <w:sz w:val="20"/>
                </w:rPr>
                <w:t>Form of Placement Agency Agreement (incorporated by reference to Exhibit 10.1 to Mobix Labs, Inc.’s Current Report on Form 8-K filed on January 7, 2026).</w:t>
              </w:r>
            </w:hyperlink>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pPr>
            <w:hyperlink r:id="rId86">
              <w:r>
                <w:rPr>
                  <w:rStyle w:val="InternetLink"/>
                  <w:rFonts w:ascii="Times New Roman;Times;Serif" w:hAnsi="Times New Roman;Times;Serif"/>
                  <w:b w:val="false"/>
                  <w:i w:val="false"/>
                  <w:caps w:val="false"/>
                  <w:smallCaps w:val="false"/>
                  <w:sz w:val="20"/>
                </w:rPr>
                <w:t>Form of Purchase Agreement (incorporated by reference to Exhibit 10.2 to Mobix Labs, Inc.’s Current Report on Form 8-K filed on January 7, 2026).</w:t>
              </w:r>
            </w:hyperlink>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pPr>
            <w:hyperlink r:id="rId87">
              <w:r>
                <w:rPr>
                  <w:rStyle w:val="InternetLink"/>
                  <w:rFonts w:ascii="Times New Roman;Times;Serif" w:hAnsi="Times New Roman;Times;Serif"/>
                  <w:b w:val="false"/>
                  <w:i w:val="false"/>
                  <w:caps w:val="false"/>
                  <w:smallCaps w:val="false"/>
                  <w:sz w:val="20"/>
                </w:rPr>
                <w:t>Form of Lock-Up Agreement (incorporated by reference to Exhibit 10.3 to Mobix Labs, Inc.’s Current Report on Form 8-K filed on January 7, 2026).</w:t>
              </w:r>
            </w:hyperlink>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pPr>
            <w:hyperlink r:id="rId88">
              <w:r>
                <w:rPr>
                  <w:rStyle w:val="InternetLink"/>
                  <w:rFonts w:ascii="Times New Roman;Times;Serif" w:hAnsi="Times New Roman;Times;Serif"/>
                  <w:b w:val="false"/>
                  <w:i w:val="false"/>
                  <w:caps w:val="false"/>
                  <w:smallCaps w:val="false"/>
                  <w:sz w:val="20"/>
                </w:rPr>
                <w:t>Securities Purchase Agreement, by and between Mobix Labs, Inc and Leviston Resources, LLC, dated as of March 31, 2026 (incorporated by reference to Exhibit 10.57 to the Registrant’s Registration Statement on Form S-1 (File No. 333-295357), filed with the SEC on April 27, 2026).</w:t>
              </w:r>
            </w:hyperlink>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pPr>
            <w:hyperlink r:id="rId89">
              <w:r>
                <w:rPr>
                  <w:rStyle w:val="InternetLink"/>
                  <w:rFonts w:ascii="Times New Roman;Times;Serif" w:hAnsi="Times New Roman;Times;Serif"/>
                  <w:b w:val="false"/>
                  <w:i w:val="false"/>
                  <w:caps w:val="false"/>
                  <w:smallCaps w:val="false"/>
                  <w:sz w:val="20"/>
                </w:rPr>
                <w:t>Registration Rights Agreement by and between Mobix Labs, Inc and Leviston Resources, LLC, dated as of March 31, 2026 (incorporated by reference to Exhibit 10.58 to the Registrant’s Registration Statement on Form S-1 (File No. 333-295357), filed with the SEC on April 27, 2026).</w:t>
              </w:r>
            </w:hyperlink>
          </w:p>
        </w:tc>
      </w:tr>
      <w:tr>
        <w:trPr/>
        <w:tc>
          <w:tcPr>
            <w:tcW w:w="6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10.59</w:t>
            </w:r>
          </w:p>
        </w:tc>
        <w:tc>
          <w:tcPr>
            <w:tcW w:w="60" w:type="dxa"/>
            <w:tcBorders/>
            <w:vAlign w:val="center"/>
          </w:tcPr>
          <w:p>
            <w:pPr>
              <w:pStyle w:val="TableContents"/>
              <w:bidi w:val="0"/>
              <w:spacing w:before="0" w:after="283"/>
              <w:jc w:val="left"/>
              <w:rPr/>
            </w:pPr>
            <w:r>
              <w:rPr/>
              <w:t> </w:t>
            </w:r>
          </w:p>
        </w:tc>
        <w:tc>
          <w:tcPr>
            <w:tcW w:w="9499" w:type="dxa"/>
            <w:tcBorders/>
            <w:vAlign w:val="center"/>
          </w:tcPr>
          <w:p>
            <w:pPr>
              <w:pStyle w:val="TableContents"/>
              <w:bidi w:val="0"/>
              <w:spacing w:before="0" w:after="283"/>
              <w:jc w:val="both"/>
              <w:rPr/>
            </w:pPr>
            <w:hyperlink r:id="rId90">
              <w:r>
                <w:rPr>
                  <w:rStyle w:val="InternetLink"/>
                  <w:rFonts w:ascii="Times New Roman;Times;Serif" w:hAnsi="Times New Roman;Times;Serif"/>
                  <w:sz w:val="20"/>
                </w:rPr>
                <w:t>Investor Rights Agreement by and between Mobix Labs, Inc. and Leviston Resources, LLC, dated as of May 13, 2026 (incorporated by reference to Exhibit 10.3 of Mobix Labs, Inc.’s Quarterly Report on Form 10-Q filed on May 20, 2026).</w:t>
              </w:r>
            </w:hyperlink>
          </w:p>
        </w:tc>
      </w:tr>
      <w:tr>
        <w:trPr/>
        <w:tc>
          <w:tcPr>
            <w:tcW w:w="6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10.60</w:t>
            </w:r>
          </w:p>
        </w:tc>
        <w:tc>
          <w:tcPr>
            <w:tcW w:w="60" w:type="dxa"/>
            <w:tcBorders/>
            <w:vAlign w:val="center"/>
          </w:tcPr>
          <w:p>
            <w:pPr>
              <w:pStyle w:val="TableContents"/>
              <w:bidi w:val="0"/>
              <w:spacing w:before="0" w:after="283"/>
              <w:jc w:val="left"/>
              <w:rPr/>
            </w:pPr>
            <w:r>
              <w:rPr/>
              <w:t> </w:t>
            </w:r>
          </w:p>
        </w:tc>
        <w:tc>
          <w:tcPr>
            <w:tcW w:w="9499" w:type="dxa"/>
            <w:tcBorders/>
            <w:vAlign w:val="center"/>
          </w:tcPr>
          <w:p>
            <w:pPr>
              <w:pStyle w:val="TableContents"/>
              <w:bidi w:val="0"/>
              <w:spacing w:before="0" w:after="283"/>
              <w:jc w:val="both"/>
              <w:rPr/>
            </w:pPr>
            <w:hyperlink r:id="rId91">
              <w:r>
                <w:rPr>
                  <w:rStyle w:val="InternetLink"/>
                  <w:rFonts w:ascii="Times New Roman;Times;Serif" w:hAnsi="Times New Roman;Times;Serif"/>
                  <w:sz w:val="20"/>
                </w:rPr>
                <w:t>Securities Purchase Agreement, dated May 19, 2026, by and between Mobix Labs, Inc. and Kips Bay Select, LP (incorporated by reference to Exhibit 10.4 of Mobix Labs, Inc.’s Quarterly Report on Form 10-Q filed on May 20, 2026).</w:t>
              </w:r>
            </w:hyperlink>
          </w:p>
        </w:tc>
      </w:tr>
      <w:tr>
        <w:trPr/>
        <w:tc>
          <w:tcPr>
            <w:tcW w:w="6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10.61</w:t>
            </w:r>
          </w:p>
        </w:tc>
        <w:tc>
          <w:tcPr>
            <w:tcW w:w="60" w:type="dxa"/>
            <w:tcBorders/>
            <w:vAlign w:val="center"/>
          </w:tcPr>
          <w:p>
            <w:pPr>
              <w:pStyle w:val="TableContents"/>
              <w:bidi w:val="0"/>
              <w:spacing w:before="0" w:after="283"/>
              <w:jc w:val="left"/>
              <w:rPr/>
            </w:pPr>
            <w:r>
              <w:rPr/>
              <w:t> </w:t>
            </w:r>
          </w:p>
        </w:tc>
        <w:tc>
          <w:tcPr>
            <w:tcW w:w="9499" w:type="dxa"/>
            <w:tcBorders/>
            <w:vAlign w:val="center"/>
          </w:tcPr>
          <w:p>
            <w:pPr>
              <w:pStyle w:val="TableContents"/>
              <w:bidi w:val="0"/>
              <w:spacing w:before="0" w:after="283"/>
              <w:jc w:val="both"/>
              <w:rPr/>
            </w:pPr>
            <w:hyperlink r:id="rId92">
              <w:r>
                <w:rPr>
                  <w:rStyle w:val="InternetLink"/>
                  <w:rFonts w:ascii="Times New Roman;Times;Serif" w:hAnsi="Times New Roman;Times;Serif"/>
                  <w:sz w:val="20"/>
                </w:rPr>
                <w:t>Registration Rights Agreement, dated May 19, 2026 by and between Mobix Labs, Inc. and Kips Bay Select, LP (incorporated by reference to Exhibit 10.5 of Mobix Labs, Inc.’s Quarterly Report on Form 10-Q filed on May 20, 2026).</w:t>
              </w:r>
            </w:hyperlink>
          </w:p>
        </w:tc>
      </w:tr>
      <w:tr>
        <w:trPr/>
        <w:tc>
          <w:tcPr>
            <w:tcW w:w="646" w:type="dxa"/>
            <w:tcBorders/>
            <w:vAlign w:val="center"/>
          </w:tcPr>
          <w:p>
            <w:pPr>
              <w:pStyle w:val="TableContents"/>
              <w:bidi w:val="0"/>
              <w:spacing w:before="0" w:after="283"/>
              <w:jc w:val="left"/>
              <w:rPr/>
            </w:pPr>
            <w:r>
              <w:rPr/>
              <w:t>10.62**</w:t>
            </w:r>
          </w:p>
        </w:tc>
        <w:tc>
          <w:tcPr>
            <w:tcW w:w="60" w:type="dxa"/>
            <w:tcBorders/>
            <w:vAlign w:val="center"/>
          </w:tcPr>
          <w:p>
            <w:pPr>
              <w:pStyle w:val="TableContents"/>
              <w:bidi w:val="0"/>
              <w:spacing w:before="0" w:after="283"/>
              <w:jc w:val="left"/>
              <w:rPr/>
            </w:pPr>
            <w:r>
              <w:rPr/>
              <w:t> </w:t>
            </w:r>
          </w:p>
        </w:tc>
        <w:tc>
          <w:tcPr>
            <w:tcW w:w="9499" w:type="dxa"/>
            <w:tcBorders/>
            <w:vAlign w:val="center"/>
          </w:tcPr>
          <w:p>
            <w:pPr>
              <w:pStyle w:val="TableContents"/>
              <w:bidi w:val="0"/>
              <w:spacing w:before="0" w:after="283"/>
              <w:jc w:val="both"/>
              <w:rPr/>
            </w:pPr>
            <w:hyperlink r:id="rId93">
              <w:r>
                <w:rPr>
                  <w:rStyle w:val="InternetLink"/>
                </w:rPr>
                <w:t>Amendment No. 1 to Registration Rights Agreement, dated June 18, 2026 by and between Mobix Labs, Inc. and Kips Bay Select, LP.</w:t>
              </w:r>
            </w:hyperlink>
          </w:p>
        </w:tc>
      </w:tr>
      <w:tr>
        <w:trPr/>
        <w:tc>
          <w:tcPr>
            <w:tcW w:w="646" w:type="dxa"/>
            <w:tcBorders/>
            <w:vAlign w:val="center"/>
          </w:tcPr>
          <w:p>
            <w:pPr>
              <w:pStyle w:val="TableContents"/>
              <w:bidi w:val="0"/>
              <w:spacing w:before="0" w:after="283"/>
              <w:jc w:val="left"/>
              <w:rPr/>
            </w:pPr>
            <w:r>
              <w:rPr/>
              <w:t>10.63</w:t>
            </w:r>
          </w:p>
        </w:tc>
        <w:tc>
          <w:tcPr>
            <w:tcW w:w="60" w:type="dxa"/>
            <w:tcBorders/>
            <w:vAlign w:val="center"/>
          </w:tcPr>
          <w:p>
            <w:pPr>
              <w:pStyle w:val="TableContents"/>
              <w:bidi w:val="0"/>
              <w:spacing w:before="0" w:after="283"/>
              <w:jc w:val="left"/>
              <w:rPr/>
            </w:pPr>
            <w:r>
              <w:rPr/>
              <w:t> </w:t>
            </w:r>
          </w:p>
        </w:tc>
        <w:tc>
          <w:tcPr>
            <w:tcW w:w="9499" w:type="dxa"/>
            <w:tcBorders/>
            <w:vAlign w:val="center"/>
          </w:tcPr>
          <w:p>
            <w:pPr>
              <w:pStyle w:val="TableContents"/>
              <w:bidi w:val="0"/>
              <w:spacing w:before="0" w:after="283"/>
              <w:jc w:val="both"/>
              <w:rPr/>
            </w:pPr>
            <w:hyperlink r:id="rId94">
              <w:r>
                <w:rPr>
                  <w:rStyle w:val="InternetLink"/>
                </w:rPr>
                <w:t>Second Amendment to Registration Rights Agreement, by and between Mobix Labs, Inc. and Leviston Resources, LLC, dated as of June 22, 2026 (incorporated by reference to Exhibit 10.1 of Mobix Labs, Inc.’s Current Report on Form 8-K filed on June 26, 2026).</w:t>
              </w:r>
            </w:hyperlink>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pPr>
            <w:hyperlink r:id="rId95">
              <w:r>
                <w:rPr>
                  <w:rStyle w:val="InternetLink"/>
                  <w:rFonts w:ascii="Times New Roman;Times;Serif" w:hAnsi="Times New Roman;Times;Serif"/>
                  <w:b w:val="false"/>
                  <w:i w:val="false"/>
                  <w:caps w:val="false"/>
                  <w:smallCaps w:val="false"/>
                  <w:sz w:val="20"/>
                </w:rPr>
                <w:t>List of Subsidiaries (incorporated by reference to Exhibit 21.1 to Mobix Labs, Inc.’s Annual Report on Form 10-K filed on January 13, 2026).</w:t>
              </w:r>
            </w:hyperlink>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PricewaterhouseCoopers LLP, independent registered public accounting firm for Mobix Labs, Inc.</w:t>
              </w:r>
            </w:hyperlink>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pPr>
            <w:hyperlink r:id="rId96">
              <w:r>
                <w:rPr>
                  <w:rStyle w:val="InternetLink"/>
                  <w:rFonts w:ascii="Times New Roman;Times;Serif" w:hAnsi="Times New Roman;Times;Serif"/>
                  <w:b w:val="false"/>
                  <w:i w:val="false"/>
                  <w:caps w:val="false"/>
                  <w:smallCaps w:val="false"/>
                  <w:sz w:val="20"/>
                </w:rPr>
                <w:t>Consent of Greenberg Traurig P.A. (included as part of Exhibit 5.1).</w:t>
              </w:r>
            </w:hyperlink>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pPr>
            <w:hyperlink w:anchor="poa_2">
              <w:r>
                <w:rPr>
                  <w:rStyle w:val="InternetLink"/>
                  <w:rFonts w:ascii="Times New Roman;Times;Serif" w:hAnsi="Times New Roman;Times;Serif"/>
                  <w:b w:val="false"/>
                  <w:i w:val="false"/>
                  <w:caps w:val="false"/>
                  <w:smallCaps w:val="false"/>
                  <w:sz w:val="20"/>
                </w:rPr>
                <w:t>Power of Attorney (contained on the signature page of the registration statement).</w:t>
              </w:r>
            </w:hyperlink>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Instance Document — the instance document does not appear in the Interactive Data File because its XBRL tags are embedded within the Inline XBRL document.</w:t>
            </w:r>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 and contained in Exhibit 101).</w:t>
            </w:r>
          </w:p>
        </w:tc>
      </w:tr>
      <w:tr>
        <w:trPr/>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9" w:type="dxa"/>
            <w:tcBorders/>
            <w:vAlign w:val="center"/>
          </w:tcPr>
          <w:p>
            <w:pPr>
              <w:pStyle w:val="TableContents"/>
              <w:bidi w:val="0"/>
              <w:spacing w:before="0" w:after="283"/>
              <w:jc w:val="both"/>
              <w:rPr/>
            </w:pPr>
            <w:hyperlink r:id="rId97">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caps w:val="false"/>
                <w:smallCaps w:val="false"/>
              </w:rPr>
            </w:pPr>
            <w:r>
              <w:rPr>
                <w:caps w:val="false"/>
                <w:smallCaps w:val="false"/>
              </w:rPr>
              <w:t>†</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exhibits and schedules to this Exhibit have been omitted in accordance with Regulation S-K Item 601(a)(5). The registrant agrees to furnish a copy of all omitted exhibits and schedules to the SEC upon its request.</w:t>
            </w:r>
          </w:p>
        </w:tc>
      </w:tr>
      <w:tr>
        <w:trPr/>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w:t>
            </w:r>
          </w:p>
        </w:tc>
      </w:tr>
      <w:tr>
        <w:trPr/>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management contract or compensatory plan, contract or arrangement.</w:t>
            </w:r>
          </w:p>
        </w:tc>
      </w:tr>
      <w:tr>
        <w:trPr/>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 and exhibits have been omitted pursuant to Item 601(a)(5) of Regulation S-K. The registrant agrees to furnish supplementally a copy of any omitted schedule or exhibit to the U.S. Securities and Exchange Commission upon request.</w:t>
            </w:r>
          </w:p>
        </w:tc>
      </w:tr>
      <w:tr>
        <w:trPr/>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portions of this exhibit, indicated by brackets and asterisks, have been omitted because they (i) are not material and (ii) are the type that the Company treats as private or confidential.</w:t>
            </w:r>
          </w:p>
        </w:tc>
      </w:tr>
    </w:tbl>
    <w:p>
      <w:pPr>
        <w:pStyle w:val="TextBody"/>
        <w:bidi w:val="0"/>
        <w:spacing w:before="0" w:after="0"/>
        <w:ind w:left="360" w:right="0" w:hanging="36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file, during any period in which offers or sales are being made, a post-effective amendment to this registration statement: (i) to include any prospectus required by Section 10(a)(3) of the Securities Act of 1933, as amended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an undersigned registrant; and</w:t>
            </w:r>
          </w:p>
        </w:tc>
      </w:tr>
    </w:tbl>
    <w:p>
      <w:pPr>
        <w:pStyle w:val="TextBody"/>
        <w:bidi w:val="0"/>
        <w:spacing w:before="0" w:after="0"/>
        <w:ind w:left="2160" w:right="0" w:hanging="720"/>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245"/>
        <w:gridCol w:w="87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0" w:after="0"/>
        <w:ind w:left="0" w:right="0" w:firstLine="72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the registrant has duly caused this registration statement to be signed on its behalf by the undersigned, thereunto duly authorized, in the City of Irvine, State of California, on July 9, 2026. </w:t>
      </w:r>
    </w:p>
    <w:p>
      <w:pPr>
        <w:pStyle w:val="TextBody"/>
        <w:bidi w:val="0"/>
        <w:spacing w:before="0" w:after="0"/>
        <w:ind w:left="0" w:right="0" w:firstLine="720"/>
        <w:jc w:val="both"/>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Sansone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Sansone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969" w:name="poa_2"/>
      <w:bookmarkEnd w:id="1969"/>
      <w:r>
        <w:rPr>
          <w:rFonts w:ascii="Times New Roman;Times;Serif" w:hAnsi="Times New Roman;Times;Serif"/>
          <w:b/>
          <w:i w:val="false"/>
          <w:caps/>
          <w:sz w:val="20"/>
        </w:rPr>
        <w:t>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firstLine="720"/>
        <w:jc w:val="left"/>
        <w:rPr>
          <w:caps w:val="false"/>
          <w:smallCaps w:val="false"/>
        </w:rPr>
      </w:pPr>
      <w:r>
        <w:rPr>
          <w:caps w:val="false"/>
          <w:smallCaps w:val="false"/>
        </w:rPr>
        <w:t> </w:t>
      </w:r>
    </w:p>
    <w:tbl>
      <w:tblPr>
        <w:tblW w:w="7905" w:type="dxa"/>
        <w:jc w:val="left"/>
        <w:tblInd w:w="0" w:type="dxa"/>
        <w:tblLayout w:type="fixed"/>
        <w:tblCellMar>
          <w:top w:w="0" w:type="dxa"/>
          <w:left w:w="0" w:type="dxa"/>
          <w:bottom w:w="28" w:type="dxa"/>
          <w:right w:w="0" w:type="dxa"/>
        </w:tblCellMar>
      </w:tblPr>
      <w:tblGrid>
        <w:gridCol w:w="1565"/>
        <w:gridCol w:w="60"/>
        <w:gridCol w:w="5180"/>
        <w:gridCol w:w="60"/>
        <w:gridCol w:w="1040"/>
      </w:tblGrid>
      <w:tr>
        <w:trPr/>
        <w:tc>
          <w:tcPr>
            <w:tcW w:w="15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5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Philip Sansone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r>
      <w:tr>
        <w:trPr/>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Sansone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Financial Officer and 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r>
      <w:tr>
        <w:trPr/>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r>
      <w:tr>
        <w:trPr/>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Peterson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r>
      <w:tr>
        <w:trPr/>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Aldrich</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r>
      <w:tr>
        <w:trPr/>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Kurt Busch</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r>
      <w:tr>
        <w:trPr/>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Carpou</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r>
      <w:tr>
        <w:trPr/>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Frederick Goerner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r>
      <w:tr>
        <w:trPr/>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Long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r>
      <w:tr>
        <w:trPr/>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283"/>
        <w:jc w:val="left"/>
        <w:rPr/>
      </w:pPr>
      <w:r>
        <w:rPr/>
        <w:t> </w:t>
      </w:r>
    </w:p>
    <w:tbl>
      <w:tblPr>
        <w:tblW w:w="2780" w:type="dxa"/>
        <w:jc w:val="left"/>
        <w:tblInd w:w="0" w:type="dxa"/>
        <w:tblLayout w:type="fixed"/>
        <w:tblCellMar>
          <w:top w:w="0" w:type="dxa"/>
          <w:left w:w="0" w:type="dxa"/>
          <w:bottom w:w="28" w:type="dxa"/>
          <w:right w:w="0" w:type="dxa"/>
        </w:tblCellMar>
      </w:tblPr>
      <w:tblGrid>
        <w:gridCol w:w="2525"/>
        <w:gridCol w:w="60"/>
        <w:gridCol w:w="60"/>
        <w:gridCol w:w="60"/>
        <w:gridCol w:w="75"/>
      </w:tblGrid>
      <w:tr>
        <w:trPr/>
        <w:tc>
          <w:tcPr>
            <w:tcW w:w="25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power of attorney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II-14</w:t>
            </w:r>
          </w:p>
        </w:tc>
      </w:tr>
    </w:tbl>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1970" w:name="ex23-1.htm"/>
      <w:bookmarkStart w:id="1971" w:name="ksex231"/>
      <w:bookmarkEnd w:id="1970"/>
      <w:bookmarkEnd w:id="1971"/>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in this Amendment No. 1 to the Registration Statement on Form S-1 of Mobix Labs, Inc. of our report dated January 12, 2026, except for the effects of the reverse stock split discussed in Note 21 to the consolidated financial statements, as to which the date is April 27, 2026, relating to the financial statements of Mobix Labs, Inc., which appears in this Registration Statement. We also consent to the reference to us under the heading “Experts” in such Registration Statement.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55467/000110465923122449/tm2331792d1_ex2-1.htm" TargetMode="External"/><Relationship Id="rId4" Type="http://schemas.openxmlformats.org/officeDocument/2006/relationships/hyperlink" Target="https://www.sec.gov/Archives/edgar/data/1855467/000121390024029035/ea020156601ex2-4_mobix.htm" TargetMode="External"/><Relationship Id="rId5" Type="http://schemas.openxmlformats.org/officeDocument/2006/relationships/hyperlink" Target="https://www.sec.gov/Archives/edgar/data/1855467/000110465923130104/tm2333672d1_ex2-4.htm" TargetMode="External"/><Relationship Id="rId6" Type="http://schemas.openxmlformats.org/officeDocument/2006/relationships/hyperlink" Target="https://www.sec.gov/Archives/edgar/data/1855467/000110465923130104/tm2333672d1_ex2-5.htm" TargetMode="External"/><Relationship Id="rId7" Type="http://schemas.openxmlformats.org/officeDocument/2006/relationships/hyperlink" Target="https://www.sec.gov/Archives/edgar/data/1855467/000110465923130104/tm2333672d1_ex3-1.htm" TargetMode="External"/><Relationship Id="rId8" Type="http://schemas.openxmlformats.org/officeDocument/2006/relationships/hyperlink" Target="https://www.sec.gov/Archives/edgar/data/1855467/000121390024029035/ea020156601ex3-2_mobix.htm" TargetMode="External"/><Relationship Id="rId9" Type="http://schemas.openxmlformats.org/officeDocument/2006/relationships/hyperlink" Target="https://www.sec.gov/Archives/edgar/data/1855467/000110465923130104/tm2333672d1_ex3-2.htm" TargetMode="External"/><Relationship Id="rId10" Type="http://schemas.openxmlformats.org/officeDocument/2006/relationships/hyperlink" Target="https://www.sec.gov/Archives/edgar/data/1855467/000110465923130104/tm2333672d1_ex4-1.htm" TargetMode="External"/><Relationship Id="rId11" Type="http://schemas.openxmlformats.org/officeDocument/2006/relationships/hyperlink" Target="https://www.sec.gov/Archives/edgar/data/1855467/000110465923130104/tm2333672d1_ex4-2.htm" TargetMode="External"/><Relationship Id="rId12" Type="http://schemas.openxmlformats.org/officeDocument/2006/relationships/hyperlink" Target="https://www.sec.gov/Archives/edgar/data/1855467/000110465921095311/tm2112269d9_ex4-1.htm" TargetMode="External"/><Relationship Id="rId13" Type="http://schemas.openxmlformats.org/officeDocument/2006/relationships/hyperlink" Target="https://www.sec.gov/Archives/edgar/data/1855467/000110465923130104/tm2333672d1_ex4-4.htm" TargetMode="External"/><Relationship Id="rId14" Type="http://schemas.openxmlformats.org/officeDocument/2006/relationships/hyperlink" Target="https://www.sec.gov/Archives/edgar/data/1855467/000101376224000772/ea020989801ex4-1_mobix.htm" TargetMode="External"/><Relationship Id="rId15" Type="http://schemas.openxmlformats.org/officeDocument/2006/relationships/hyperlink" Target="https://www.sec.gov/Archives/edgar/data/1855467/000101376224000772/ea020989801ex4-4_mobix.htm" TargetMode="External"/><Relationship Id="rId16" Type="http://schemas.openxmlformats.org/officeDocument/2006/relationships/hyperlink" Target="https://www.sec.gov/Archives/edgar/data/1855467/000164117225002885/ex4-2.htm" TargetMode="External"/><Relationship Id="rId17" Type="http://schemas.openxmlformats.org/officeDocument/2006/relationships/hyperlink" Target="https://www.sec.gov/Archives/edgar/data/1855467/000164117225002885/ex4-3.htm" TargetMode="External"/><Relationship Id="rId18" Type="http://schemas.openxmlformats.org/officeDocument/2006/relationships/hyperlink" Target="https://www.sec.gov/Archives/edgar/data/1855467/000149315225012596/ex4-3.htm" TargetMode="External"/><Relationship Id="rId19" Type="http://schemas.openxmlformats.org/officeDocument/2006/relationships/hyperlink" Target="https://www.sec.gov/Archives/edgar/data/1855467/000149315225017858/ex4-15.htm" TargetMode="External"/><Relationship Id="rId20" Type="http://schemas.openxmlformats.org/officeDocument/2006/relationships/hyperlink" Target="https://www.sec.gov/Archives/edgar/data/1855467/000149315225020249/ex4-1.htm" TargetMode="External"/><Relationship Id="rId21" Type="http://schemas.openxmlformats.org/officeDocument/2006/relationships/hyperlink" Target="https://www.sec.gov/Archives/edgar/data/1855467/000149315225020249/ex4-2.htm" TargetMode="External"/><Relationship Id="rId22" Type="http://schemas.openxmlformats.org/officeDocument/2006/relationships/hyperlink" Target="https://www.sec.gov/Archives/edgar/data/1855467/000149315226001921/ex4-13.htm" TargetMode="External"/><Relationship Id="rId23" Type="http://schemas.openxmlformats.org/officeDocument/2006/relationships/hyperlink" Target="https://www.sec.gov/Archives/edgar/data/1855467/000149315225020249/ex4-4.htm" TargetMode="External"/><Relationship Id="rId24" Type="http://schemas.openxmlformats.org/officeDocument/2006/relationships/hyperlink" Target="https://www.sec.gov/Archives/edgar/data/1855467/000149315225020249/ex4-5.htm" TargetMode="External"/><Relationship Id="rId25" Type="http://schemas.openxmlformats.org/officeDocument/2006/relationships/hyperlink" Target="https://www.sec.gov/Archives/edgar/data/1855467/000149315224051917/ex4-9.htm" TargetMode="External"/><Relationship Id="rId26" Type="http://schemas.openxmlformats.org/officeDocument/2006/relationships/hyperlink" Target="https://www.sec.gov/Archives/edgar/data/1855467/000149315226019180/ex4-17.htm" TargetMode="External"/><Relationship Id="rId27" Type="http://schemas.openxmlformats.org/officeDocument/2006/relationships/hyperlink" Target="https://www.sec.gov/Archives/edgar/data/1855467/000149315226024661/ex4-2.htm" TargetMode="External"/><Relationship Id="rId28" Type="http://schemas.openxmlformats.org/officeDocument/2006/relationships/hyperlink" Target="https://www.sec.gov/Archives/edgar/data/1855467/000149315226024661/ex4-3.htm" TargetMode="External"/><Relationship Id="rId29" Type="http://schemas.openxmlformats.org/officeDocument/2006/relationships/hyperlink" Target="https://www.sec.gov/Archives/edgar/data/1855467/000149315226029436/ex4-20.htm" TargetMode="External"/><Relationship Id="rId30" Type="http://schemas.openxmlformats.org/officeDocument/2006/relationships/hyperlink" Target="https://www.sec.gov/Archives/edgar/data/1855467/000149315226030338/ex4-1.htm" TargetMode="External"/><Relationship Id="rId31" Type="http://schemas.openxmlformats.org/officeDocument/2006/relationships/hyperlink" Target="https://www.sec.gov/Archives/edgar/data/1855467/000149315226029436/ex5-1.htm" TargetMode="External"/><Relationship Id="rId32" Type="http://schemas.openxmlformats.org/officeDocument/2006/relationships/hyperlink" Target="https://www.sec.gov/Archives/edgar/data/1855467/000110465921095311/tm2112269d9_ex10-1.htm" TargetMode="External"/><Relationship Id="rId33" Type="http://schemas.openxmlformats.org/officeDocument/2006/relationships/hyperlink" Target="https://www.sec.gov/Archives/edgar/data/1855467/000110465923130104/tm2333672d1_ex10-2.htm" TargetMode="External"/><Relationship Id="rId34" Type="http://schemas.openxmlformats.org/officeDocument/2006/relationships/hyperlink" Target="https://www.sec.gov/Archives/edgar/data/1855467/000110465923130104/tm2333672d1_ex10-3.htm" TargetMode="External"/><Relationship Id="rId35" Type="http://schemas.openxmlformats.org/officeDocument/2006/relationships/hyperlink" Target="https://www.sec.gov/Archives/edgar/data/1855467/000110465923130104/tm2333672d1_ex10-4.htm" TargetMode="External"/><Relationship Id="rId36" Type="http://schemas.openxmlformats.org/officeDocument/2006/relationships/hyperlink" Target="https://www.sec.gov/Archives/edgar/data/1855467/000110465923130104/tm2333672d1_ex10-5.htm" TargetMode="External"/><Relationship Id="rId37" Type="http://schemas.openxmlformats.org/officeDocument/2006/relationships/hyperlink" Target="https://www.sec.gov/Archives/edgar/data/1855467/000110465923113943/clay-20230630xex10d14.htm" TargetMode="External"/><Relationship Id="rId38" Type="http://schemas.openxmlformats.org/officeDocument/2006/relationships/hyperlink" Target="https://www.sec.gov/Archives/edgar/data/1855467/000110465923113943/clay-20230630xex10d15.htm" TargetMode="External"/><Relationship Id="rId39" Type="http://schemas.openxmlformats.org/officeDocument/2006/relationships/hyperlink" Target="https://www.sec.gov/Archives/edgar/data/1855467/000110465923113943/clay-20230630xex10d16.htm" TargetMode="External"/><Relationship Id="rId40" Type="http://schemas.openxmlformats.org/officeDocument/2006/relationships/hyperlink" Target="https://www.sec.gov/Archives/edgar/data/1855467/000110465923113943/clay-20230630xex10d17.htm" TargetMode="External"/><Relationship Id="rId41" Type="http://schemas.openxmlformats.org/officeDocument/2006/relationships/hyperlink" Target="https://www.sec.gov/Archives/edgar/data/1855467/000110465923043213/clay-20220930xex10d16.htm" TargetMode="External"/><Relationship Id="rId42" Type="http://schemas.openxmlformats.org/officeDocument/2006/relationships/hyperlink" Target="https://www.sec.gov/Archives/edgar/data/1855467/000110465923043213/clay-20220930xex10d18.htm" TargetMode="External"/><Relationship Id="rId43" Type="http://schemas.openxmlformats.org/officeDocument/2006/relationships/hyperlink" Target="https://www.sec.gov/Archives/edgar/data/1855467/000110465923043213/clay-20220930xex10d19.htm" TargetMode="External"/><Relationship Id="rId44" Type="http://schemas.openxmlformats.org/officeDocument/2006/relationships/hyperlink" Target="https://www.sec.gov/Archives/edgar/data/1855467/000110465923043213/clay-20220930xex10d20.htm" TargetMode="External"/><Relationship Id="rId45" Type="http://schemas.openxmlformats.org/officeDocument/2006/relationships/hyperlink" Target="https://www.sec.gov/Archives/edgar/data/1855467/000110465923043213/clay-20220930xex10d21.htm" TargetMode="External"/><Relationship Id="rId46" Type="http://schemas.openxmlformats.org/officeDocument/2006/relationships/hyperlink" Target="https://www.sec.gov/Archives/edgar/data/1855467/000110465923043213/clay-20220930xex10d22.htm" TargetMode="External"/><Relationship Id="rId47" Type="http://schemas.openxmlformats.org/officeDocument/2006/relationships/hyperlink" Target="https://www.sec.gov/Archives/edgar/data/1855467/000110465923043213/clay-20220930xex10d23.htm" TargetMode="External"/><Relationship Id="rId48" Type="http://schemas.openxmlformats.org/officeDocument/2006/relationships/hyperlink" Target="https://www.sec.gov/Archives/edgar/data/1855467/000110465923043213/clay-20220930xex10d24.htm" TargetMode="External"/><Relationship Id="rId49" Type="http://schemas.openxmlformats.org/officeDocument/2006/relationships/hyperlink" Target="https://www.sec.gov/Archives/edgar/data/1855467/000110465923043213/clay-20220930xex10d25.htm" TargetMode="External"/><Relationship Id="rId50" Type="http://schemas.openxmlformats.org/officeDocument/2006/relationships/hyperlink" Target="https://www.sec.gov/Archives/edgar/data/1855467/000110465923127135/tm2333098d1_ex10-1.htm" TargetMode="External"/><Relationship Id="rId51" Type="http://schemas.openxmlformats.org/officeDocument/2006/relationships/hyperlink" Target="https://www.sec.gov/Archives/edgar/data/1855467/000110465923127135/tm2333098d1_ex10-2.htm" TargetMode="External"/><Relationship Id="rId52" Type="http://schemas.openxmlformats.org/officeDocument/2006/relationships/hyperlink" Target="https://www.sec.gov/Archives/edgar/data/1855467/000110465923129265/tm2333677d1_ex10-1.htm" TargetMode="External"/><Relationship Id="rId53" Type="http://schemas.openxmlformats.org/officeDocument/2006/relationships/hyperlink" Target="https://www.sec.gov/Archives/edgar/data/1855467/000110465923129265/tm2333677d1_ex10-2.htm" TargetMode="External"/><Relationship Id="rId54" Type="http://schemas.openxmlformats.org/officeDocument/2006/relationships/hyperlink" Target="https://www.sec.gov/Archives/edgar/data/1855467/000110465923129265/tm2333677d1_ex10-3.htm" TargetMode="External"/><Relationship Id="rId55" Type="http://schemas.openxmlformats.org/officeDocument/2006/relationships/hyperlink" Target="https://www.sec.gov/Archives/edgar/data/1855467/000110465923129265/tm2333677d1_ex10-4.htm" TargetMode="External"/><Relationship Id="rId56" Type="http://schemas.openxmlformats.org/officeDocument/2006/relationships/hyperlink" Target="https://www.sec.gov/Archives/edgar/data/1855467/000110465923129265/tm2333677d1_ex10-5.htm" TargetMode="External"/><Relationship Id="rId57" Type="http://schemas.openxmlformats.org/officeDocument/2006/relationships/hyperlink" Target="https://www.sec.gov/Archives/edgar/data/1855467/000110465923129265/tm2333677d1_ex10-6.htm" TargetMode="External"/><Relationship Id="rId58" Type="http://schemas.openxmlformats.org/officeDocument/2006/relationships/hyperlink" Target="https://www.sec.gov/Archives/edgar/data/1855467/000110465923129265/tm2333677d1_ex10-7.htm" TargetMode="External"/><Relationship Id="rId59" Type="http://schemas.openxmlformats.org/officeDocument/2006/relationships/hyperlink" Target="https://www.sec.gov/Archives/edgar/data/1855467/000110465923129265/tm2333677d1_ex10-8.htm" TargetMode="External"/><Relationship Id="rId60" Type="http://schemas.openxmlformats.org/officeDocument/2006/relationships/hyperlink" Target="https://www.sec.gov/Archives/edgar/data/1855467/000110465923130104/tm2333672d1_ex10-29.htm" TargetMode="External"/><Relationship Id="rId61" Type="http://schemas.openxmlformats.org/officeDocument/2006/relationships/hyperlink" Target="https://www.sec.gov/Archives/edgar/data/1855467/000121390024023741/ea020207901ex10-1_mobixlabs.htm" TargetMode="External"/><Relationship Id="rId62" Type="http://schemas.openxmlformats.org/officeDocument/2006/relationships/hyperlink" Target="https://www.sec.gov/Archives/edgar/data/1855467/000121390024023741/ea020207901ex10-2_mobixlabs.htm" TargetMode="External"/><Relationship Id="rId63" Type="http://schemas.openxmlformats.org/officeDocument/2006/relationships/hyperlink" Target="https://www.sec.gov/Archives/edgar/data/1855467/000121390024042582/ea020602001ex99-1_mobixlabs.htm" TargetMode="External"/><Relationship Id="rId64" Type="http://schemas.openxmlformats.org/officeDocument/2006/relationships/hyperlink" Target="https://www.sec.gov/Archives/edgar/data/1855467/000101376224000772/ea020989801ex10-1_mobix.htm" TargetMode="External"/><Relationship Id="rId65" Type="http://schemas.openxmlformats.org/officeDocument/2006/relationships/hyperlink" Target="https://www.sec.gov/Archives/edgar/data/1855467/000101376224000772/ea020989801ex10-2_mobix.htm" TargetMode="External"/><Relationship Id="rId66" Type="http://schemas.openxmlformats.org/officeDocument/2006/relationships/hyperlink" Target="https://www.sec.gov/Archives/edgar/data/1855467/000101376224000772/ea020989801ex10-3_mobix.htm" TargetMode="External"/><Relationship Id="rId67" Type="http://schemas.openxmlformats.org/officeDocument/2006/relationships/hyperlink" Target="https://www.sec.gov/Archives/edgar/data/1855467/000164117225002885/ex10-1.htm" TargetMode="External"/><Relationship Id="rId68" Type="http://schemas.openxmlformats.org/officeDocument/2006/relationships/hyperlink" Target="https://www.sec.gov/Archives/edgar/data/1855467/000164117225002885/ex10-2.htm" TargetMode="External"/><Relationship Id="rId69" Type="http://schemas.openxmlformats.org/officeDocument/2006/relationships/hyperlink" Target="https://www.sec.gov/Archives/edgar/data/1855467/000164117225010986/ex10-1.htm" TargetMode="External"/><Relationship Id="rId70" Type="http://schemas.openxmlformats.org/officeDocument/2006/relationships/hyperlink" Target="https://www.sec.gov/Archives/edgar/data/1855467/000164117225010986/ex10-2.htm" TargetMode="External"/><Relationship Id="rId71" Type="http://schemas.openxmlformats.org/officeDocument/2006/relationships/hyperlink" Target="https://www.sec.gov/Archives/edgar/data/1855467/000164117225000999/ex99-3.htm" TargetMode="External"/><Relationship Id="rId72" Type="http://schemas.openxmlformats.org/officeDocument/2006/relationships/hyperlink" Target="https://www.sec.gov/Archives/edgar/data/1855467/000164117225000999/ex99-4.htm" TargetMode="External"/><Relationship Id="rId73" Type="http://schemas.openxmlformats.org/officeDocument/2006/relationships/hyperlink" Target="https://www.sec.gov/Archives/edgar/data/1855467/000164117225000999/ex99-5.htm" TargetMode="External"/><Relationship Id="rId74" Type="http://schemas.openxmlformats.org/officeDocument/2006/relationships/hyperlink" Target="https://www.sec.gov/Archives/edgar/data/1855467/000164117225010986/ex10-6.htm" TargetMode="External"/><Relationship Id="rId75" Type="http://schemas.openxmlformats.org/officeDocument/2006/relationships/hyperlink" Target="https://www.sec.gov/Archives/edgar/data/1855467/000164117225010986/ex10-7.htm" TargetMode="External"/><Relationship Id="rId76" Type="http://schemas.openxmlformats.org/officeDocument/2006/relationships/hyperlink" Target="https://www.sec.gov/Archives/edgar/data/1855467/000164117225000999/ex99-11.htm" TargetMode="External"/><Relationship Id="rId77" Type="http://schemas.openxmlformats.org/officeDocument/2006/relationships/hyperlink" Target="https://www.sec.gov/Archives/edgar/data/1855467/000164117225022484/ex10-46.htm" TargetMode="External"/><Relationship Id="rId78" Type="http://schemas.openxmlformats.org/officeDocument/2006/relationships/hyperlink" Target="https://www.sec.gov/Archives/edgar/data/1855467/000149315225012596/ex10-1.htm" TargetMode="External"/><Relationship Id="rId79" Type="http://schemas.openxmlformats.org/officeDocument/2006/relationships/hyperlink" Target="https://www.sec.gov/Archives/edgar/data/1855467/000149315225017858/ex10-48.htm" TargetMode="External"/><Relationship Id="rId80" Type="http://schemas.openxmlformats.org/officeDocument/2006/relationships/hyperlink" Target="https://www.sec.gov/Archives/edgar/data/1855467/000149315225017858/ex10-49.htm" TargetMode="External"/><Relationship Id="rId81" Type="http://schemas.openxmlformats.org/officeDocument/2006/relationships/hyperlink" Target="https://www.sec.gov/Archives/edgar/data/1855467/000149315225017858/ex10-50.htm" TargetMode="External"/><Relationship Id="rId82" Type="http://schemas.openxmlformats.org/officeDocument/2006/relationships/hyperlink" Target="https://www.sec.gov/Archives/edgar/data/1855467/000149315225017858/ex10-51.htm" TargetMode="External"/><Relationship Id="rId83" Type="http://schemas.openxmlformats.org/officeDocument/2006/relationships/hyperlink" Target="https://www.sec.gov/Archives/edgar/data/1855467/000149315225017858/ex10-52.htm" TargetMode="External"/><Relationship Id="rId84" Type="http://schemas.openxmlformats.org/officeDocument/2006/relationships/hyperlink" Target="https://www.sec.gov/Archives/edgar/data/1855467/000149315225017858/ex10-53.htm" TargetMode="External"/><Relationship Id="rId85" Type="http://schemas.openxmlformats.org/officeDocument/2006/relationships/hyperlink" Target="https://www.sec.gov/Archives/edgar/data/1855467/000149315226000731/ex10-1.htm" TargetMode="External"/><Relationship Id="rId86" Type="http://schemas.openxmlformats.org/officeDocument/2006/relationships/hyperlink" Target="https://www.sec.gov/Archives/edgar/data/1855467/000149315226000731/ex10-2.htm" TargetMode="External"/><Relationship Id="rId87" Type="http://schemas.openxmlformats.org/officeDocument/2006/relationships/hyperlink" Target="https://www.sec.gov/Archives/edgar/data/1855467/000149315226000731/ex10-3.htm" TargetMode="External"/><Relationship Id="rId88" Type="http://schemas.openxmlformats.org/officeDocument/2006/relationships/hyperlink" Target="https://www.sec.gov/Archives/edgar/data/1855467/000149315226019180/ex10-57.htm" TargetMode="External"/><Relationship Id="rId89" Type="http://schemas.openxmlformats.org/officeDocument/2006/relationships/hyperlink" Target="https://www.sec.gov/Archives/edgar/data/1855467/000149315226019180/ex10-58.htm" TargetMode="External"/><Relationship Id="rId90" Type="http://schemas.openxmlformats.org/officeDocument/2006/relationships/hyperlink" Target="https://www.sec.gov/Archives/edgar/data/1855467/000149315226024661/ex10-3.htm" TargetMode="External"/><Relationship Id="rId91" Type="http://schemas.openxmlformats.org/officeDocument/2006/relationships/hyperlink" Target="https://www.sec.gov/Archives/edgar/data/1855467/000149315226024661/ex10-4.htm" TargetMode="External"/><Relationship Id="rId92" Type="http://schemas.openxmlformats.org/officeDocument/2006/relationships/hyperlink" Target="https://www.sec.gov/Archives/edgar/data/1855467/000149315226024661/ex10-5.htm" TargetMode="External"/><Relationship Id="rId93" Type="http://schemas.openxmlformats.org/officeDocument/2006/relationships/hyperlink" Target="https://www.sec.gov/Archives/edgar/data/1855467/000149315226029436/ex10-62.htm" TargetMode="External"/><Relationship Id="rId94" Type="http://schemas.openxmlformats.org/officeDocument/2006/relationships/hyperlink" Target="https://www.sec.gov/Archives/edgar/data/1855467/000149315226030338/ex10-1.htm" TargetMode="External"/><Relationship Id="rId95" Type="http://schemas.openxmlformats.org/officeDocument/2006/relationships/hyperlink" Target="https://www.sec.gov/Archives/edgar/data/1855467/000149315226001921/ex21-1.htm" TargetMode="External"/><Relationship Id="rId96" Type="http://schemas.openxmlformats.org/officeDocument/2006/relationships/hyperlink" Target="https://www.sec.gov/Archives/edgar/data/1855467/000149315226029436/ex5-1.htm" TargetMode="External"/><Relationship Id="rId97" Type="http://schemas.openxmlformats.org/officeDocument/2006/relationships/hyperlink" Target="https://www.sec.gov/Archives/edgar/data/1855467/000149315226029436/ex107.htm" TargetMode="External"/><Relationship Id="rId98" Type="http://schemas.openxmlformats.org/officeDocument/2006/relationships/fontTable" Target="fontTable.xml"/><Relationship Id="rId9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111070</Words>
  <Characters>596457</Characters>
  <CharactersWithSpaces>714065</CharactersWithSpaces>
  <Paragraphs>20659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