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28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2846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SAMINI KEYVAN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MOBIX LABS,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VENTURE,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MOBIX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MOBX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President, CFO &amp; Director</w:t>
      </w:r>
    </w:p>
    <w:p>
      <w:pPr>
        <w:spacing w:after="0" w:line="415"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92618</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1" w:lineRule="exact"/>
        <w:rPr>
          <w:sz w:val="24"/>
          <w:szCs w:val="24"/>
          <w:color w:val="auto"/>
        </w:rPr>
      </w:pPr>
    </w:p>
    <w:p>
      <w:pPr>
        <w:sectPr>
          <w:pgSz w:w="11900" w:h="16838"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195"/>
              <w:spacing w:after="0"/>
              <w:rPr>
                <w:sz w:val="20"/>
                <w:szCs w:val="20"/>
                <w:color w:val="auto"/>
              </w:rPr>
            </w:pPr>
            <w:r>
              <w:rPr>
                <w:rFonts w:ascii="Times New Roman" w:cs="Times New Roman" w:eastAsia="Times New Roman" w:hAnsi="Times New Roman"/>
                <w:sz w:val="17"/>
                <w:szCs w:val="17"/>
                <w:color w:val="0000FF"/>
              </w:rPr>
              <w:t>3</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2.1367</w:t>
            </w:r>
            <w:r>
              <w:rPr>
                <w:rFonts w:ascii="Times New Roman" w:cs="Times New Roman" w:eastAsia="Times New Roman" w:hAnsi="Times New Roman"/>
                <w:sz w:val="21"/>
                <w:szCs w:val="21"/>
                <w:color w:val="008000"/>
                <w:w w:val="99"/>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267,163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112,110</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1.9807</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155,053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7,353</w:t>
            </w:r>
          </w:p>
        </w:tc>
        <w:tc>
          <w:tcPr>
            <w:tcW w:w="260" w:type="dxa"/>
            <w:vAlign w:val="bottom"/>
          </w:tcPr>
          <w:p>
            <w:pPr>
              <w:spacing w:after="0"/>
              <w:rPr>
                <w:sz w:val="21"/>
                <w:szCs w:val="2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KSLI</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17,114</w:t>
            </w:r>
          </w:p>
        </w:tc>
        <w:tc>
          <w:tcPr>
            <w:tcW w:w="260" w:type="dxa"/>
            <w:vAlign w:val="bottom"/>
          </w:tcPr>
          <w:p>
            <w:pPr>
              <w:spacing w:after="0"/>
              <w:rPr>
                <w:sz w:val="18"/>
                <w:szCs w:val="18"/>
                <w:color w:val="auto"/>
              </w:rPr>
            </w:pPr>
          </w:p>
        </w:tc>
        <w:tc>
          <w:tcPr>
            <w:tcW w:w="680" w:type="dxa"/>
            <w:vAlign w:val="bottom"/>
          </w:tcPr>
          <w:p>
            <w:pPr>
              <w:ind w:left="60"/>
              <w:spacing w:after="0" w:line="207"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9"/>
                <w:szCs w:val="9"/>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KSSF</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7,352</w:t>
            </w:r>
          </w:p>
        </w:tc>
        <w:tc>
          <w:tcPr>
            <w:tcW w:w="260" w:type="dxa"/>
            <w:vAlign w:val="bottom"/>
          </w:tcPr>
          <w:p>
            <w:pPr>
              <w:spacing w:after="0"/>
              <w:rPr>
                <w:sz w:val="21"/>
                <w:szCs w:val="2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SSLI</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6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11"/>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32,353</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tcPr>
          <w:p>
            <w:pPr>
              <w:jc w:val="right"/>
              <w:ind w:right="15"/>
              <w:spacing w:after="0" w:line="143" w:lineRule="exact"/>
              <w:rPr>
                <w:sz w:val="20"/>
                <w:szCs w:val="20"/>
                <w:color w:val="auto"/>
              </w:rPr>
            </w:pPr>
            <w:r>
              <w:rPr>
                <w:rFonts w:ascii="Times New Roman" w:cs="Times New Roman" w:eastAsia="Times New Roman" w:hAnsi="Times New Roman"/>
                <w:sz w:val="13"/>
                <w:szCs w:val="13"/>
                <w:color w:val="0000FF"/>
              </w:rPr>
              <w:t>08/10/2030</w:t>
            </w:r>
          </w:p>
        </w:tc>
        <w:tc>
          <w:tcPr>
            <w:tcW w:w="6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32,352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55"/>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12,500</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(3)</w:t>
            </w: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KSSF</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12,500</w:t>
            </w: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 from $2.13 to $2.14 per share. The Reporting Person, upon request, will provide the Securities and Exchange Commission staff, the issuer or the security holder of the issuer full information regarding the number of shares sold at each separate price.</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shares sold. The prices of the shares sold pursuant to the transactions range from $1.9501 to $2.1739 per share. The Reporting Person, upon request, will provide the Securities and Exchange Commission staff, the issuer or the security holder of the issuer full information regarding the number of shares sold at each separate price.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trustee of this trust. The Reporting Person disclaims beneficial ownership of the securities held by this trust except to the extent of his respective pecuniary interest therein.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fully vested and exercisable.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B Common Stock are convertible into shares of Class A Common Stock at the option of the Reporting Person and will be automatically converted upon (i) a transfer by the Reporting Person (other than a permitted transfer) or (ii) the first trading day after the seventh anniversary date of the Closing Date (December 21, 2023).</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amounts reported in Tables I and II and the exercise prices of the options in Table II have been adjusted to reflect a 1-for-10 reverse stock split effected by the Issuer on April 6, 2026.</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Terri Aprati,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9"/>
        </w:trPr>
        <w:tc>
          <w:tcPr>
            <w:tcW w:w="192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4846" TargetMode="External"/><Relationship Id="rId14" Type="http://schemas.openxmlformats.org/officeDocument/2006/relationships/hyperlink" Target="http://www.sec.gov/cgi-bin/browse-edgar?action=getcompany&amp;CIK=00018554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2026-06-15T20:36:53Z</dcterms:created>
  <dcterms:modified xsi:type="dcterms:W3CDTF">2026-06-15T20:36:53Z</dcterms:modified>
</cp:coreProperties>
</file>