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18, 2026</w:t>
      </w:r>
    </w:p>
    <w:p>
      <w:pPr>
        <w:spacing w:after="0" w:line="18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16089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336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172720</wp:posOffset>
            </wp:positionV>
            <wp:extent cx="71608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S-1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MOBIX LABS,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Exact name of registrant as specified in its charter</w:t>
      </w:r>
      <w:r>
        <w:rPr>
          <w:rFonts w:ascii="Times New Roman" w:cs="Times New Roman" w:eastAsia="Times New Roman" w:hAnsi="Times New Roman"/>
          <w:sz w:val="14"/>
          <w:szCs w:val="14"/>
          <w:color w:val="auto"/>
        </w:rPr>
        <w:t>)</w:t>
      </w:r>
    </w:p>
    <w:p>
      <w:pPr>
        <w:spacing w:after="0" w:line="162" w:lineRule="exact"/>
        <w:rPr>
          <w:sz w:val="24"/>
          <w:szCs w:val="24"/>
          <w:color w:val="auto"/>
        </w:rPr>
      </w:pPr>
    </w:p>
    <w:tbl>
      <w:tblPr>
        <w:tblLayout w:type="fixed"/>
        <w:tblInd w:w="940" w:type="dxa"/>
        <w:tblCellMar>
          <w:top w:w="0" w:type="dxa"/>
          <w:left w:w="0" w:type="dxa"/>
          <w:bottom w:w="0" w:type="dxa"/>
          <w:right w:w="0" w:type="dxa"/>
        </w:tblCellMar>
      </w:tblPr>
      <w:tr>
        <w:trPr>
          <w:trHeight w:val="171"/>
        </w:trPr>
        <w:tc>
          <w:tcPr>
            <w:tcW w:w="2820" w:type="dxa"/>
            <w:vAlign w:val="bottom"/>
          </w:tcPr>
          <w:p>
            <w:pPr>
              <w:jc w:val="center"/>
              <w:ind w:right="100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3674</w:t>
            </w:r>
          </w:p>
        </w:tc>
        <w:tc>
          <w:tcPr>
            <w:tcW w:w="2480" w:type="dxa"/>
            <w:vAlign w:val="bottom"/>
          </w:tcPr>
          <w:p>
            <w:pPr>
              <w:jc w:val="center"/>
              <w:ind w:left="1089"/>
              <w:spacing w:after="0"/>
              <w:rPr>
                <w:sz w:val="20"/>
                <w:szCs w:val="20"/>
                <w:color w:val="auto"/>
              </w:rPr>
            </w:pPr>
            <w:r>
              <w:rPr>
                <w:rFonts w:ascii="Times New Roman" w:cs="Times New Roman" w:eastAsia="Times New Roman" w:hAnsi="Times New Roman"/>
                <w:sz w:val="14"/>
                <w:szCs w:val="14"/>
                <w:b w:val="1"/>
                <w:bCs w:val="1"/>
                <w:color w:val="auto"/>
              </w:rPr>
              <w:t>98-1591717</w:t>
            </w:r>
          </w:p>
        </w:tc>
      </w:tr>
      <w:tr>
        <w:trPr>
          <w:trHeight w:val="171"/>
        </w:trPr>
        <w:tc>
          <w:tcPr>
            <w:tcW w:w="2820" w:type="dxa"/>
            <w:vAlign w:val="bottom"/>
          </w:tcPr>
          <w:p>
            <w:pPr>
              <w:jc w:val="center"/>
              <w:ind w:right="1009"/>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3900" w:type="dxa"/>
            <w:vAlign w:val="bottom"/>
          </w:tcPr>
          <w:p>
            <w:pPr>
              <w:jc w:val="center"/>
              <w:ind w:right="49"/>
              <w:spacing w:after="0"/>
              <w:rPr>
                <w:sz w:val="20"/>
                <w:szCs w:val="20"/>
                <w:color w:val="auto"/>
              </w:rPr>
            </w:pPr>
            <w:r>
              <w:rPr>
                <w:rFonts w:ascii="Times New Roman" w:cs="Times New Roman" w:eastAsia="Times New Roman" w:hAnsi="Times New Roman"/>
                <w:sz w:val="14"/>
                <w:szCs w:val="14"/>
                <w:i w:val="1"/>
                <w:iCs w:val="1"/>
                <w:color w:val="auto"/>
              </w:rPr>
              <w:t>(Primary Standard Industrial</w:t>
            </w:r>
          </w:p>
        </w:tc>
        <w:tc>
          <w:tcPr>
            <w:tcW w:w="2480" w:type="dxa"/>
            <w:vAlign w:val="bottom"/>
          </w:tcPr>
          <w:p>
            <w:pPr>
              <w:jc w:val="center"/>
              <w:ind w:left="1089"/>
              <w:spacing w:after="0"/>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87"/>
        </w:trPr>
        <w:tc>
          <w:tcPr>
            <w:tcW w:w="2820" w:type="dxa"/>
            <w:vAlign w:val="bottom"/>
          </w:tcPr>
          <w:p>
            <w:pPr>
              <w:jc w:val="center"/>
              <w:ind w:right="989"/>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3900" w:type="dxa"/>
            <w:vAlign w:val="bottom"/>
          </w:tcPr>
          <w:p>
            <w:pPr>
              <w:jc w:val="center"/>
              <w:ind w:right="49"/>
              <w:spacing w:after="0"/>
              <w:rPr>
                <w:sz w:val="20"/>
                <w:szCs w:val="20"/>
                <w:color w:val="auto"/>
              </w:rPr>
            </w:pPr>
            <w:r>
              <w:rPr>
                <w:rFonts w:ascii="Times New Roman" w:cs="Times New Roman" w:eastAsia="Times New Roman" w:hAnsi="Times New Roman"/>
                <w:sz w:val="14"/>
                <w:szCs w:val="14"/>
                <w:i w:val="1"/>
                <w:iCs w:val="1"/>
                <w:color w:val="auto"/>
              </w:rPr>
              <w:t>Classification Code Number)</w:t>
            </w:r>
          </w:p>
        </w:tc>
        <w:tc>
          <w:tcPr>
            <w:tcW w:w="2480" w:type="dxa"/>
            <w:vAlign w:val="bottom"/>
          </w:tcPr>
          <w:p>
            <w:pPr>
              <w:jc w:val="center"/>
              <w:ind w:left="1089"/>
              <w:spacing w:after="0"/>
              <w:rPr>
                <w:sz w:val="20"/>
                <w:szCs w:val="20"/>
                <w:color w:val="auto"/>
              </w:rPr>
            </w:pPr>
            <w:r>
              <w:rPr>
                <w:rFonts w:ascii="Times New Roman" w:cs="Times New Roman" w:eastAsia="Times New Roman" w:hAnsi="Times New Roman"/>
                <w:sz w:val="14"/>
                <w:szCs w:val="14"/>
                <w:i w:val="1"/>
                <w:iCs w:val="1"/>
                <w:color w:val="auto"/>
              </w:rPr>
              <w:t>Identification Number)</w:t>
            </w:r>
          </w:p>
        </w:tc>
      </w:tr>
    </w:tbl>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 Venture, Suite 220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Irvine, California 92618</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(949) 808-8888</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Address, including zip code, and telephone number, including area code, of registrant’s principal executive offices</w:t>
      </w:r>
      <w:r>
        <w:rPr>
          <w:rFonts w:ascii="Times New Roman" w:cs="Times New Roman" w:eastAsia="Times New Roman" w:hAnsi="Times New Roman"/>
          <w:sz w:val="14"/>
          <w:szCs w:val="14"/>
          <w:color w:val="auto"/>
        </w:rPr>
        <w:t>)</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Keyvan Samini</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President and Chief Financial Officer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 Venture, Suite 220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Irvine, California 92618</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(949) 808-8888</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Address, including zip code, and telephone number, including area code, of agent for service</w:t>
      </w:r>
      <w:r>
        <w:rPr>
          <w:rFonts w:ascii="Times New Roman" w:cs="Times New Roman" w:eastAsia="Times New Roman" w:hAnsi="Times New Roman"/>
          <w:sz w:val="14"/>
          <w:szCs w:val="14"/>
          <w:color w:val="auto"/>
        </w:rPr>
        <w: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Raymond Lee, Esq.</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Laurie L. Green, Esq.</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Greenberg Traurig, LLP</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18565 Jamboree Road</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Suite 500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Irvine, CA 92612</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(949) 732-6510</w:t>
      </w:r>
    </w:p>
    <w:p>
      <w:pPr>
        <w:spacing w:after="0" w:line="164"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From time to time after this registration statement becomes effective.</w:t>
      </w:r>
    </w:p>
    <w:p>
      <w:pPr>
        <w:spacing w:after="0" w:line="151"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12" w:lineRule="exact"/>
        <w:rPr>
          <w:sz w:val="24"/>
          <w:szCs w:val="24"/>
          <w:color w:val="auto"/>
        </w:rPr>
      </w:pPr>
    </w:p>
    <w:p>
      <w:pPr>
        <w:ind w:firstLine="256"/>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ind w:firstLine="256"/>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ind w:firstLine="256"/>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ind w:firstLine="256"/>
        <w:spacing w:after="0" w:line="28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379" w:right="319" w:bottom="1440" w:gutter="0" w:footer="0" w:header="0"/>
        </w:sectPr>
      </w:pPr>
    </w:p>
    <w:p>
      <w:pPr>
        <w:spacing w:after="0" w:line="9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5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4" w:lineRule="exact"/>
        <w:rPr>
          <w:sz w:val="24"/>
          <w:szCs w:val="24"/>
          <w:color w:val="auto"/>
        </w:rPr>
      </w:pPr>
    </w:p>
    <w:p>
      <w:pPr>
        <w:sectPr>
          <w:pgSz w:w="11900" w:h="16838" w:orient="portrait"/>
          <w:cols w:equalWidth="0" w:num="4">
            <w:col w:w="2120" w:space="720"/>
            <w:col w:w="2080" w:space="720"/>
            <w:col w:w="2100" w:space="720"/>
            <w:col w:w="2820"/>
          </w:cols>
          <w:pgMar w:left="300" w:top="379" w:right="319" w:bottom="1440" w:gutter="0" w:footer="0" w:header="0"/>
          <w:type w:val="continuous"/>
        </w:sectPr>
      </w:pPr>
    </w:p>
    <w:p>
      <w:pPr>
        <w:jc w:val="both"/>
        <w:ind w:firstLine="256"/>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3" w:lineRule="exact"/>
        <w:rPr>
          <w:sz w:val="24"/>
          <w:szCs w:val="24"/>
          <w:color w:val="auto"/>
        </w:rPr>
      </w:pPr>
    </w:p>
    <w:p>
      <w:pPr>
        <w:jc w:val="both"/>
        <w:ind w:firstLine="256"/>
        <w:spacing w:after="0" w:line="27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1608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wp:posOffset>
            </wp:positionV>
            <wp:extent cx="716089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336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366395</wp:posOffset>
            </wp:positionV>
            <wp:extent cx="71608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379"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FF0000"/>
        </w:rPr>
        <w:t>SUBJECT TO COMPLETION, DATED JUNE 18, 2026</w:t>
      </w:r>
    </w:p>
    <w:p>
      <w:pPr>
        <w:spacing w:after="0" w:line="18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FF0000"/>
        </w:rPr>
        <w:t>The information in this prospectus is not complete and may be changed. These securities may not be sold until the registration statement filed with the SEC is effective. This prospectus is not an offer to sell these securities and is not soliciting an offer to buy these securities in any jurisdiction where the offer or sale is not permitted.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2401570</wp:posOffset>
            </wp:positionH>
            <wp:positionV relativeFrom="paragraph">
              <wp:posOffset>125095</wp:posOffset>
            </wp:positionV>
            <wp:extent cx="2371090" cy="304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1090" cy="30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3,744,161 SHARES OF CLASS A COMMON STOCK</w:t>
      </w:r>
    </w:p>
    <w:p>
      <w:pPr>
        <w:spacing w:after="0" w:line="182" w:lineRule="exact"/>
        <w:rPr>
          <w:sz w:val="20"/>
          <w:szCs w:val="20"/>
          <w:color w:val="auto"/>
        </w:rPr>
      </w:pPr>
    </w:p>
    <w:p>
      <w:pPr>
        <w:ind w:firstLine="512"/>
        <w:spacing w:after="0" w:line="289" w:lineRule="auto"/>
        <w:rPr>
          <w:sz w:val="20"/>
          <w:szCs w:val="20"/>
          <w:color w:val="auto"/>
        </w:rPr>
      </w:pPr>
      <w:r>
        <w:rPr>
          <w:rFonts w:ascii="Times New Roman" w:cs="Times New Roman" w:eastAsia="Times New Roman" w:hAnsi="Times New Roman"/>
          <w:sz w:val="14"/>
          <w:szCs w:val="14"/>
          <w:color w:val="auto"/>
        </w:rPr>
        <w:t>This prospectus relates to the registration of the resale or other distribution by the selling stockholders named herein (the “Selling Stockholders”) of up to 3,744,161 shares of Class A Common Stock of Mobix Labs, Inc. (the “Class A Common Stock”), consisting of:</w:t>
      </w:r>
    </w:p>
    <w:p>
      <w:pPr>
        <w:spacing w:after="0" w:line="124" w:lineRule="exact"/>
        <w:rPr>
          <w:sz w:val="20"/>
          <w:szCs w:val="20"/>
          <w:color w:val="auto"/>
        </w:rPr>
      </w:pPr>
    </w:p>
    <w:p>
      <w:pPr>
        <w:jc w:val="both"/>
        <w:ind w:left="780" w:hanging="263"/>
        <w:spacing w:after="0" w:line="259" w:lineRule="auto"/>
        <w:tabs>
          <w:tab w:leader="none" w:pos="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2,000,000 shares issuable to an investor (1) upon the conversion of 2,000 shares of Series A 10% Convertible Preferred Stock, (2) upon the conversion of 6,000 shares of Series A 10% Convertible Preferred Stock issuable upon exercise of a Preferred Stock Purchase Warrant (the “Preferred Warrant”) and (3) in connection with the transaction. The shares of Series A 10% Convertible Preferred Stock issued and underlying the Preferred Warrant, including any future shares issued as a dividend on the Preferred Stock, are hereinafter referred to as the “Preferred Shares”;</w:t>
      </w:r>
    </w:p>
    <w:p>
      <w:pPr>
        <w:spacing w:after="0" w:line="1" w:lineRule="exact"/>
        <w:rPr>
          <w:rFonts w:ascii="Times New Roman" w:cs="Times New Roman" w:eastAsia="Times New Roman" w:hAnsi="Times New Roman"/>
          <w:sz w:val="14"/>
          <w:szCs w:val="14"/>
          <w:color w:val="auto"/>
        </w:rPr>
      </w:pPr>
    </w:p>
    <w:p>
      <w:pPr>
        <w:ind w:left="780" w:hanging="263"/>
        <w:spacing w:after="0"/>
        <w:tabs>
          <w:tab w:leader="none" w:pos="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1,207,942 shares issued to lenders in satisfaction of outstanding debt;</w:t>
      </w:r>
    </w:p>
    <w:p>
      <w:pPr>
        <w:spacing w:after="0" w:line="9" w:lineRule="exact"/>
        <w:rPr>
          <w:rFonts w:ascii="Times New Roman" w:cs="Times New Roman" w:eastAsia="Times New Roman" w:hAnsi="Times New Roman"/>
          <w:sz w:val="14"/>
          <w:szCs w:val="14"/>
          <w:color w:val="auto"/>
        </w:rPr>
      </w:pPr>
    </w:p>
    <w:p>
      <w:pPr>
        <w:ind w:left="780" w:hanging="263"/>
        <w:spacing w:after="0"/>
        <w:tabs>
          <w:tab w:leader="none" w:pos="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71,267 shares issued in connection with the settlement of litigation; and</w:t>
      </w:r>
    </w:p>
    <w:p>
      <w:pPr>
        <w:spacing w:after="0" w:line="9" w:lineRule="exact"/>
        <w:rPr>
          <w:rFonts w:ascii="Times New Roman" w:cs="Times New Roman" w:eastAsia="Times New Roman" w:hAnsi="Times New Roman"/>
          <w:sz w:val="14"/>
          <w:szCs w:val="14"/>
          <w:color w:val="auto"/>
        </w:rPr>
      </w:pPr>
    </w:p>
    <w:p>
      <w:pPr>
        <w:ind w:left="780" w:hanging="263"/>
        <w:spacing w:after="0"/>
        <w:tabs>
          <w:tab w:leader="none" w:pos="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464,952 shares issued as earnout shares in connection with our acquisition of RaGE Systems, Inc.</w:t>
      </w:r>
    </w:p>
    <w:p>
      <w:pPr>
        <w:spacing w:after="0" w:line="166"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shares of Class A Common Stock that may be sold by the Selling Stockholders are collectively referred to in this prospectus as the “Offered Securities.” Our registration of the resale of the Offered Securities does not mean that the Selling Stockholders will offer or sell any of the Offered Securities.</w:t>
      </w:r>
    </w:p>
    <w:p>
      <w:pPr>
        <w:spacing w:after="0" w:line="12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will not receive any of the proceeds from the sale by the Selling Stockholders of any of the Offered Securities. We may receive up to $6,000,000 to the extent the Preferred Warrant is exercised. We intend to use any proceeds from the exercise of the Preferred Warrant for working capital and general corporate purposes. We will bear all costs, expenses and fees in connection with the registration of the resale of the Offered Securities. The Selling Stockholders will bear all commissions and discounts, if any, attributable to their respective sales of the Offered Securities.</w:t>
      </w:r>
    </w:p>
    <w:p>
      <w:pPr>
        <w:spacing w:after="0" w:line="135"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The Offered Securities being offered for resale in this prospectus represent a substantial percentage of the total outstanding shares of our Class A Common Stock as of June 8, 2026. Assuming the issuance of all of the Offered Securities being registered for resale pursuant to this prospectus to the Selling Stockholders, the Offered Securities would represent approximately 25% of the outstanding Class A Common Stock as of June 8, 2026. The resale of the Offered Securities, or the perception that these sales could occur, pursuant to this prospectus, could result in a significant decline in the public trading price of our Class A Common Stock. In addition to the Selling Stockholders, certain other stockholders may resell a substantial number of our securities pursuant to separate resale prospectuses. The sale of the shares offered hereby together with the sale of these additional securities, or the perception that these sales could occur, could depress the market price of our securities.</w:t>
      </w:r>
    </w:p>
    <w:p>
      <w:pPr>
        <w:spacing w:after="0" w:line="14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Selling Stockholders may offer and sell the securities covered by this prospectus in a number of different ways and at varying prices. We provide more information about how the Selling Stockholders may sell the securities in the section titled “Plan of Distribution.”</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Sales of a substantial number of shares of Class A Common Stock in the public markets, including by the Selling Stockholders, who obtained their shares at prices or values below the current market price, or the perception in the market that such sales could occur, could result in a significant decline in the public trading price of the Class A Common Stock.</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You should carefully read this prospectus, and any applicable prospectus supplement, before you invest in any of our securities.</w:t>
      </w:r>
    </w:p>
    <w:p>
      <w:pPr>
        <w:spacing w:after="0" w:line="18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shares of Class A Common Stock are listed on Nasdaq Stock Market LLC (“Nasdaq”) and our public warrants (the “Public Warrants”) are listed on Nasdaq under the symbols “MOBX” and “MOBXW,” respectively. On June 17, 2026, the last closing price of the Class A Common Stock as reported on Nasdaq was $2.03 per share.</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are an “emerging growth company” and a “smaller reporting company” as defined under the federal securities laws and, as such, have elected to comply with certain reduced public company reporting requirements for this prospectus and may elect to do so in future filings. See “Implications of being an Emerging Growth Company and Smaller Reporting Company.”</w:t>
      </w:r>
    </w:p>
    <w:p>
      <w:pPr>
        <w:spacing w:after="0" w:line="122" w:lineRule="exact"/>
        <w:rPr>
          <w:sz w:val="20"/>
          <w:szCs w:val="20"/>
          <w:color w:val="auto"/>
        </w:rPr>
      </w:pPr>
    </w:p>
    <w:p>
      <w:pPr>
        <w:jc w:val="both"/>
        <w:ind w:firstLine="512"/>
        <w:spacing w:after="0" w:line="273"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You should carefully read and consider the risk factors included in our periodic reports filed with the Securities and Exchange Commission (the “SEC”), in any applicable prospectus supplement relating to a specific offering of securities and in any other documents we file with the SEC. See the section entitled “Risk Factors” on page 4 of this prospectus, in our other filings with the SEC and in the applicable prospectus supplement.</w:t>
      </w:r>
    </w:p>
    <w:p>
      <w:pPr>
        <w:spacing w:after="0" w:line="133"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or any prospectus supplement is truthful or complete. Any representation to the contrary is a criminal offense.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40" w:type="dxa"/>
            <w:vAlign w:val="bottom"/>
          </w:tcPr>
          <w:p>
            <w:pPr>
              <w:ind w:left="4160"/>
              <w:spacing w:after="0"/>
              <w:rPr>
                <w:sz w:val="20"/>
                <w:szCs w:val="20"/>
                <w:color w:val="auto"/>
              </w:rPr>
            </w:pPr>
            <w:r>
              <w:rPr>
                <w:rFonts w:ascii="Times New Roman" w:cs="Times New Roman" w:eastAsia="Times New Roman" w:hAnsi="Times New Roman"/>
                <w:sz w:val="14"/>
                <w:szCs w:val="14"/>
                <w:b w:val="1"/>
                <w:bCs w:val="1"/>
                <w:color w:val="auto"/>
              </w:rPr>
              <w:t>The date of this prospectus is</w:t>
            </w:r>
          </w:p>
        </w:tc>
        <w:tc>
          <w:tcPr>
            <w:tcW w:w="4940" w:type="dxa"/>
            <w:vAlign w:val="bottom"/>
          </w:tcPr>
          <w:p>
            <w:pPr>
              <w:jc w:val="right"/>
              <w:ind w:right="4089"/>
              <w:spacing w:after="0"/>
              <w:rPr>
                <w:sz w:val="20"/>
                <w:szCs w:val="20"/>
                <w:color w:val="auto"/>
              </w:rPr>
            </w:pPr>
            <w:r>
              <w:rPr>
                <w:rFonts w:ascii="Times New Roman" w:cs="Times New Roman" w:eastAsia="Times New Roman" w:hAnsi="Times New Roman"/>
                <w:sz w:val="14"/>
                <w:szCs w:val="14"/>
                <w:b w:val="1"/>
                <w:bCs w:val="1"/>
                <w:color w:val="auto"/>
              </w:rPr>
              <w:t>, 2026.</w:t>
            </w:r>
          </w:p>
        </w:tc>
      </w:tr>
      <w:tr>
        <w:trPr>
          <w:trHeight w:val="342"/>
        </w:trPr>
        <w:tc>
          <w:tcPr>
            <w:tcW w:w="63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71"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720" w:type="dxa"/>
            <w:vAlign w:val="bottom"/>
          </w:tcPr>
          <w:p>
            <w:pPr>
              <w:spacing w:after="0"/>
              <w:rPr>
                <w:sz w:val="16"/>
                <w:szCs w:val="16"/>
                <w:color w:val="auto"/>
              </w:rPr>
            </w:pPr>
          </w:p>
        </w:tc>
      </w:tr>
      <w:tr>
        <w:trPr>
          <w:trHeight w:val="171"/>
        </w:trPr>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39"/>
        </w:trPr>
        <w:tc>
          <w:tcPr>
            <w:tcW w:w="9560" w:type="dxa"/>
            <w:vAlign w:val="bottom"/>
            <w:gridSpan w:val="23"/>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EE"/>
              </w:rPr>
              <w:t>ABOUT THIS PROSPECTUS</w:t>
            </w:r>
          </w:p>
        </w:tc>
        <w:tc>
          <w:tcPr>
            <w:tcW w:w="1720" w:type="dxa"/>
            <w:vAlign w:val="bottom"/>
            <w:shd w:val="clear" w:color="auto" w:fill="CCEEFF"/>
          </w:tcPr>
          <w:p>
            <w:pPr>
              <w:jc w:val="center"/>
              <w:ind w:left="1129"/>
              <w:spacing w:after="0" w:line="139" w:lineRule="exact"/>
              <w:rPr>
                <w:sz w:val="20"/>
                <w:szCs w:val="20"/>
                <w:color w:val="auto"/>
              </w:rPr>
            </w:pPr>
            <w:r>
              <w:rPr>
                <w:rFonts w:ascii="Times New Roman" w:cs="Times New Roman" w:eastAsia="Times New Roman" w:hAnsi="Times New Roman"/>
                <w:sz w:val="14"/>
                <w:szCs w:val="14"/>
                <w:color w:val="auto"/>
              </w:rPr>
              <w:t>i</w:t>
            </w:r>
          </w:p>
        </w:tc>
      </w:tr>
      <w:tr>
        <w:trPr>
          <w:trHeight w:val="32"/>
        </w:trPr>
        <w:tc>
          <w:tcPr>
            <w:tcW w:w="6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r>
        <w:trPr>
          <w:trHeight w:val="145"/>
        </w:trPr>
        <w:tc>
          <w:tcPr>
            <w:tcW w:w="6840" w:type="dxa"/>
            <w:vAlign w:val="bottom"/>
            <w:tcBorders>
              <w:bottom w:val="single" w:sz="8" w:color="0000EE"/>
            </w:tcBorders>
            <w:gridSpan w:val="21"/>
          </w:tcPr>
          <w:p>
            <w:pPr>
              <w:spacing w:after="0" w:line="139" w:lineRule="exact"/>
              <w:rPr>
                <w:sz w:val="20"/>
                <w:szCs w:val="20"/>
                <w:color w:val="auto"/>
              </w:rPr>
            </w:pPr>
            <w:r>
              <w:rPr>
                <w:rFonts w:ascii="Times New Roman" w:cs="Times New Roman" w:eastAsia="Times New Roman" w:hAnsi="Times New Roman"/>
                <w:sz w:val="14"/>
                <w:szCs w:val="14"/>
                <w:color w:val="0000EE"/>
              </w:rPr>
              <w:t>IMPLICATIONS OF BEING AN EMERGING GROWTH COMPANY AND A SMALLER REPORTING COMPANY</w:t>
            </w:r>
          </w:p>
        </w:tc>
        <w:tc>
          <w:tcPr>
            <w:tcW w:w="2720" w:type="dxa"/>
            <w:vAlign w:val="bottom"/>
            <w:gridSpan w:val="2"/>
          </w:tcPr>
          <w:p>
            <w:pPr>
              <w:spacing w:after="0"/>
              <w:rPr>
                <w:sz w:val="12"/>
                <w:szCs w:val="12"/>
                <w:color w:val="auto"/>
              </w:rPr>
            </w:pPr>
          </w:p>
        </w:tc>
        <w:tc>
          <w:tcPr>
            <w:tcW w:w="1720" w:type="dxa"/>
            <w:vAlign w:val="bottom"/>
          </w:tcPr>
          <w:p>
            <w:pPr>
              <w:jc w:val="center"/>
              <w:ind w:left="1129"/>
              <w:spacing w:after="0" w:line="139" w:lineRule="exact"/>
              <w:rPr>
                <w:sz w:val="20"/>
                <w:szCs w:val="20"/>
                <w:color w:val="auto"/>
              </w:rPr>
            </w:pPr>
            <w:r>
              <w:rPr>
                <w:rFonts w:ascii="Times New Roman" w:cs="Times New Roman" w:eastAsia="Times New Roman" w:hAnsi="Times New Roman"/>
                <w:sz w:val="14"/>
                <w:szCs w:val="14"/>
                <w:color w:val="auto"/>
              </w:rPr>
              <w:t>ii</w:t>
            </w:r>
          </w:p>
        </w:tc>
      </w:tr>
      <w:tr>
        <w:trPr>
          <w:trHeight w:val="157"/>
        </w:trPr>
        <w:tc>
          <w:tcPr>
            <w:tcW w:w="1760" w:type="dxa"/>
            <w:vAlign w:val="bottom"/>
            <w:tcBorders>
              <w:bottom w:val="single" w:sz="8" w:color="0000EE"/>
            </w:tcBorders>
            <w:gridSpan w:val="9"/>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w w:val="99"/>
              </w:rPr>
              <w:t>RISK FACTORS SUMMARY</w:t>
            </w:r>
          </w:p>
        </w:tc>
        <w:tc>
          <w:tcPr>
            <w:tcW w:w="7800" w:type="dxa"/>
            <w:vAlign w:val="bottom"/>
            <w:tcBorders>
              <w:bottom w:val="single" w:sz="8" w:color="CCEEFF"/>
            </w:tcBorders>
            <w:gridSpan w:val="14"/>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center"/>
              <w:ind w:left="1129"/>
              <w:spacing w:after="0" w:line="145" w:lineRule="exact"/>
              <w:rPr>
                <w:sz w:val="20"/>
                <w:szCs w:val="20"/>
                <w:color w:val="auto"/>
              </w:rPr>
            </w:pPr>
            <w:r>
              <w:rPr>
                <w:rFonts w:ascii="Times New Roman" w:cs="Times New Roman" w:eastAsia="Times New Roman" w:hAnsi="Times New Roman"/>
                <w:sz w:val="14"/>
                <w:szCs w:val="14"/>
                <w:color w:val="auto"/>
              </w:rPr>
              <w:t>iii</w:t>
            </w:r>
          </w:p>
        </w:tc>
      </w:tr>
      <w:tr>
        <w:trPr>
          <w:trHeight w:val="145"/>
        </w:trPr>
        <w:tc>
          <w:tcPr>
            <w:tcW w:w="3000" w:type="dxa"/>
            <w:vAlign w:val="bottom"/>
            <w:tcBorders>
              <w:bottom w:val="single" w:sz="8" w:color="0000EE"/>
            </w:tcBorders>
            <w:gridSpan w:val="13"/>
          </w:tcPr>
          <w:p>
            <w:pPr>
              <w:spacing w:after="0" w:line="139" w:lineRule="exact"/>
              <w:rPr>
                <w:sz w:val="20"/>
                <w:szCs w:val="20"/>
                <w:color w:val="auto"/>
              </w:rPr>
            </w:pPr>
            <w:r>
              <w:rPr>
                <w:rFonts w:ascii="Times New Roman" w:cs="Times New Roman" w:eastAsia="Times New Roman" w:hAnsi="Times New Roman"/>
                <w:sz w:val="14"/>
                <w:szCs w:val="14"/>
                <w:color w:val="0000EE"/>
              </w:rPr>
              <w:t>SOURCES OF INDUSTRY AND MARKET DATA</w:t>
            </w:r>
          </w:p>
        </w:tc>
        <w:tc>
          <w:tcPr>
            <w:tcW w:w="6560" w:type="dxa"/>
            <w:vAlign w:val="bottom"/>
            <w:gridSpan w:val="10"/>
          </w:tcPr>
          <w:p>
            <w:pPr>
              <w:spacing w:after="0"/>
              <w:rPr>
                <w:sz w:val="12"/>
                <w:szCs w:val="12"/>
                <w:color w:val="auto"/>
              </w:rPr>
            </w:pPr>
          </w:p>
        </w:tc>
        <w:tc>
          <w:tcPr>
            <w:tcW w:w="1720" w:type="dxa"/>
            <w:vAlign w:val="bottom"/>
          </w:tcPr>
          <w:p>
            <w:pPr>
              <w:jc w:val="center"/>
              <w:ind w:left="1149"/>
              <w:spacing w:after="0" w:line="139" w:lineRule="exact"/>
              <w:rPr>
                <w:sz w:val="20"/>
                <w:szCs w:val="20"/>
                <w:color w:val="auto"/>
              </w:rPr>
            </w:pPr>
            <w:r>
              <w:rPr>
                <w:rFonts w:ascii="Times New Roman" w:cs="Times New Roman" w:eastAsia="Times New Roman" w:hAnsi="Times New Roman"/>
                <w:sz w:val="14"/>
                <w:szCs w:val="14"/>
                <w:color w:val="auto"/>
                <w:w w:val="85"/>
              </w:rPr>
              <w:t>v</w:t>
            </w:r>
          </w:p>
        </w:tc>
      </w:tr>
      <w:tr>
        <w:trPr>
          <w:trHeight w:val="157"/>
        </w:trPr>
        <w:tc>
          <w:tcPr>
            <w:tcW w:w="4580" w:type="dxa"/>
            <w:vAlign w:val="bottom"/>
            <w:tcBorders>
              <w:bottom w:val="single" w:sz="8" w:color="0000EE"/>
            </w:tcBorders>
            <w:gridSpan w:val="19"/>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4980" w:type="dxa"/>
            <w:vAlign w:val="bottom"/>
            <w:tcBorders>
              <w:bottom w:val="single" w:sz="8" w:color="CCEEFF"/>
            </w:tcBorders>
            <w:gridSpan w:val="4"/>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center"/>
              <w:ind w:left="1149"/>
              <w:spacing w:after="0" w:line="145" w:lineRule="exact"/>
              <w:rPr>
                <w:sz w:val="20"/>
                <w:szCs w:val="20"/>
                <w:color w:val="auto"/>
              </w:rPr>
            </w:pPr>
            <w:r>
              <w:rPr>
                <w:rFonts w:ascii="Times New Roman" w:cs="Times New Roman" w:eastAsia="Times New Roman" w:hAnsi="Times New Roman"/>
                <w:sz w:val="14"/>
                <w:szCs w:val="14"/>
                <w:color w:val="auto"/>
                <w:w w:val="85"/>
              </w:rPr>
              <w:t>v</w:t>
            </w:r>
          </w:p>
        </w:tc>
      </w:tr>
      <w:tr>
        <w:trPr>
          <w:trHeight w:val="145"/>
        </w:trPr>
        <w:tc>
          <w:tcPr>
            <w:tcW w:w="9560" w:type="dxa"/>
            <w:vAlign w:val="bottom"/>
            <w:gridSpan w:val="23"/>
          </w:tcPr>
          <w:p>
            <w:pPr>
              <w:spacing w:after="0" w:line="139" w:lineRule="exact"/>
              <w:rPr>
                <w:sz w:val="20"/>
                <w:szCs w:val="20"/>
                <w:color w:val="auto"/>
              </w:rPr>
            </w:pPr>
            <w:r>
              <w:rPr>
                <w:rFonts w:ascii="Times New Roman" w:cs="Times New Roman" w:eastAsia="Times New Roman" w:hAnsi="Times New Roman"/>
                <w:sz w:val="14"/>
                <w:szCs w:val="14"/>
                <w:color w:val="0000EE"/>
              </w:rPr>
              <w:t>SUMMARY OF THE PROSPECTUS</w:t>
            </w:r>
          </w:p>
        </w:tc>
        <w:tc>
          <w:tcPr>
            <w:tcW w:w="1720" w:type="dxa"/>
            <w:vAlign w:val="bottom"/>
          </w:tcPr>
          <w:p>
            <w:pPr>
              <w:jc w:val="center"/>
              <w:ind w:left="1149"/>
              <w:spacing w:after="0" w:line="139" w:lineRule="exact"/>
              <w:rPr>
                <w:sz w:val="20"/>
                <w:szCs w:val="20"/>
                <w:color w:val="auto"/>
              </w:rPr>
            </w:pPr>
            <w:r>
              <w:rPr>
                <w:rFonts w:ascii="Times New Roman" w:cs="Times New Roman" w:eastAsia="Times New Roman" w:hAnsi="Times New Roman"/>
                <w:sz w:val="14"/>
                <w:szCs w:val="14"/>
                <w:color w:val="auto"/>
                <w:w w:val="85"/>
              </w:rPr>
              <w:t>1</w:t>
            </w:r>
          </w:p>
        </w:tc>
      </w:tr>
      <w:tr>
        <w:trPr>
          <w:trHeight w:val="157"/>
        </w:trPr>
        <w:tc>
          <w:tcPr>
            <w:tcW w:w="1020" w:type="dxa"/>
            <w:vAlign w:val="bottom"/>
            <w:tcBorders>
              <w:top w:val="single" w:sz="8" w:color="0000EE"/>
              <w:bottom w:val="single" w:sz="8" w:color="0000EE"/>
            </w:tcBorders>
            <w:gridSpan w:val="4"/>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THE OFFERING</w:t>
            </w:r>
          </w:p>
        </w:tc>
        <w:tc>
          <w:tcPr>
            <w:tcW w:w="1160" w:type="dxa"/>
            <w:vAlign w:val="bottom"/>
            <w:tcBorders>
              <w:top w:val="single" w:sz="8" w:color="0000EE"/>
              <w:bottom w:val="single" w:sz="8" w:color="CCEEFF"/>
            </w:tcBorders>
            <w:gridSpan w:val="7"/>
            <w:shd w:val="clear" w:color="auto" w:fill="CCEEFF"/>
          </w:tcPr>
          <w:p>
            <w:pPr>
              <w:spacing w:after="0"/>
              <w:rPr>
                <w:sz w:val="13"/>
                <w:szCs w:val="13"/>
                <w:color w:val="auto"/>
              </w:rPr>
            </w:pPr>
          </w:p>
        </w:tc>
        <w:tc>
          <w:tcPr>
            <w:tcW w:w="7380" w:type="dxa"/>
            <w:vAlign w:val="bottom"/>
            <w:tcBorders>
              <w:bottom w:val="single" w:sz="8" w:color="CCEEFF"/>
            </w:tcBorders>
            <w:gridSpan w:val="12"/>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center"/>
              <w:ind w:left="1149"/>
              <w:spacing w:after="0" w:line="145" w:lineRule="exact"/>
              <w:rPr>
                <w:sz w:val="20"/>
                <w:szCs w:val="20"/>
                <w:color w:val="auto"/>
              </w:rPr>
            </w:pPr>
            <w:r>
              <w:rPr>
                <w:rFonts w:ascii="Times New Roman" w:cs="Times New Roman" w:eastAsia="Times New Roman" w:hAnsi="Times New Roman"/>
                <w:sz w:val="14"/>
                <w:szCs w:val="14"/>
                <w:color w:val="auto"/>
                <w:w w:val="85"/>
              </w:rPr>
              <w:t>3</w:t>
            </w:r>
          </w:p>
        </w:tc>
      </w:tr>
      <w:tr>
        <w:trPr>
          <w:trHeight w:val="145"/>
        </w:trPr>
        <w:tc>
          <w:tcPr>
            <w:tcW w:w="1000" w:type="dxa"/>
            <w:vAlign w:val="bottom"/>
            <w:tcBorders>
              <w:bottom w:val="single" w:sz="8" w:color="0000EE"/>
            </w:tcBorders>
            <w:gridSpan w:val="3"/>
          </w:tcPr>
          <w:p>
            <w:pPr>
              <w:spacing w:after="0" w:line="139" w:lineRule="exact"/>
              <w:rPr>
                <w:sz w:val="20"/>
                <w:szCs w:val="20"/>
                <w:color w:val="auto"/>
              </w:rPr>
            </w:pPr>
            <w:r>
              <w:rPr>
                <w:rFonts w:ascii="Times New Roman" w:cs="Times New Roman" w:eastAsia="Times New Roman" w:hAnsi="Times New Roman"/>
                <w:sz w:val="14"/>
                <w:szCs w:val="14"/>
                <w:color w:val="0000EE"/>
                <w:w w:val="99"/>
              </w:rPr>
              <w:t>RISK FACTORS</w:t>
            </w:r>
          </w:p>
        </w:tc>
        <w:tc>
          <w:tcPr>
            <w:tcW w:w="8560" w:type="dxa"/>
            <w:vAlign w:val="bottom"/>
            <w:gridSpan w:val="20"/>
          </w:tcPr>
          <w:p>
            <w:pPr>
              <w:spacing w:after="0"/>
              <w:rPr>
                <w:sz w:val="12"/>
                <w:szCs w:val="12"/>
                <w:color w:val="auto"/>
              </w:rPr>
            </w:pPr>
          </w:p>
        </w:tc>
        <w:tc>
          <w:tcPr>
            <w:tcW w:w="1720" w:type="dxa"/>
            <w:vAlign w:val="bottom"/>
          </w:tcPr>
          <w:p>
            <w:pPr>
              <w:jc w:val="center"/>
              <w:ind w:left="1149"/>
              <w:spacing w:after="0" w:line="139" w:lineRule="exact"/>
              <w:rPr>
                <w:sz w:val="20"/>
                <w:szCs w:val="20"/>
                <w:color w:val="auto"/>
              </w:rPr>
            </w:pPr>
            <w:r>
              <w:rPr>
                <w:rFonts w:ascii="Times New Roman" w:cs="Times New Roman" w:eastAsia="Times New Roman" w:hAnsi="Times New Roman"/>
                <w:sz w:val="14"/>
                <w:szCs w:val="14"/>
                <w:color w:val="auto"/>
                <w:w w:val="85"/>
              </w:rPr>
              <w:t>4</w:t>
            </w:r>
          </w:p>
        </w:tc>
      </w:tr>
      <w:tr>
        <w:trPr>
          <w:trHeight w:val="157"/>
        </w:trPr>
        <w:tc>
          <w:tcPr>
            <w:tcW w:w="1260" w:type="dxa"/>
            <w:vAlign w:val="bottom"/>
            <w:tcBorders>
              <w:bottom w:val="single" w:sz="8" w:color="0000EE"/>
            </w:tcBorders>
            <w:gridSpan w:val="7"/>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USE OF PROCEEDS</w:t>
            </w:r>
          </w:p>
        </w:tc>
        <w:tc>
          <w:tcPr>
            <w:tcW w:w="8300" w:type="dxa"/>
            <w:vAlign w:val="bottom"/>
            <w:tcBorders>
              <w:bottom w:val="single" w:sz="8" w:color="CCEEFF"/>
            </w:tcBorders>
            <w:gridSpan w:val="16"/>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center"/>
              <w:ind w:left="1149"/>
              <w:spacing w:after="0" w:line="145" w:lineRule="exact"/>
              <w:rPr>
                <w:sz w:val="20"/>
                <w:szCs w:val="20"/>
                <w:color w:val="auto"/>
              </w:rPr>
            </w:pPr>
            <w:r>
              <w:rPr>
                <w:rFonts w:ascii="Times New Roman" w:cs="Times New Roman" w:eastAsia="Times New Roman" w:hAnsi="Times New Roman"/>
                <w:sz w:val="14"/>
                <w:szCs w:val="14"/>
                <w:color w:val="auto"/>
                <w:w w:val="99"/>
              </w:rPr>
              <w:t>22</w:t>
            </w:r>
          </w:p>
        </w:tc>
      </w:tr>
      <w:tr>
        <w:trPr>
          <w:trHeight w:val="145"/>
        </w:trPr>
        <w:tc>
          <w:tcPr>
            <w:tcW w:w="4540" w:type="dxa"/>
            <w:vAlign w:val="bottom"/>
            <w:tcBorders>
              <w:bottom w:val="single" w:sz="8" w:color="0000EE"/>
            </w:tcBorders>
            <w:gridSpan w:val="18"/>
          </w:tcPr>
          <w:p>
            <w:pPr>
              <w:spacing w:after="0" w:line="139" w:lineRule="exact"/>
              <w:rPr>
                <w:sz w:val="20"/>
                <w:szCs w:val="20"/>
                <w:color w:val="auto"/>
              </w:rPr>
            </w:pPr>
            <w:r>
              <w:rPr>
                <w:rFonts w:ascii="Times New Roman" w:cs="Times New Roman" w:eastAsia="Times New Roman" w:hAnsi="Times New Roman"/>
                <w:sz w:val="14"/>
                <w:szCs w:val="14"/>
                <w:color w:val="0000EE"/>
              </w:rPr>
              <w:t>MARKET PRICE OF THE CLASS A COMMON STOCK AND DIVIDENDS</w:t>
            </w:r>
          </w:p>
        </w:tc>
        <w:tc>
          <w:tcPr>
            <w:tcW w:w="5020" w:type="dxa"/>
            <w:vAlign w:val="bottom"/>
            <w:gridSpan w:val="5"/>
          </w:tcPr>
          <w:p>
            <w:pPr>
              <w:spacing w:after="0"/>
              <w:rPr>
                <w:sz w:val="12"/>
                <w:szCs w:val="12"/>
                <w:color w:val="auto"/>
              </w:rPr>
            </w:pPr>
          </w:p>
        </w:tc>
        <w:tc>
          <w:tcPr>
            <w:tcW w:w="1720" w:type="dxa"/>
            <w:vAlign w:val="bottom"/>
          </w:tcPr>
          <w:p>
            <w:pPr>
              <w:jc w:val="center"/>
              <w:ind w:left="1149"/>
              <w:spacing w:after="0" w:line="139" w:lineRule="exact"/>
              <w:rPr>
                <w:sz w:val="20"/>
                <w:szCs w:val="20"/>
                <w:color w:val="auto"/>
              </w:rPr>
            </w:pPr>
            <w:r>
              <w:rPr>
                <w:rFonts w:ascii="Times New Roman" w:cs="Times New Roman" w:eastAsia="Times New Roman" w:hAnsi="Times New Roman"/>
                <w:sz w:val="14"/>
                <w:szCs w:val="14"/>
                <w:color w:val="auto"/>
                <w:w w:val="99"/>
              </w:rPr>
              <w:t>23</w:t>
            </w:r>
          </w:p>
        </w:tc>
      </w:tr>
      <w:tr>
        <w:trPr>
          <w:trHeight w:val="157"/>
        </w:trPr>
        <w:tc>
          <w:tcPr>
            <w:tcW w:w="8180" w:type="dxa"/>
            <w:vAlign w:val="bottom"/>
            <w:tcBorders>
              <w:bottom w:val="single" w:sz="8" w:color="0000EE"/>
            </w:tcBorders>
            <w:gridSpan w:val="2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MANAGEMENT’S DISCUSSION AND ANALYSIS OF FINANCIAL CONDITION AND RESULTS OF OPERATIONS OF MOBIX LABS</w:t>
            </w:r>
          </w:p>
        </w:tc>
        <w:tc>
          <w:tcPr>
            <w:tcW w:w="138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center"/>
              <w:ind w:left="1149"/>
              <w:spacing w:after="0" w:line="145" w:lineRule="exact"/>
              <w:rPr>
                <w:sz w:val="20"/>
                <w:szCs w:val="20"/>
                <w:color w:val="auto"/>
              </w:rPr>
            </w:pPr>
            <w:r>
              <w:rPr>
                <w:rFonts w:ascii="Times New Roman" w:cs="Times New Roman" w:eastAsia="Times New Roman" w:hAnsi="Times New Roman"/>
                <w:sz w:val="14"/>
                <w:szCs w:val="14"/>
                <w:color w:val="auto"/>
                <w:w w:val="99"/>
              </w:rPr>
              <w:t>24</w:t>
            </w:r>
          </w:p>
        </w:tc>
      </w:tr>
      <w:tr>
        <w:trPr>
          <w:trHeight w:val="145"/>
        </w:trPr>
        <w:tc>
          <w:tcPr>
            <w:tcW w:w="680" w:type="dxa"/>
            <w:vAlign w:val="bottom"/>
            <w:tcBorders>
              <w:bottom w:val="single" w:sz="8" w:color="0000EE"/>
            </w:tcBorders>
            <w:gridSpan w:val="2"/>
          </w:tcPr>
          <w:p>
            <w:pPr>
              <w:spacing w:after="0" w:line="139" w:lineRule="exact"/>
              <w:rPr>
                <w:sz w:val="20"/>
                <w:szCs w:val="20"/>
                <w:color w:val="auto"/>
              </w:rPr>
            </w:pPr>
            <w:r>
              <w:rPr>
                <w:rFonts w:ascii="Times New Roman" w:cs="Times New Roman" w:eastAsia="Times New Roman" w:hAnsi="Times New Roman"/>
                <w:sz w:val="14"/>
                <w:szCs w:val="14"/>
                <w:color w:val="0000EE"/>
                <w:w w:val="99"/>
              </w:rPr>
              <w:t>BUSINESS</w:t>
            </w:r>
          </w:p>
        </w:tc>
        <w:tc>
          <w:tcPr>
            <w:tcW w:w="8880" w:type="dxa"/>
            <w:vAlign w:val="bottom"/>
            <w:gridSpan w:val="21"/>
          </w:tcPr>
          <w:p>
            <w:pPr>
              <w:spacing w:after="0"/>
              <w:rPr>
                <w:sz w:val="12"/>
                <w:szCs w:val="12"/>
                <w:color w:val="auto"/>
              </w:rPr>
            </w:pPr>
          </w:p>
        </w:tc>
        <w:tc>
          <w:tcPr>
            <w:tcW w:w="1720" w:type="dxa"/>
            <w:vAlign w:val="bottom"/>
          </w:tcPr>
          <w:p>
            <w:pPr>
              <w:jc w:val="center"/>
              <w:ind w:left="1149"/>
              <w:spacing w:after="0" w:line="139" w:lineRule="exact"/>
              <w:rPr>
                <w:sz w:val="20"/>
                <w:szCs w:val="20"/>
                <w:color w:val="auto"/>
              </w:rPr>
            </w:pPr>
            <w:r>
              <w:rPr>
                <w:rFonts w:ascii="Times New Roman" w:cs="Times New Roman" w:eastAsia="Times New Roman" w:hAnsi="Times New Roman"/>
                <w:sz w:val="14"/>
                <w:szCs w:val="14"/>
                <w:color w:val="auto"/>
                <w:w w:val="99"/>
              </w:rPr>
              <w:t>41</w:t>
            </w:r>
          </w:p>
        </w:tc>
      </w:tr>
      <w:tr>
        <w:trPr>
          <w:trHeight w:val="157"/>
        </w:trPr>
        <w:tc>
          <w:tcPr>
            <w:tcW w:w="1040" w:type="dxa"/>
            <w:vAlign w:val="bottom"/>
            <w:tcBorders>
              <w:bottom w:val="single" w:sz="8" w:color="0000EE"/>
            </w:tcBorders>
            <w:gridSpan w:val="5"/>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MANAGEMENT</w:t>
            </w:r>
          </w:p>
        </w:tc>
        <w:tc>
          <w:tcPr>
            <w:tcW w:w="8520" w:type="dxa"/>
            <w:vAlign w:val="bottom"/>
            <w:tcBorders>
              <w:bottom w:val="single" w:sz="8" w:color="CCEEFF"/>
            </w:tcBorders>
            <w:gridSpan w:val="18"/>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center"/>
              <w:ind w:left="1149"/>
              <w:spacing w:after="0" w:line="145" w:lineRule="exact"/>
              <w:rPr>
                <w:sz w:val="20"/>
                <w:szCs w:val="20"/>
                <w:color w:val="auto"/>
              </w:rPr>
            </w:pPr>
            <w:r>
              <w:rPr>
                <w:rFonts w:ascii="Times New Roman" w:cs="Times New Roman" w:eastAsia="Times New Roman" w:hAnsi="Times New Roman"/>
                <w:sz w:val="14"/>
                <w:szCs w:val="14"/>
                <w:color w:val="auto"/>
                <w:w w:val="99"/>
              </w:rPr>
              <w:t>49</w:t>
            </w:r>
          </w:p>
        </w:tc>
      </w:tr>
      <w:tr>
        <w:trPr>
          <w:trHeight w:val="145"/>
        </w:trPr>
        <w:tc>
          <w:tcPr>
            <w:tcW w:w="9560" w:type="dxa"/>
            <w:vAlign w:val="bottom"/>
            <w:gridSpan w:val="23"/>
          </w:tcPr>
          <w:p>
            <w:pPr>
              <w:spacing w:after="0" w:line="139" w:lineRule="exact"/>
              <w:rPr>
                <w:sz w:val="20"/>
                <w:szCs w:val="20"/>
                <w:color w:val="auto"/>
              </w:rPr>
            </w:pPr>
            <w:r>
              <w:rPr>
                <w:rFonts w:ascii="Times New Roman" w:cs="Times New Roman" w:eastAsia="Times New Roman" w:hAnsi="Times New Roman"/>
                <w:sz w:val="14"/>
                <w:szCs w:val="14"/>
                <w:color w:val="0000EE"/>
              </w:rPr>
              <w:t>EXECUTIVE AND DIRECTOR COMPENSATION</w:t>
            </w:r>
          </w:p>
        </w:tc>
        <w:tc>
          <w:tcPr>
            <w:tcW w:w="1720" w:type="dxa"/>
            <w:vAlign w:val="bottom"/>
          </w:tcPr>
          <w:p>
            <w:pPr>
              <w:jc w:val="center"/>
              <w:ind w:left="1149"/>
              <w:spacing w:after="0" w:line="139" w:lineRule="exact"/>
              <w:rPr>
                <w:sz w:val="20"/>
                <w:szCs w:val="20"/>
                <w:color w:val="auto"/>
              </w:rPr>
            </w:pPr>
            <w:r>
              <w:rPr>
                <w:rFonts w:ascii="Times New Roman" w:cs="Times New Roman" w:eastAsia="Times New Roman" w:hAnsi="Times New Roman"/>
                <w:sz w:val="14"/>
                <w:szCs w:val="14"/>
                <w:color w:val="auto"/>
                <w:w w:val="99"/>
              </w:rPr>
              <w:t>55</w:t>
            </w:r>
          </w:p>
        </w:tc>
      </w:tr>
      <w:tr>
        <w:trPr>
          <w:trHeight w:val="145"/>
        </w:trPr>
        <w:tc>
          <w:tcPr>
            <w:tcW w:w="3020" w:type="dxa"/>
            <w:vAlign w:val="bottom"/>
            <w:tcBorders>
              <w:top w:val="single" w:sz="8" w:color="0000EE"/>
            </w:tcBorders>
            <w:gridSpan w:val="14"/>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DESCRIPTION OF SECURITIES</w:t>
            </w:r>
          </w:p>
        </w:tc>
        <w:tc>
          <w:tcPr>
            <w:tcW w:w="6540" w:type="dxa"/>
            <w:vAlign w:val="bottom"/>
            <w:gridSpan w:val="9"/>
            <w:shd w:val="clear" w:color="auto" w:fill="CCEEFF"/>
          </w:tcPr>
          <w:p>
            <w:pPr>
              <w:spacing w:after="0"/>
              <w:rPr>
                <w:sz w:val="12"/>
                <w:szCs w:val="12"/>
                <w:color w:val="auto"/>
              </w:rPr>
            </w:pPr>
          </w:p>
        </w:tc>
        <w:tc>
          <w:tcPr>
            <w:tcW w:w="1720" w:type="dxa"/>
            <w:vAlign w:val="bottom"/>
            <w:shd w:val="clear" w:color="auto" w:fill="CCEEFF"/>
          </w:tcPr>
          <w:p>
            <w:pPr>
              <w:jc w:val="center"/>
              <w:ind w:left="1149"/>
              <w:spacing w:after="0" w:line="145" w:lineRule="exact"/>
              <w:rPr>
                <w:sz w:val="20"/>
                <w:szCs w:val="20"/>
                <w:color w:val="auto"/>
              </w:rPr>
            </w:pPr>
            <w:r>
              <w:rPr>
                <w:rFonts w:ascii="Times New Roman" w:cs="Times New Roman" w:eastAsia="Times New Roman" w:hAnsi="Times New Roman"/>
                <w:sz w:val="14"/>
                <w:szCs w:val="14"/>
                <w:color w:val="auto"/>
                <w:w w:val="99"/>
              </w:rPr>
              <w:t>61</w:t>
            </w:r>
          </w:p>
        </w:tc>
      </w:tr>
      <w:tr>
        <w:trPr>
          <w:trHeight w:val="32"/>
        </w:trPr>
        <w:tc>
          <w:tcPr>
            <w:tcW w:w="6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r>
        <w:trPr>
          <w:trHeight w:val="139"/>
        </w:trPr>
        <w:tc>
          <w:tcPr>
            <w:tcW w:w="9560" w:type="dxa"/>
            <w:vAlign w:val="bottom"/>
            <w:gridSpan w:val="23"/>
          </w:tcPr>
          <w:p>
            <w:pPr>
              <w:spacing w:after="0" w:line="139" w:lineRule="exact"/>
              <w:rPr>
                <w:sz w:val="20"/>
                <w:szCs w:val="20"/>
                <w:color w:val="auto"/>
              </w:rPr>
            </w:pPr>
            <w:r>
              <w:rPr>
                <w:rFonts w:ascii="Times New Roman" w:cs="Times New Roman" w:eastAsia="Times New Roman" w:hAnsi="Times New Roman"/>
                <w:sz w:val="14"/>
                <w:szCs w:val="14"/>
                <w:color w:val="0000EE"/>
              </w:rPr>
              <w:t>SECURITIES ACT RESTRICTIONS ON RESALE OF SECURITIES</w:t>
            </w:r>
          </w:p>
        </w:tc>
        <w:tc>
          <w:tcPr>
            <w:tcW w:w="1720" w:type="dxa"/>
            <w:vAlign w:val="bottom"/>
          </w:tcPr>
          <w:p>
            <w:pPr>
              <w:jc w:val="center"/>
              <w:ind w:left="1149"/>
              <w:spacing w:after="0" w:line="139" w:lineRule="exact"/>
              <w:rPr>
                <w:sz w:val="20"/>
                <w:szCs w:val="20"/>
                <w:color w:val="auto"/>
              </w:rPr>
            </w:pPr>
            <w:r>
              <w:rPr>
                <w:rFonts w:ascii="Times New Roman" w:cs="Times New Roman" w:eastAsia="Times New Roman" w:hAnsi="Times New Roman"/>
                <w:sz w:val="14"/>
                <w:szCs w:val="14"/>
                <w:color w:val="auto"/>
                <w:w w:val="99"/>
              </w:rPr>
              <w:t>73</w:t>
            </w:r>
          </w:p>
        </w:tc>
      </w:tr>
      <w:tr>
        <w:trPr>
          <w:trHeight w:val="26"/>
        </w:trPr>
        <w:tc>
          <w:tcPr>
            <w:tcW w:w="6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57"/>
        </w:trPr>
        <w:tc>
          <w:tcPr>
            <w:tcW w:w="9560" w:type="dxa"/>
            <w:vAlign w:val="bottom"/>
            <w:gridSpan w:val="23"/>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SECURITY OWNERSHIP OF CERTAIN BENEFICIAL OWNERS AND MANAGEMENT</w:t>
            </w:r>
          </w:p>
        </w:tc>
        <w:tc>
          <w:tcPr>
            <w:tcW w:w="1720" w:type="dxa"/>
            <w:vAlign w:val="bottom"/>
            <w:shd w:val="clear" w:color="auto" w:fill="CCEEFF"/>
          </w:tcPr>
          <w:p>
            <w:pPr>
              <w:jc w:val="center"/>
              <w:ind w:left="1149"/>
              <w:spacing w:after="0" w:line="145" w:lineRule="exact"/>
              <w:rPr>
                <w:sz w:val="20"/>
                <w:szCs w:val="20"/>
                <w:color w:val="auto"/>
              </w:rPr>
            </w:pPr>
            <w:r>
              <w:rPr>
                <w:rFonts w:ascii="Times New Roman" w:cs="Times New Roman" w:eastAsia="Times New Roman" w:hAnsi="Times New Roman"/>
                <w:sz w:val="14"/>
                <w:szCs w:val="14"/>
                <w:color w:val="auto"/>
                <w:w w:val="99"/>
              </w:rPr>
              <w:t>74</w:t>
            </w:r>
          </w:p>
        </w:tc>
      </w:tr>
      <w:tr>
        <w:trPr>
          <w:trHeight w:val="145"/>
        </w:trPr>
        <w:tc>
          <w:tcPr>
            <w:tcW w:w="1760" w:type="dxa"/>
            <w:vAlign w:val="bottom"/>
            <w:tcBorders>
              <w:top w:val="single" w:sz="8" w:color="0000EE"/>
              <w:bottom w:val="single" w:sz="8" w:color="0000EE"/>
            </w:tcBorders>
            <w:gridSpan w:val="9"/>
          </w:tcPr>
          <w:p>
            <w:pPr>
              <w:spacing w:after="0" w:line="139" w:lineRule="exact"/>
              <w:rPr>
                <w:sz w:val="20"/>
                <w:szCs w:val="20"/>
                <w:color w:val="auto"/>
              </w:rPr>
            </w:pPr>
            <w:r>
              <w:rPr>
                <w:rFonts w:ascii="Times New Roman" w:cs="Times New Roman" w:eastAsia="Times New Roman" w:hAnsi="Times New Roman"/>
                <w:sz w:val="14"/>
                <w:szCs w:val="14"/>
                <w:color w:val="0000EE"/>
              </w:rPr>
              <w:t>SELLING STOCKHOLDERS</w:t>
            </w:r>
          </w:p>
        </w:tc>
        <w:tc>
          <w:tcPr>
            <w:tcW w:w="3560" w:type="dxa"/>
            <w:vAlign w:val="bottom"/>
            <w:tcBorders>
              <w:top w:val="single" w:sz="8" w:color="0000EE"/>
            </w:tcBorders>
            <w:gridSpan w:val="11"/>
          </w:tcPr>
          <w:p>
            <w:pPr>
              <w:spacing w:after="0"/>
              <w:rPr>
                <w:sz w:val="12"/>
                <w:szCs w:val="12"/>
                <w:color w:val="auto"/>
              </w:rPr>
            </w:pPr>
          </w:p>
        </w:tc>
        <w:tc>
          <w:tcPr>
            <w:tcW w:w="4240" w:type="dxa"/>
            <w:vAlign w:val="bottom"/>
            <w:tcBorders>
              <w:top w:val="single" w:sz="8" w:color="CCEEFF"/>
            </w:tcBorders>
            <w:gridSpan w:val="3"/>
          </w:tcPr>
          <w:p>
            <w:pPr>
              <w:spacing w:after="0"/>
              <w:rPr>
                <w:sz w:val="12"/>
                <w:szCs w:val="12"/>
                <w:color w:val="auto"/>
              </w:rPr>
            </w:pPr>
          </w:p>
        </w:tc>
        <w:tc>
          <w:tcPr>
            <w:tcW w:w="1720" w:type="dxa"/>
            <w:vAlign w:val="bottom"/>
            <w:tcBorders>
              <w:top w:val="single" w:sz="8" w:color="CCEEFF"/>
            </w:tcBorders>
          </w:tcPr>
          <w:p>
            <w:pPr>
              <w:jc w:val="center"/>
              <w:ind w:left="1149"/>
              <w:spacing w:after="0" w:line="139" w:lineRule="exact"/>
              <w:rPr>
                <w:sz w:val="20"/>
                <w:szCs w:val="20"/>
                <w:color w:val="auto"/>
              </w:rPr>
            </w:pPr>
            <w:r>
              <w:rPr>
                <w:rFonts w:ascii="Times New Roman" w:cs="Times New Roman" w:eastAsia="Times New Roman" w:hAnsi="Times New Roman"/>
                <w:sz w:val="14"/>
                <w:szCs w:val="14"/>
                <w:color w:val="auto"/>
                <w:w w:val="99"/>
              </w:rPr>
              <w:t>76</w:t>
            </w:r>
          </w:p>
        </w:tc>
      </w:tr>
      <w:tr>
        <w:trPr>
          <w:trHeight w:val="157"/>
        </w:trPr>
        <w:tc>
          <w:tcPr>
            <w:tcW w:w="9560" w:type="dxa"/>
            <w:vAlign w:val="bottom"/>
            <w:gridSpan w:val="23"/>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CERTAIN RELATIONSHIPS AND RELATED TRANSACTIONS</w:t>
            </w:r>
          </w:p>
        </w:tc>
        <w:tc>
          <w:tcPr>
            <w:tcW w:w="1720" w:type="dxa"/>
            <w:vAlign w:val="bottom"/>
            <w:shd w:val="clear" w:color="auto" w:fill="CCEEFF"/>
          </w:tcPr>
          <w:p>
            <w:pPr>
              <w:jc w:val="center"/>
              <w:ind w:left="1149"/>
              <w:spacing w:after="0" w:line="145" w:lineRule="exact"/>
              <w:rPr>
                <w:sz w:val="20"/>
                <w:szCs w:val="20"/>
                <w:color w:val="auto"/>
              </w:rPr>
            </w:pPr>
            <w:r>
              <w:rPr>
                <w:rFonts w:ascii="Times New Roman" w:cs="Times New Roman" w:eastAsia="Times New Roman" w:hAnsi="Times New Roman"/>
                <w:sz w:val="14"/>
                <w:szCs w:val="14"/>
                <w:color w:val="auto"/>
                <w:w w:val="99"/>
              </w:rPr>
              <w:t>77</w:t>
            </w:r>
          </w:p>
        </w:tc>
      </w:tr>
      <w:tr>
        <w:trPr>
          <w:trHeight w:val="145"/>
        </w:trPr>
        <w:tc>
          <w:tcPr>
            <w:tcW w:w="3840" w:type="dxa"/>
            <w:vAlign w:val="bottom"/>
            <w:tcBorders>
              <w:top w:val="single" w:sz="8" w:color="0000EE"/>
            </w:tcBorders>
            <w:gridSpan w:val="16"/>
          </w:tcPr>
          <w:p>
            <w:pPr>
              <w:spacing w:after="0" w:line="139" w:lineRule="exact"/>
              <w:rPr>
                <w:sz w:val="20"/>
                <w:szCs w:val="20"/>
                <w:color w:val="auto"/>
              </w:rPr>
            </w:pPr>
            <w:r>
              <w:rPr>
                <w:rFonts w:ascii="Times New Roman" w:cs="Times New Roman" w:eastAsia="Times New Roman" w:hAnsi="Times New Roman"/>
                <w:sz w:val="14"/>
                <w:szCs w:val="14"/>
                <w:color w:val="0000EE"/>
              </w:rPr>
              <w:t>PLAN OF DISTRIBUTION</w:t>
            </w:r>
          </w:p>
        </w:tc>
        <w:tc>
          <w:tcPr>
            <w:tcW w:w="5720" w:type="dxa"/>
            <w:vAlign w:val="bottom"/>
            <w:tcBorders>
              <w:top w:val="single" w:sz="8" w:color="CCEEFF"/>
            </w:tcBorders>
            <w:gridSpan w:val="7"/>
          </w:tcPr>
          <w:p>
            <w:pPr>
              <w:spacing w:after="0"/>
              <w:rPr>
                <w:sz w:val="12"/>
                <w:szCs w:val="12"/>
                <w:color w:val="auto"/>
              </w:rPr>
            </w:pPr>
          </w:p>
        </w:tc>
        <w:tc>
          <w:tcPr>
            <w:tcW w:w="1720" w:type="dxa"/>
            <w:vAlign w:val="bottom"/>
            <w:tcBorders>
              <w:top w:val="single" w:sz="8" w:color="CCEEFF"/>
            </w:tcBorders>
          </w:tcPr>
          <w:p>
            <w:pPr>
              <w:jc w:val="center"/>
              <w:ind w:left="1149"/>
              <w:spacing w:after="0" w:line="139" w:lineRule="exact"/>
              <w:rPr>
                <w:sz w:val="20"/>
                <w:szCs w:val="20"/>
                <w:color w:val="auto"/>
              </w:rPr>
            </w:pPr>
            <w:r>
              <w:rPr>
                <w:rFonts w:ascii="Times New Roman" w:cs="Times New Roman" w:eastAsia="Times New Roman" w:hAnsi="Times New Roman"/>
                <w:sz w:val="14"/>
                <w:szCs w:val="14"/>
                <w:color w:val="auto"/>
                <w:w w:val="99"/>
              </w:rPr>
              <w:t>82</w:t>
            </w:r>
          </w:p>
        </w:tc>
      </w:tr>
      <w:tr>
        <w:trPr>
          <w:trHeight w:val="157"/>
        </w:trPr>
        <w:tc>
          <w:tcPr>
            <w:tcW w:w="1160" w:type="dxa"/>
            <w:vAlign w:val="bottom"/>
            <w:tcBorders>
              <w:top w:val="single" w:sz="8" w:color="0000EE"/>
              <w:bottom w:val="single" w:sz="8" w:color="0000EE"/>
            </w:tcBorders>
            <w:gridSpan w:val="6"/>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w w:val="99"/>
              </w:rPr>
              <w:t>LEGAL MATTERS</w:t>
            </w:r>
          </w:p>
        </w:tc>
        <w:tc>
          <w:tcPr>
            <w:tcW w:w="460" w:type="dxa"/>
            <w:vAlign w:val="bottom"/>
            <w:tcBorders>
              <w:top w:val="single" w:sz="8" w:color="0000EE"/>
              <w:bottom w:val="single" w:sz="8" w:color="CCEEFF"/>
            </w:tcBorders>
            <w:gridSpan w:val="2"/>
            <w:shd w:val="clear" w:color="auto" w:fill="CCEEFF"/>
          </w:tcPr>
          <w:p>
            <w:pPr>
              <w:spacing w:after="0"/>
              <w:rPr>
                <w:sz w:val="13"/>
                <w:szCs w:val="13"/>
                <w:color w:val="auto"/>
              </w:rPr>
            </w:pPr>
          </w:p>
        </w:tc>
        <w:tc>
          <w:tcPr>
            <w:tcW w:w="7940" w:type="dxa"/>
            <w:vAlign w:val="bottom"/>
            <w:tcBorders>
              <w:bottom w:val="single" w:sz="8" w:color="CCEEFF"/>
            </w:tcBorders>
            <w:gridSpan w:val="15"/>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center"/>
              <w:ind w:left="1149"/>
              <w:spacing w:after="0" w:line="145" w:lineRule="exact"/>
              <w:rPr>
                <w:sz w:val="20"/>
                <w:szCs w:val="20"/>
                <w:color w:val="auto"/>
              </w:rPr>
            </w:pPr>
            <w:r>
              <w:rPr>
                <w:rFonts w:ascii="Times New Roman" w:cs="Times New Roman" w:eastAsia="Times New Roman" w:hAnsi="Times New Roman"/>
                <w:sz w:val="14"/>
                <w:szCs w:val="14"/>
                <w:color w:val="auto"/>
                <w:w w:val="99"/>
              </w:rPr>
              <w:t>84</w:t>
            </w:r>
          </w:p>
        </w:tc>
      </w:tr>
      <w:tr>
        <w:trPr>
          <w:trHeight w:val="145"/>
        </w:trPr>
        <w:tc>
          <w:tcPr>
            <w:tcW w:w="620" w:type="dxa"/>
            <w:vAlign w:val="bottom"/>
            <w:tcBorders>
              <w:bottom w:val="single" w:sz="8" w:color="0000EE"/>
            </w:tcBorders>
          </w:tcPr>
          <w:p>
            <w:pPr>
              <w:spacing w:after="0" w:line="139" w:lineRule="exact"/>
              <w:rPr>
                <w:sz w:val="20"/>
                <w:szCs w:val="20"/>
                <w:color w:val="auto"/>
              </w:rPr>
            </w:pPr>
            <w:r>
              <w:rPr>
                <w:rFonts w:ascii="Times New Roman" w:cs="Times New Roman" w:eastAsia="Times New Roman" w:hAnsi="Times New Roman"/>
                <w:sz w:val="14"/>
                <w:szCs w:val="14"/>
                <w:color w:val="0000EE"/>
                <w:w w:val="98"/>
              </w:rPr>
              <w:t>EXPERTS</w:t>
            </w:r>
          </w:p>
        </w:tc>
        <w:tc>
          <w:tcPr>
            <w:tcW w:w="8940" w:type="dxa"/>
            <w:vAlign w:val="bottom"/>
            <w:gridSpan w:val="22"/>
          </w:tcPr>
          <w:p>
            <w:pPr>
              <w:spacing w:after="0"/>
              <w:rPr>
                <w:sz w:val="12"/>
                <w:szCs w:val="12"/>
                <w:color w:val="auto"/>
              </w:rPr>
            </w:pPr>
          </w:p>
        </w:tc>
        <w:tc>
          <w:tcPr>
            <w:tcW w:w="1720" w:type="dxa"/>
            <w:vAlign w:val="bottom"/>
          </w:tcPr>
          <w:p>
            <w:pPr>
              <w:jc w:val="center"/>
              <w:ind w:left="1149"/>
              <w:spacing w:after="0" w:line="139" w:lineRule="exact"/>
              <w:rPr>
                <w:sz w:val="20"/>
                <w:szCs w:val="20"/>
                <w:color w:val="auto"/>
              </w:rPr>
            </w:pPr>
            <w:r>
              <w:rPr>
                <w:rFonts w:ascii="Times New Roman" w:cs="Times New Roman" w:eastAsia="Times New Roman" w:hAnsi="Times New Roman"/>
                <w:sz w:val="14"/>
                <w:szCs w:val="14"/>
                <w:color w:val="auto"/>
                <w:w w:val="99"/>
              </w:rPr>
              <w:t>84</w:t>
            </w:r>
          </w:p>
        </w:tc>
      </w:tr>
      <w:tr>
        <w:trPr>
          <w:trHeight w:val="157"/>
        </w:trPr>
        <w:tc>
          <w:tcPr>
            <w:tcW w:w="3500" w:type="dxa"/>
            <w:vAlign w:val="bottom"/>
            <w:tcBorders>
              <w:bottom w:val="single" w:sz="8" w:color="0000EE"/>
            </w:tcBorders>
            <w:gridSpan w:val="15"/>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WHERE YOU CAN FIND ADDITIONAL INFORMATION</w:t>
            </w:r>
          </w:p>
        </w:tc>
        <w:tc>
          <w:tcPr>
            <w:tcW w:w="6060" w:type="dxa"/>
            <w:vAlign w:val="bottom"/>
            <w:tcBorders>
              <w:bottom w:val="single" w:sz="8" w:color="CCEEFF"/>
            </w:tcBorders>
            <w:gridSpan w:val="8"/>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center"/>
              <w:ind w:left="1149"/>
              <w:spacing w:after="0" w:line="145" w:lineRule="exact"/>
              <w:rPr>
                <w:sz w:val="20"/>
                <w:szCs w:val="20"/>
                <w:color w:val="auto"/>
              </w:rPr>
            </w:pPr>
            <w:r>
              <w:rPr>
                <w:rFonts w:ascii="Times New Roman" w:cs="Times New Roman" w:eastAsia="Times New Roman" w:hAnsi="Times New Roman"/>
                <w:sz w:val="14"/>
                <w:szCs w:val="14"/>
                <w:color w:val="auto"/>
                <w:w w:val="99"/>
              </w:rPr>
              <w:t>84</w:t>
            </w:r>
          </w:p>
        </w:tc>
      </w:tr>
      <w:tr>
        <w:trPr>
          <w:trHeight w:val="139"/>
        </w:trPr>
        <w:tc>
          <w:tcPr>
            <w:tcW w:w="9560" w:type="dxa"/>
            <w:vAlign w:val="bottom"/>
            <w:gridSpan w:val="23"/>
          </w:tcPr>
          <w:p>
            <w:pPr>
              <w:spacing w:after="0" w:line="139" w:lineRule="exact"/>
              <w:rPr>
                <w:sz w:val="20"/>
                <w:szCs w:val="20"/>
                <w:color w:val="auto"/>
              </w:rPr>
            </w:pPr>
            <w:r>
              <w:rPr>
                <w:rFonts w:ascii="Times New Roman" w:cs="Times New Roman" w:eastAsia="Times New Roman" w:hAnsi="Times New Roman"/>
                <w:sz w:val="14"/>
                <w:szCs w:val="14"/>
                <w:color w:val="0000EE"/>
              </w:rPr>
              <w:t>INDEX TO FINANCIAL STATEMENTS</w:t>
            </w:r>
          </w:p>
        </w:tc>
        <w:tc>
          <w:tcPr>
            <w:tcW w:w="1720" w:type="dxa"/>
            <w:vAlign w:val="bottom"/>
          </w:tcPr>
          <w:p>
            <w:pPr>
              <w:jc w:val="center"/>
              <w:ind w:left="1129"/>
              <w:spacing w:after="0" w:line="139" w:lineRule="exact"/>
              <w:rPr>
                <w:sz w:val="20"/>
                <w:szCs w:val="20"/>
                <w:color w:val="auto"/>
              </w:rPr>
            </w:pPr>
            <w:r>
              <w:rPr>
                <w:rFonts w:ascii="Times New Roman" w:cs="Times New Roman" w:eastAsia="Times New Roman" w:hAnsi="Times New Roman"/>
                <w:sz w:val="14"/>
                <w:szCs w:val="14"/>
                <w:color w:val="auto"/>
              </w:rPr>
              <w:t>F-1</w:t>
            </w:r>
          </w:p>
        </w:tc>
      </w:tr>
      <w:tr>
        <w:trPr>
          <w:trHeight w:val="353"/>
        </w:trPr>
        <w:tc>
          <w:tcPr>
            <w:tcW w:w="6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7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This prospectus relates to the resale by the Selling Stockholders identified in this prospectus under the caption “Selling Stockholders,” from time to time, of up to an aggregate of 3,744,161 shares of Class A Common Stock. We are not selling any shares of Class A Common Stock under this prospectus, and we will not receive any proceeds from the sale of shares of Class A Common Stock offered hereby by the Selling Stockholders. We may receive up to $6,000,000 to the extent the Preferred Warrant is exercised.</w:t>
      </w:r>
    </w:p>
    <w:p>
      <w:pPr>
        <w:spacing w:after="0" w:line="135"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We may also file a prospectus supplement or additional post-effective amendments to the registration statement of which this prospectus forms a part that may contain material information relating to these offerings. The prospectus supplement or any additional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“Where You Can Find Additional Information.”</w:t>
      </w:r>
    </w:p>
    <w:p>
      <w:pPr>
        <w:spacing w:after="0" w:line="142"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Neither we, nor the Selling Stockholders,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Stockholders take no responsibility for and can provide no assurance as to the reliability of any other information that others may give you. We and the Selling Stockholders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In addition, the market and industry data and forecasts that may be included in this prospectus, any post-effective amendment or any prospectus supplement may involve estimates, assumptions and other risks and uncertainties and are subject to change based on various factors, including those discussed under the heading “Risk Factors” contained in this prospectus, any post-effective amendment and the applicable prospectus supplement. Accordingly, investors should not place undue reliance on this information.</w:t>
      </w:r>
    </w:p>
    <w:p>
      <w:pPr>
        <w:spacing w:after="0" w:line="150"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This prospectus is an offer to sell only the securities offered hereby and only under circumstances and in jurisdictions where it is lawful to do so. This prospectus is not an offer to sell securities, and it is not soliciting an offer to buy securities, in any jurisdiction where the offer or sale is not permitted.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4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Unless otherwise indicated or the context otherwise requires, all references to “Mobix,” “Company,” “Registrant,” “we,” “our,” “ours” and “us” refer to Mobix Labs, Inc. and its subsidiaries. When we refer to “you” in this section, we mean all purchasers of the securities being offered by this prospectus and any accompanying prospectus supplement, whether they are the holders or only indirect owners of those securities.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SMALLER REPORTING COMPANY</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As a company with less than $1.235 billion in revenue during its most recently completed fiscal year, we qualify as an “emerging growth company” as defined in the Jumpstart Our Business Startups Act of 2012, as amended (the “JOBS Act”). As an emerging growth company, we may take advantage of specified reduced reporting and other requirements that are otherwise applicable generally to public companies. These provisions include:</w:t>
      </w:r>
    </w:p>
    <w:p>
      <w:pPr>
        <w:spacing w:after="0" w:line="135"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about the Company’s executive compensation arrangements;</w:t>
      </w:r>
    </w:p>
    <w:p>
      <w:pPr>
        <w:spacing w:after="0" w:line="2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non-binding shareholder advisory votes on executive compensation or golden parachute arrangements;</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election under Section 107(b) of the Jumpstart Our Business Startups Act of 2012 to delay adoption of new or revised accounting standards with different effective dates for public and private companies until those standards would otherwise apply to private companies; and</w:t>
      </w:r>
    </w:p>
    <w:p>
      <w:pPr>
        <w:ind w:left="1020" w:hanging="503"/>
        <w:spacing w:after="0" w:line="268" w:lineRule="auto"/>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the auditor attestation requirement under Section 404(b) of the Sarbanes-Oxley Act of 2002 in respect of management’s assessment of the Company’s internal control over financial reporting, which requirement would otherwise apply if we ceased to qualify as a smaller reporting company under the rules of the SEC.</w:t>
      </w:r>
    </w:p>
    <w:p>
      <w:pPr>
        <w:spacing w:after="0" w:line="139"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We may take advantage of these accommodations until the last day of the fiscal year following the fifth anniversary of the date on which it first sells common equity securities pursuant to a registration statement under the Securities Act, or such earlier time that we are no longer an emerging growth company. We will remain an “emerging growth company” until the earliest of (a) the last day of the first fiscal year in which our annual gross revenues exceed $1.235 billion, (b) the date that we become a “large accelerated filer” as defined in Rule 12b-2 under the Exchange Act, (c) the date on which we have issued more than $1.0 billion in nonconvertible debt during the preceding three-year period or (d) the last day of our fiscal year containing the fifth anniversary of the date on which we completed our initial public offering of securities.</w:t>
      </w:r>
    </w:p>
    <w:p>
      <w:pPr>
        <w:spacing w:after="0" w:line="14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cannot predict whether investors will find the Common Shares less attractive because we rely upon certain of these exemptions. If some investors find the Common Shares less attractive as a result, there may be a less active trading market for the Common Shares and the Common Share price may be more volatile. On the other hand, if we no longer qualify as an emerging growth company, we would be required to divert additional management time and attention from the Company’s development and other business activities and incur increased legal and financial costs to comply with the additional associated reporting requirements, which could negatively impact the Company’s business, financial condition and results of operations.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expect to no longer be an “emerging growth company” effective September 30, 2026.</w:t>
      </w:r>
    </w:p>
    <w:p>
      <w:pPr>
        <w:spacing w:after="0" w:line="180"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We are also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(i) the market value of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measured on the last business day of our second fiscal quarter. Specifically, as a smaller reporting company, we may choose to present only the two most recent fiscal years of audited financial statements in our Annual Reports on Form 10-K and have reduced disclosure obligations regarding executive compensation, and, as long as we are a smaller reporting company with less than $100 million in annual revenue, we are not required to obtain an attestation report on internal control over financial reporting from our independent registered public accounting firm.</w:t>
      </w:r>
    </w:p>
    <w:p>
      <w:pPr>
        <w:spacing w:after="0" w:line="14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may choose to take advantage of some or all of these exemptions. We have taken advantage of reduced reporting requirements in this prospectus. Accordingly, the information contained herein may be different from the information you receive from other public companies in which you hold stock.</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highlighted in the section titled “risk factors,” that represent challenges that we face in connection with the successful implementation of our strategy and the growth of our business. In particular, the following risks, among others, may offset our competitive strengths or have a negative effect on our business strategy, which could cause a decline in the price of the Class A Common Stock or public warrants and result in a loss of all or a portion of your investment: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Risks related to our business and industry</w:t>
      </w:r>
    </w:p>
    <w:p>
      <w:pPr>
        <w:spacing w:after="0" w:line="180"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an early-stage company, and it remains difficult to evaluate our future prospects and the risks and challenges we may encounter.</w:t>
      </w:r>
    </w:p>
    <w:p>
      <w:pPr>
        <w:spacing w:after="0" w:line="2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predict whether we will maintain revenue growth.</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losses in the operation of our business and anticipate that our expenses will increase, potentially leading to continued losses from operations in the near future.</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assure you that we will achieve or maintain profitability and there is substantial doubt about our ability to continue as a going concern.</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need to raise additional capital in the future to execute our business plan.</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entered into a non-binding letter of intent to acquire Vision Aerial, Inc., and any such acquisition is subject to significant uncertainty and may require additional dilutive financing.</w:t>
      </w:r>
    </w:p>
    <w:p>
      <w:pPr>
        <w:ind w:left="1020" w:hanging="503"/>
        <w:spacing w:after="0" w:line="254"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issue shares of Class A Common Stock upon conversion of the Series A 10% Convertible Preferred Stock and exercise of the Preferred Warrant is limited by Nasdaq listing standards unless we obtain stockholder approval, and conversions of the Series A 10% Convertible Preferred Stock may be substantially dilutive.</w:t>
      </w: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successfully acquire or integrate new businesses, products, and technology.</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customers are unable to achieve widespread market acceptance of their products which incorporate our products, we may not be able to generate the revenue necessary to support our business.</w:t>
      </w: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generally require our products to undergo a lengthy qualification process.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Markets for our mmWave wireless semiconductor products are still developing and may not develop at the speed and scale as expected.</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execute our growth strategies effectively, our business may be adversely affected.</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markets for our semiconductor products and solutions are highly competitive.</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products and solutions are subject to intense competition.</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will depend on our ability to successfully introduce new products and solutions for our markets that meet the needs of our customers.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consolidation or vertical integration of our customers may adversely affect our financial results.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generate a substantial portion of our revenues from one customer and expect that we will generate revenue from a limited number of customers in the near future.</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generally do not obtain long-term purchase commitments.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Defects in our products or poor design and engineering solutions could adversely affect our business.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third-party offshore suppliers for many of the components and materials used in our products.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and unfavorable global economic conditions could adversely affect our business.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manage the growth of our operations, our performance may suffer.</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comply with the laws and regulations to which we are subject could have a material adverse effect on our business, prospects, financial condition and results of operations.</w:t>
      </w: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trade policy, tariffs and import/export regulations may have a material adverse effect on our business, financial condition and results of operations.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depends on our ability to retain key employees and to attract qualified personnel.</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identified material weaknesses in our internal control over financial reporting. If we are unable to remediate these material weaknesses or otherwise fail to maintain effective internal control over financial reporting, we may not be able to accurately or timely report our financial condition.</w:t>
      </w:r>
    </w:p>
    <w:p>
      <w:pPr>
        <w:ind w:left="1020" w:hanging="503"/>
        <w:spacing w:after="0" w:line="254"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could suffer in the event of a security breach involving our information technology (“IT”) systems or our intellectual property or other confidential or proprietary information.</w:t>
      </w: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Instituting and defending against intellectual property or other types of litigation and administrative proceedings could cause us to spend substantial resources.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and must remain in compliance with, laws and governmental regulations across various jurisdictions concerning the development and sale of our products.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6" w:name="page7"/>
    <w:bookmarkEnd w:id="6"/>
    <w:p>
      <w:pPr>
        <w:ind w:left="1020" w:hanging="50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upon our officers and directors, and their loss could adversely affect us.</w:t>
      </w:r>
    </w:p>
    <w:p>
      <w:pPr>
        <w:spacing w:after="0" w:line="2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our potential customers may require us to comply with additional regulatory requirements.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adversely affected by violations of applicable anti-corruption laws or violations of our internal policies designed to ensure ethical business practices.</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applications may not be issued or granted or may take longer than expected, which may have a material adverse effect on our ability to enforce our intellectual property rights.</w:t>
      </w:r>
    </w:p>
    <w:p>
      <w:pPr>
        <w:ind w:left="1020" w:hanging="50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our intellectual property, and our failure to protect that intellectual property could adversely affect our business.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state, federal and international privacy and data protection laws and regulations.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Risks Related to Ownership of Our Securities</w:t>
      </w:r>
    </w:p>
    <w:p>
      <w:pPr>
        <w:spacing w:after="0" w:line="180" w:lineRule="exact"/>
        <w:rPr>
          <w:sz w:val="20"/>
          <w:szCs w:val="20"/>
          <w:color w:val="auto"/>
        </w:rPr>
      </w:pPr>
    </w:p>
    <w:p>
      <w:pPr>
        <w:ind w:left="1020" w:hanging="503"/>
        <w:spacing w:after="0" w:line="264"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we are unable to maintain compliance with Nasdaq’s continued listing standards, Nasdaq may delist our securities from trading on its exchange, which could limit investors’ ability to make transactions in our securities and subject us to additional trading restrictions.</w:t>
      </w:r>
    </w:p>
    <w:p>
      <w:pPr>
        <w:spacing w:after="0" w:line="1"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Reverse Stock Split Has Led to a Decrease in the Overall Market Capitalization of the Company.</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securities may be volatile.</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equity research analysts do not publish research or reports, or if they publish unfavorable research or reports about our company, our stock price and its trading volume could decline.</w:t>
      </w:r>
    </w:p>
    <w:p>
      <w:pPr>
        <w:ind w:left="1020" w:hanging="503"/>
        <w:spacing w:after="0" w:line="254"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changing laws and regulations regarding regulatory matters, corporate governance and public disclosure that have increased both our costs and the risk of non-compliance.</w:t>
      </w:r>
    </w:p>
    <w:p>
      <w:pPr>
        <w:ind w:left="1020" w:hanging="503"/>
        <w:spacing w:after="0" w:line="254"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dual class structure of our Common Stock has the effect of concentrating voting control with the holders of our Class B Common Stock, most of whom are our directors or management.</w:t>
      </w:r>
    </w:p>
    <w:p>
      <w:pPr>
        <w:ind w:left="1020" w:hanging="503"/>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management has limited experience in operating a public company.</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timely regain compliance with the Nasdaq listing requirements, including the $1.00 minimum bid price requirement and to remain in compliance with the other Nasdaq listing requirements.</w:t>
      </w:r>
    </w:p>
    <w:p>
      <w:pPr>
        <w:ind w:left="1020" w:hanging="503"/>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become subject to securities or class action litigation.</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anticipate that our stockholders will experience dilution in the future.</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an “emerging growth company” and a “smaller reporting company.”</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anticipate paying any cash dividends on our Class A Common Stock in the foreseeable future. As a result, capital appreciation, if any, of the Class A Common Stock will be your sole source of gain for the foreseeable future, if any, and you may never receive a return on your investment.</w:t>
      </w:r>
    </w:p>
    <w:p>
      <w:pPr>
        <w:ind w:left="1020" w:hanging="503"/>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our Class A Common Stock may cause the market price to drop significantly.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SOURCES OF INDUSTRY AND MARKET DATA</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Where information has been sourced from a third party, the source of such information has been identified. Unless otherwise indicated, the information contained in this prospectus on the market environment, market developments, growth rates, market trends and competition in the markets in which we operate is taken from publicly available sources, including third-party sources, or reflects our estimates that are principally based on information from publicly available sources.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Certain statements in this prospectus, the accompanying prospectus and the documents we incorporate by reference herein and thereto may constitute “forward-looking statements” for purposes of the federal securities laws. These forward-looking statements include, but are not limited to, statements regarding our and our management team’s expectations, hopes, beliefs, intentions or strategies regarding the future. The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and the documents we incorporate by reference into this prospectus may include, for example, statements about:</w:t>
      </w:r>
    </w:p>
    <w:p>
      <w:pPr>
        <w:spacing w:after="0" w:line="142"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and business performance;</w:t>
      </w:r>
    </w:p>
    <w:p>
      <w:pPr>
        <w:spacing w:after="0" w:line="2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compliance with listing rules of Nasdaq;</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possible acquisition targets, as well as any impact on our business and results of operations;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growth of the markets in which we operate;</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intent to pursue acquisitions of companies and technologies;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strategy, future operations, financial position, estimated revenues and losses, forecasts, projected costs, prospects and plans;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intent to commit significant resources to technology and product innovation and development;</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regarding our ability to continue as a going concern and ability to obtain sufficient liquidity to meet our operating needs and satisfy our obligations;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acquisitions of EMI Solutions, Inc. (“EMI Solutions”) and RaGE Systems, Inc. (“RaGE Systems”), and any impact on our business and results of operations;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market acceptance and success of our products and technology in the wireless and connectivity markets and in potential new categories for expansion;</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our products and the drivers of that demand including our expectations regarding our ability to develop new communication solutions for both domestic and international markets;</w:t>
      </w: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opportunities and strategies for growth;</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our industry, the advantages of our products and technology over competing products and technology existing in the market, and competitive factors including with respect to technological capabilities, cost and scalability;</w:t>
      </w: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scale in a cost-effective manner and maintain and expand our manufacturing and supply chain relationships;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that we will incur substantial expenses and continuing losses for the foreseeable future;</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reliance on a limited number of customers and efforts to diversify our customer base;</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obtain and maintain intellectual property protection and not infringe on the rights of others;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of obtaining stockholder approval for certain issuances;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socio-political conditions and their impact on demand for our technology and on the supply chain on which we rely;</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capital requirements and sources and uses of cash; and</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known and unknown litigation and regulatory proceedings.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8" w:name="page9"/>
    <w:bookmarkEnd w:id="8"/>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and we undertake no obligations to update forward-looking statements to reflect events or circumstances after the date they were made, whether as a result of new information, future events or otherwise, except as may be required under applicable securities laws.</w:t>
      </w:r>
    </w:p>
    <w:p>
      <w:pPr>
        <w:spacing w:after="0" w:line="14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124"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maintain compliance with the Nasdaq listing standards;</w:t>
      </w:r>
    </w:p>
    <w:p>
      <w:pPr>
        <w:spacing w:after="0" w:line="23"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meet future capital requirements and risks related to our ability to raise additional capital in the future on attractive terms or at all, as well as the dilutive impact that may have on our stockholders;</w:t>
      </w: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we are unable to successfully commercialize our products and solutions, or experience significant delays in doing so;</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we may not be able to generate income from operations in the foreseeable future;</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concerning our ability to continue as a going concern;</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we experience difficulties in managing our growth and expanding operations;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we may not be able to consummate planned strategic acquisitions, or fully realize anticipated benefits from past or future acquisitions or investments;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litigation may be commenced against us;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our patent applications may not be approved or may take longer than expected, and we may incur substantial costs in enforcing and protecting our intellectual property;</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customers and grow our customer base;</w:t>
      </w:r>
    </w:p>
    <w:p>
      <w:pPr>
        <w:spacing w:after="0" w:line="9" w:lineRule="exact"/>
        <w:rPr>
          <w:rFonts w:ascii="Times New Roman" w:cs="Times New Roman" w:eastAsia="Times New Roman" w:hAnsi="Times New Roman"/>
          <w:sz w:val="14"/>
          <w:szCs w:val="14"/>
          <w:color w:val="auto"/>
        </w:rPr>
      </w:pPr>
    </w:p>
    <w:p>
      <w:pPr>
        <w:jc w:val="both"/>
        <w:ind w:left="1020" w:hanging="503"/>
        <w:spacing w:after="0" w:line="254"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price of our securities may be volatile due to a variety of factors, including changes in the highly competitive industries in which we operate, variations in performance across competitors, changes in laws, regulations, technologies, the global supply chain, and macro-economic and social environments affecting our business and changes in the combined capital structure; and</w:t>
      </w: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described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below.</w:t>
      </w:r>
    </w:p>
    <w:p>
      <w:pPr>
        <w:spacing w:after="0" w:line="166"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geopolitical tensions, including further escalation of war between Russia and Ukraine, or the conflict pertaining to the Middle East, and there may be additional risks that we consider immaterial, or which are unknown. It is not possible to predict or identify all such risks. However, we encourage you to review our risk factors as set forth in the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on page 4 of this prospectus, in our annual report on Form 10-K for our fiscal year ended September 30, 2025, filed with the SEC on January 13, 2026 or in other periodic and current reports that we file with the SEC.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SUMMARY OF THE PROSPECTUS</w:t>
      </w:r>
    </w:p>
    <w:p>
      <w:pPr>
        <w:spacing w:after="0" w:line="180" w:lineRule="exact"/>
        <w:rPr>
          <w:sz w:val="20"/>
          <w:szCs w:val="20"/>
          <w:color w:val="auto"/>
        </w:rPr>
      </w:pPr>
    </w:p>
    <w:p>
      <w:pPr>
        <w:jc w:val="both"/>
        <w:ind w:firstLine="512"/>
        <w:spacing w:after="0" w:line="273"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sections titled “Risk Factors” and “Management’s Discussion and Analysis of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2"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Based in Irvine, California, Mobix Labs designs, develops and sells components and systems for advanced wireless and wired connectivity, radio frequency (“RF”), switching and electromagnetic interference (“EMI”) filtering technologies. Our solutions are used in the consumer commercial, industrial, automotive, medical, aerospace, defense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millimeter wave (“mmWave”) 5G communications, mmWave imaging, software defined radio and custom RF integrated circuits (“ICs”) targeting the commercial, industrial, and defense and aerospace sectors. Our interconnect products, including EMI filter inserts and filtered and non-filtered connectors, are designed for and are currently used in aerospace, military, defense and medical applications. Our True Xero active optical cables (“AOCs”) are designed to meet customer needs for high-quality active optical cable solutions at an affordable price. These innovative technologies are designed for large and rapidly growing markets where there is increasing demand for higher performance communication and filtering systems which utilize an expanding mix of both wireless and connectivity technologies.</w:t>
      </w:r>
    </w:p>
    <w:p>
      <w:pPr>
        <w:spacing w:after="0" w:line="150"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spacing w:after="0" w:line="145"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We were founded with the goal of simplifying the development and maximizing the performance of wireless mmWave 5G products by designing and developing high performance, cost-effective and ultra-compact semiconductor components and solutions used for signal processing applications in wireless products. Since our inception, our corporate strategy has evolved to encompass the pursuit of acquisitions in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spacing w:after="0" w:line="145"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In 2021, we completed the acquisition of substantially all of the assets including intellectual property of Cosemi, an Irvine, California-based global supplier of high-speed connectivity solutions. The acquired products and intellectual property included a broad range of AOCs and optical engines that deliver optimal connectivity to a wide range of applications-including home entertainment, gaming, augmented reality and virtual reality, video conferencing, medical, mobile devices and monitors-and built the foundation for our current connectivity business. We believe the patented cable technology and AOC optical chip solutions from Cosemi along with our innovative wireless semiconductor technologies provide more opportunities in the wireless C-Band and mmWave 5G market as the need for faster, more reliable data transmission becomes ever more apparent, whether it is for the data center, infrastructure, home entertainment or consumer electronics market.</w:t>
      </w:r>
    </w:p>
    <w:p>
      <w:pPr>
        <w:spacing w:after="0" w:line="145"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On December 18, 2023, we completed the acquisition of EMI Solutions when we acquired all of the issued and outstanding common shares of EMI Solutions. EMI Solutions is a manufacturer of interconnect products, including electromagnetic interference filtering products for aerospace, military, defense and medical applications. We believe the acquisition of EMI Solutions complements our existing product offerings, expanded our customer base and allows us to deliver solutions that address a wider variety of applications and markets. Consideration for the acquisition of EMI Solutions consisted of 96,491 shares of Legacy Mobix common stock and $2.2 million in cash. We valued the common stock at $8.9 million, based on the fair value of the Legacy Mobix common stock at the time of the acquisition.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Kips Financing</w:t>
      </w:r>
    </w:p>
    <w:p>
      <w:pPr>
        <w:spacing w:after="0" w:line="182"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On May 19, 2026, we entered into a securities purchase agreement with Kips Bay Select, LP (“Kips”), pursuant to which we agreed to sell to Kips (i) 2,000 shares of Series A 10% Convertible Preferred Stock (“Series A Preferred Stock”) for aggregate gross proceeds of $2.4 million, and (ii) the Preferred Warrant to purchase up to an additional 6,000 shares of Series A Preferred Stock at an exercise price of $1,000.00 per share. Dividends are payable in cash, or at our option, in additional shares of Series A Preferred Stock. The Preferred Shares are convertible into shares of our Class A Common Stock in accordance with the terms of the Certificate of Designation of Preferences, Rights and Limitations of Series A 10% Convertible Preferred Stock (the “COD”). In connection with the transaction, on May 19, 2026, we also entered into a registration rights agreement, as amended on June 18, 2026, with Kips pursuant to which we agreed to register the resale of shares of Class A Common Stock issuable upon conversion of the Preferred Shares and 294,117 shares of Class A Common Stock as consideration for extending the filing deadlines in the registration rights agreement. We are registering the resale of the shares of Class A Common Stock pursuant to this prospectus to comply with the registration rights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Proposed Acquisition of Vision Aerial</w:t>
      </w:r>
    </w:p>
    <w:p>
      <w:pPr>
        <w:spacing w:after="0" w:line="18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We entered into a letter of intent relating to the proposed acquisition of Vision Aerial, Inc. (“Vision Aerial”). The letter of intent contemplates aggregate consideration of approximately $15 million, payable in a combination of cash and shares of our Class A Common Stock. The proposed transaction remains subject to the negotiation and execution of a definitive agreement, the completion of due diligence and the satisfaction of customary closing conditions. There can be no assurance that we will enter into a definitive agreement, or that any transaction will be completed on the terms contemplated by the letter of intent, or at all. We expect that any cash portion of the consideration would be funded through additional financing, which may be dilutive to our stockholders.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color w:val="auto"/>
        </w:rPr>
        <w:t>Expected Financing Activities</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expect to seek to raise additional capital in the near future to support potential mergers and acquisitions activity, including the potential Vision Aerial transaction, and for working capital and general corporate purposes. We have not entered into definitive agreements for any such financing transactions, and the structures, terms, timing, size, pricing, investors, securities to be issued and conditions of any such transactions are currently unknown and subject to market conditions and further negotiation.</w:t>
      </w:r>
    </w:p>
    <w:p>
      <w:pPr>
        <w:spacing w:after="0" w:line="13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Any such financing transactions may involve the issuance of equity, equity-linked securities, debt securities, convertible securities, warrants or other instruments, and may result in dilution to existing stockholders. There can be no assurance that we will be able to raise capital on acceptable terms, in a timely manner, or at all.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Upcoming Meeting of Stockholders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expect to hold a meeting of stockholders in July 2026. At the meeting, we expect to request that stockholders approve, among other matters:</w:t>
      </w:r>
    </w:p>
    <w:p>
      <w:pPr>
        <w:spacing w:after="0" w:line="180" w:lineRule="exact"/>
        <w:rPr>
          <w:sz w:val="20"/>
          <w:szCs w:val="20"/>
          <w:color w:val="auto"/>
        </w:rPr>
      </w:pPr>
    </w:p>
    <w:p>
      <w:pPr>
        <w:ind w:left="1280" w:hanging="250"/>
        <w:spacing w:after="0"/>
        <w:tabs>
          <w:tab w:leader="none" w:pos="12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of our Class A Common Stock to Kips in connection with the conversion of the Series A Preferred Stock;</w:t>
      </w:r>
    </w:p>
    <w:p>
      <w:pPr>
        <w:spacing w:after="0" w:line="23" w:lineRule="exact"/>
        <w:rPr>
          <w:rFonts w:ascii="Times New Roman" w:cs="Times New Roman" w:eastAsia="Times New Roman" w:hAnsi="Times New Roman"/>
          <w:sz w:val="14"/>
          <w:szCs w:val="14"/>
          <w:color w:val="auto"/>
        </w:rPr>
      </w:pPr>
    </w:p>
    <w:p>
      <w:pPr>
        <w:ind w:left="1280" w:hanging="250"/>
        <w:spacing w:after="0"/>
        <w:tabs>
          <w:tab w:leader="none" w:pos="12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to our certificate of incorporation to remove certain restrictions on the issuance of shares of our Class B Common Stock;</w:t>
      </w:r>
    </w:p>
    <w:p>
      <w:pPr>
        <w:spacing w:after="0" w:line="9" w:lineRule="exact"/>
        <w:rPr>
          <w:rFonts w:ascii="Times New Roman" w:cs="Times New Roman" w:eastAsia="Times New Roman" w:hAnsi="Times New Roman"/>
          <w:sz w:val="14"/>
          <w:szCs w:val="14"/>
          <w:color w:val="auto"/>
        </w:rPr>
      </w:pPr>
    </w:p>
    <w:p>
      <w:pPr>
        <w:ind w:left="1280" w:hanging="250"/>
        <w:spacing w:after="0"/>
        <w:tabs>
          <w:tab w:leader="none" w:pos="12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number of shares available for issuance under our equity incentive award plan; and</w:t>
      </w:r>
    </w:p>
    <w:p>
      <w:pPr>
        <w:spacing w:after="0" w:line="9" w:lineRule="exact"/>
        <w:rPr>
          <w:rFonts w:ascii="Times New Roman" w:cs="Times New Roman" w:eastAsia="Times New Roman" w:hAnsi="Times New Roman"/>
          <w:sz w:val="14"/>
          <w:szCs w:val="14"/>
          <w:color w:val="auto"/>
        </w:rPr>
      </w:pPr>
    </w:p>
    <w:p>
      <w:pPr>
        <w:ind w:left="1280" w:hanging="250"/>
        <w:spacing w:after="0" w:line="268" w:lineRule="auto"/>
        <w:tabs>
          <w:tab w:leader="none" w:pos="12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a specified number of shares of our Class A Common Stock, or securities convertible into or exercisable for Class A Common Stock, for purposes of future fundraising transactions and acquisitions.</w:t>
      </w:r>
    </w:p>
    <w:p>
      <w:pPr>
        <w:spacing w:after="0" w:line="139"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have not yet filed preliminary or definitive proxy materials for the expected stockholder meeting. The specific terms of the proposals, including the number of shares subject to the proposals and the full text of any proposed charter amendment or equity incentive plan amendment, will be set forth in our proxy materials when filed with the SEC.</w:t>
      </w:r>
    </w:p>
    <w:p>
      <w:pPr>
        <w:spacing w:after="0" w:line="12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Our board of directors has not provided any assurance that the expected stockholder meeting will occur on the anticipated timeline or that the proposals described above will be approved by stockholders. If we do not obtain the required stockholder approvals, our ability to complete certain financing transactions, issue securities in connection with acquisitions, including the potential Vision Aerial transaction, or implement certain corporate-governance and compensation-related matters may be limited.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Debt Settlements</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March 13, 2026, we agreed to issue 107,571 shares of Class A Common Stock to Agile Capital Funding, LLC (“Agile”) in exchange for satisfaction of debt owed to them in the amount of $785 thousand.</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May 13, 2026, we issued 488,506 shares of Class A Common Stock to Rocket Capital NY LLC (“Rocket”) in exchange for satisfaction of a portion of the debt owed to them in the amount of $850 thousand. On June 8, 2026 we issued 344,431 shares to Rocket in satisfaction of the remaining debt owed to them in the amount of $779 thousand.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April 2026 Reverse Stock Split</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At a special meeting of our stockholders held on March 23, 2026, our stockholders approved a reverse stock split of our outstanding shares of common stock (the “Reverse Stock Split”), at a specific ratio, ranging from 1-for-10 to 1-for-50, to be determined by our board of directors in its sole discretion.</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Following the special meeting, our board approved a ratio of 1-for-10 for the Reverse Stock Split. The Reverse Stock Split became effective after market close on April 6, 2026.</w:t>
      </w:r>
    </w:p>
    <w:p>
      <w:pPr>
        <w:spacing w:after="0" w:line="18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 purpose of the Reverse Stock Split was to help us regain compliance with the $1 minimum bid requirement for continued listing on the Nasdaq Capital Market, which we did, as discussed below. All shares and per share amounts set forth in this prospectus give effect to the reverse stock split, including Legacy Mobix common stock figures, as Legacy Mobix shares were converted to Class A Common Stock shares. Per share prices may be affected by rounding as a result of the adjustments made in connection with the Reverse Stock Split. The number of outstanding Public Warrants has not been adjusted to reflect the reverse stock split; however, the number of shares underlying such Public Warrants has been adjusted accordingly.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March 2026 Convertible Promissory Note</w:t>
      </w:r>
    </w:p>
    <w:p>
      <w:pPr>
        <w:spacing w:after="0" w:line="18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On March 31, 2026, we entered into a securities purchase agreement with Leviston Resources, LLC (“Leviston”), pursuant to which we agreed to issue a senior secured convertible promissory note with a principal amount of $3 million. On May 13, 2026, we entered into a first amendment to the securities purchase agreement and promissory note with Leviston, amending the promissory note originally issued on March 31, 2026. Pursuant to the amendment, Leviston advanced an additional $833,000 to us, increasing the total funded amount under the original convertible note to $3.3 million. The amendment increased the aggregate principal amount of the original convertible note from $3 million to $4 million. On May 18, 2026, we satisfied in full the entire $4 million of outstanding principal under the convertible note, together with all accrued interest thereon, through the conversion of such amounts into 2,500,000 shares of Class A Common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Leviston Investor Rights Agreement</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On May 13, 2026, we entered into an investor rights agreement with Leviston. Pursuant to the investor rights agreement, we granted Leviston the right, but not the obligation, to purchase one or more additional senior secured convertible notes from us during the seven-month period commencing May 13, 2026 and ending December 13, 2026, in an aggregate principal amount not to exceed $4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Letter of Intent</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have submitted a non-binding letter of intent to acquire a rare earth company. There can be no assurance that definitive agreements will be entered into or any acquisition will be consummated.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December 21, 2023, we completed the Merger, pursuant to which we were renamed “Mobix Labs, Inc.” As of the open of trading on December 22, 2023, the Class A Common Stock and Public Warrants of Mobix Labs, Inc., formerly those of Chavant, began trading on the Nasdaq Stock Market under the ticker symbols “MOBX” and “MOBXW,” respectively.</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1 Venture, Suite 220, Irvine, CA 92618, and our telephone number at that location is (949) 808-8888. Our website address is </w:t>
      </w:r>
      <w:r>
        <w:rPr>
          <w:rFonts w:ascii="Times New Roman" w:cs="Times New Roman" w:eastAsia="Times New Roman" w:hAnsi="Times New Roman"/>
          <w:sz w:val="14"/>
          <w:szCs w:val="14"/>
          <w:i w:val="1"/>
          <w:iCs w:val="1"/>
          <w:color w:val="auto"/>
        </w:rPr>
        <w:t>https://www.mobixlabs.com</w:t>
      </w:r>
      <w:r>
        <w:rPr>
          <w:rFonts w:ascii="Times New Roman" w:cs="Times New Roman" w:eastAsia="Times New Roman" w:hAnsi="Times New Roman"/>
          <w:sz w:val="14"/>
          <w:szCs w:val="14"/>
          <w:color w:val="auto"/>
        </w:rPr>
        <w:t>. Information contained on our website is not a part of this prospectus, and the inclusion of our website address in this prospectus is an inactive textual reference only.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1" w:name="page12"/>
    <w:bookmarkEnd w:id="11"/>
    <w:p>
      <w:pPr>
        <w:spacing w:after="0" w:line="34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Shares of Class A Common Stock offered by the Selling Stockholders</w:t>
      </w:r>
    </w:p>
    <w:p>
      <w:pPr>
        <w:spacing w:after="0" w:line="20" w:lineRule="exact"/>
        <w:rPr>
          <w:sz w:val="20"/>
          <w:szCs w:val="20"/>
          <w:color w:val="auto"/>
        </w:rPr>
      </w:pPr>
      <w:r>
        <w:rPr>
          <w:sz w:val="20"/>
          <w:szCs w:val="20"/>
          <w:color w:val="auto"/>
        </w:rPr>
        <w:br w:type="column"/>
      </w:r>
    </w:p>
    <w:p>
      <w:pPr>
        <w:ind w:left="138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Up to 3,744,161 shares of Class A Common Stock, consisting of up to (i) 2,000,000 shares issuable upon conversion of the Preferred Shares and shares of Class A Common Stock issuable to the investor in connection with the transaction, (ii) 1,207,942 shares of Class A Common Stock issued in settlement of debt owed to lenders, (iii) 71,267 shares issued in connection with the settlement of litigation, and (iv) 464,952 shares issued as earnout shares in connection with our acquisition of RaGE Systems, Inc.</w:t>
      </w:r>
    </w:p>
    <w:p>
      <w:pPr>
        <w:spacing w:after="0" w:line="140" w:lineRule="exact"/>
        <w:rPr>
          <w:sz w:val="20"/>
          <w:szCs w:val="20"/>
          <w:color w:val="auto"/>
        </w:rPr>
      </w:pPr>
    </w:p>
    <w:p>
      <w:pPr>
        <w:sectPr>
          <w:pgSz w:w="11900" w:h="16838" w:orient="portrait"/>
          <w:cols w:equalWidth="0" w:num="2">
            <w:col w:w="3220" w:space="500"/>
            <w:col w:w="7560"/>
          </w:cols>
          <w:pgMar w:left="300" w:top="550" w:right="319" w:bottom="1440" w:gutter="0" w:footer="0" w:header="0"/>
        </w:sectPr>
      </w:pPr>
    </w:p>
    <w:p>
      <w:pPr>
        <w:spacing w:after="0"/>
        <w:tabs>
          <w:tab w:leader="none" w:pos="3700" w:val="left"/>
        </w:tabs>
        <w:rPr>
          <w:sz w:val="20"/>
          <w:szCs w:val="20"/>
          <w:color w:val="auto"/>
        </w:rPr>
      </w:pPr>
      <w:r>
        <w:rPr>
          <w:rFonts w:ascii="Times New Roman" w:cs="Times New Roman" w:eastAsia="Times New Roman" w:hAnsi="Times New Roman"/>
          <w:sz w:val="14"/>
          <w:szCs w:val="14"/>
          <w:color w:val="auto"/>
        </w:rPr>
        <w:t>Shares of Class A Common Stock outstanding</w:t>
      </w:r>
      <w:r>
        <w:rPr>
          <w:sz w:val="20"/>
          <w:szCs w:val="20"/>
          <w:color w:val="auto"/>
        </w:rPr>
        <w:tab/>
      </w:r>
      <w:r>
        <w:rPr>
          <w:rFonts w:ascii="Times New Roman" w:cs="Times New Roman" w:eastAsia="Times New Roman" w:hAnsi="Times New Roman"/>
          <w:sz w:val="14"/>
          <w:szCs w:val="14"/>
          <w:color w:val="auto"/>
        </w:rPr>
        <w:t>14,998,187 shares (as of June 8, 2026).</w:t>
      </w:r>
    </w:p>
    <w:p>
      <w:pPr>
        <w:spacing w:after="0" w:line="180" w:lineRule="exact"/>
        <w:rPr>
          <w:sz w:val="20"/>
          <w:szCs w:val="20"/>
          <w:color w:val="auto"/>
        </w:rPr>
      </w:pPr>
    </w:p>
    <w:p>
      <w:pPr>
        <w:spacing w:after="0"/>
        <w:tabs>
          <w:tab w:leader="none" w:pos="3700" w:val="left"/>
        </w:tabs>
        <w:rPr>
          <w:sz w:val="20"/>
          <w:szCs w:val="20"/>
          <w:color w:val="auto"/>
        </w:rPr>
      </w:pPr>
      <w:r>
        <w:rPr>
          <w:rFonts w:ascii="Times New Roman" w:cs="Times New Roman" w:eastAsia="Times New Roman" w:hAnsi="Times New Roman"/>
          <w:sz w:val="14"/>
          <w:szCs w:val="14"/>
          <w:color w:val="auto"/>
        </w:rPr>
        <w:t>Shares of Class B Common Stock outstanding</w:t>
      </w:r>
      <w:r>
        <w:rPr>
          <w:sz w:val="20"/>
          <w:szCs w:val="20"/>
          <w:color w:val="auto"/>
        </w:rPr>
        <w:tab/>
      </w:r>
      <w:r>
        <w:rPr>
          <w:rFonts w:ascii="Times New Roman" w:cs="Times New Roman" w:eastAsia="Times New Roman" w:hAnsi="Times New Roman"/>
          <w:sz w:val="14"/>
          <w:szCs w:val="14"/>
          <w:color w:val="auto"/>
        </w:rPr>
        <w:t>200,491 shares (as of June 8, 2026).</w:t>
      </w:r>
    </w:p>
    <w:p>
      <w:pPr>
        <w:spacing w:after="0" w:line="180" w:lineRule="exact"/>
        <w:rPr>
          <w:sz w:val="20"/>
          <w:szCs w:val="20"/>
          <w:color w:val="auto"/>
        </w:rPr>
      </w:pPr>
    </w:p>
    <w:p>
      <w:pPr>
        <w:spacing w:after="0"/>
        <w:tabs>
          <w:tab w:leader="none" w:pos="3700" w:val="left"/>
        </w:tabs>
        <w:rPr>
          <w:sz w:val="20"/>
          <w:szCs w:val="20"/>
          <w:color w:val="auto"/>
        </w:rPr>
      </w:pPr>
      <w:r>
        <w:rPr>
          <w:rFonts w:ascii="Times New Roman" w:cs="Times New Roman" w:eastAsia="Times New Roman" w:hAnsi="Times New Roman"/>
          <w:sz w:val="14"/>
          <w:szCs w:val="14"/>
          <w:color w:val="auto"/>
        </w:rPr>
        <w:t>Use of proceeds</w:t>
      </w:r>
      <w:r>
        <w:rPr>
          <w:sz w:val="20"/>
          <w:szCs w:val="20"/>
          <w:color w:val="auto"/>
        </w:rPr>
        <w:tab/>
      </w:r>
      <w:r>
        <w:rPr>
          <w:rFonts w:ascii="Times New Roman" w:cs="Times New Roman" w:eastAsia="Times New Roman" w:hAnsi="Times New Roman"/>
          <w:sz w:val="14"/>
          <w:szCs w:val="14"/>
          <w:color w:val="auto"/>
        </w:rPr>
        <w:t>We will not receive any proceeds from the resale of shares of Class A Common Stock included in this prospectus by the Selling</w:t>
      </w:r>
    </w:p>
    <w:p>
      <w:pPr>
        <w:spacing w:after="0" w:line="24" w:lineRule="exact"/>
        <w:rPr>
          <w:sz w:val="20"/>
          <w:szCs w:val="20"/>
          <w:color w:val="auto"/>
        </w:rPr>
      </w:pPr>
    </w:p>
    <w:p>
      <w:pPr>
        <w:ind w:left="3720"/>
        <w:spacing w:after="0" w:line="268" w:lineRule="auto"/>
        <w:rPr>
          <w:sz w:val="20"/>
          <w:szCs w:val="20"/>
          <w:color w:val="auto"/>
        </w:rPr>
      </w:pPr>
      <w:r>
        <w:rPr>
          <w:rFonts w:ascii="Times New Roman" w:cs="Times New Roman" w:eastAsia="Times New Roman" w:hAnsi="Times New Roman"/>
          <w:sz w:val="14"/>
          <w:szCs w:val="14"/>
          <w:color w:val="auto"/>
        </w:rPr>
        <w:t>Stockholders. We may receive up to $6,000,000 to the extent the Preferred Warrant is exercised. We intend to use any proceeds from the exercise of the Preferred Warrant for working capital and general corporate purposes. See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spacing w:after="0"/>
        <w:tabs>
          <w:tab w:leader="none" w:pos="3700" w:val="left"/>
        </w:tabs>
        <w:rPr>
          <w:sz w:val="20"/>
          <w:szCs w:val="20"/>
          <w:color w:val="auto"/>
        </w:rPr>
      </w:pPr>
      <w:r>
        <w:rPr>
          <w:rFonts w:ascii="Times New Roman" w:cs="Times New Roman" w:eastAsia="Times New Roman" w:hAnsi="Times New Roman"/>
          <w:sz w:val="14"/>
          <w:szCs w:val="14"/>
          <w:color w:val="auto"/>
        </w:rPr>
        <w:t>NASDAQ ticker symbols</w:t>
      </w:r>
      <w:r>
        <w:rPr>
          <w:sz w:val="20"/>
          <w:szCs w:val="20"/>
          <w:color w:val="auto"/>
        </w:rPr>
        <w:tab/>
      </w:r>
      <w:r>
        <w:rPr>
          <w:rFonts w:ascii="Times New Roman" w:cs="Times New Roman" w:eastAsia="Times New Roman" w:hAnsi="Times New Roman"/>
          <w:sz w:val="14"/>
          <w:szCs w:val="14"/>
          <w:color w:val="auto"/>
        </w:rPr>
        <w:t>“MOBX” and “MOBXW” for the Class A Common Stock and Public Warrants, respectively.</w:t>
      </w:r>
    </w:p>
    <w:p>
      <w:pPr>
        <w:spacing w:after="0" w:line="180" w:lineRule="exact"/>
        <w:rPr>
          <w:sz w:val="20"/>
          <w:szCs w:val="20"/>
          <w:color w:val="auto"/>
        </w:rPr>
      </w:pPr>
    </w:p>
    <w:p>
      <w:pPr>
        <w:ind w:firstLine="512"/>
        <w:spacing w:after="0" w:line="289" w:lineRule="auto"/>
        <w:rPr>
          <w:sz w:val="20"/>
          <w:szCs w:val="20"/>
          <w:color w:val="auto"/>
        </w:rPr>
      </w:pPr>
      <w:r>
        <w:rPr>
          <w:rFonts w:ascii="Times New Roman" w:cs="Times New Roman" w:eastAsia="Times New Roman" w:hAnsi="Times New Roman"/>
          <w:sz w:val="14"/>
          <w:szCs w:val="14"/>
          <w:color w:val="auto"/>
        </w:rPr>
        <w:t>The number of shares of Class A Common Stock outstanding is based on 14,998,187 shares of Class A Common Stock as of June 8, 2026 and excludes, in addition to the shares issuable upon conversion of the Preferred Shares, the following, in each case as of June 8, 2026, except as otherwise noted:</w:t>
      </w:r>
    </w:p>
    <w:p>
      <w:pPr>
        <w:spacing w:after="0" w:line="124" w:lineRule="exact"/>
        <w:rPr>
          <w:sz w:val="20"/>
          <w:szCs w:val="20"/>
          <w:color w:val="auto"/>
        </w:rPr>
      </w:pPr>
    </w:p>
    <w:p>
      <w:pPr>
        <w:ind w:left="1020" w:hanging="503"/>
        <w:spacing w:after="0" w:line="264" w:lineRule="auto"/>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200,491 shares of Class A Common Stock issuable upon conversion of the Class B common stock, par value $0.00001 per share (“Class B Common Stock” and, together with the Class A Common Stock, the “common stock”);</w:t>
      </w:r>
    </w:p>
    <w:p>
      <w:pPr>
        <w:spacing w:after="0" w:line="1"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210,009 shares of Class A Common Stock issuable upon the exercise of outstanding options under the Legacy Mobix equity plans that were assumed in the Merger;</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574,477 shares of Class A Common Stock issuable upon settlement of restricted stock units;</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439,007 shares of Class A Common Stock reserved for future issuance under the 2023 Equity Incentive Plan and 68,705 shares of Class A Common Stock reserved for future issuance under the 2023 Employee Stock Purchase Plan;</w:t>
      </w:r>
    </w:p>
    <w:p>
      <w:pPr>
        <w:ind w:left="1020" w:hanging="503"/>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2,608,568 shares of Class A Common Stock issuable upon exercise of outstanding warrants at exercise prices ranging from $0.10 to $57.90;</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350,000 shares of Class A Common Stock issuable as earnout shares to certain Legacy Mobix stockholders and option holders based on the achievement of trading price targets during the seven-year earnout period; and</w:t>
      </w:r>
    </w:p>
    <w:p>
      <w:pPr>
        <w:ind w:left="1020" w:hanging="503"/>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324,611 shares of Class A Common Stock underlying outstanding convertible promissory notes.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0" w:lineRule="exact"/>
        <w:rPr>
          <w:sz w:val="20"/>
          <w:szCs w:val="20"/>
          <w:color w:val="auto"/>
        </w:rPr>
      </w:pPr>
    </w:p>
    <w:p>
      <w:pPr>
        <w:jc w:val="both"/>
        <w:ind w:firstLine="512"/>
        <w:spacing w:after="0" w:line="264" w:lineRule="auto"/>
        <w:rPr>
          <w:sz w:val="20"/>
          <w:szCs w:val="20"/>
          <w:color w:val="auto"/>
        </w:rPr>
      </w:pPr>
      <w:r>
        <w:rPr>
          <w:rFonts w:ascii="Times New Roman" w:cs="Times New Roman" w:eastAsia="Times New Roman" w:hAnsi="Times New Roman"/>
          <w:sz w:val="14"/>
          <w:szCs w:val="14"/>
          <w:i w:val="1"/>
          <w:iCs w:val="1"/>
          <w:color w:val="auto"/>
        </w:rPr>
        <w:t>Investing in our securities involves risks. Before you make a decision to buy our securities, in addition to the risks and uncertainties discussed above under the section titled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are not the only risks and uncertainties that we face. Additional risks and uncertainties not presently known to us or that we currently believe to be immaterial may become material and adversely affect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an early-stage company, and it remains difficult to evaluate our future prospects and the risks and challenges we may encounter.</w:t>
      </w:r>
    </w:p>
    <w:p>
      <w:pPr>
        <w:spacing w:after="0" w:line="18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Since our inception in 2020, we have invested a significant amount of time and expense into the design and development of technology for our current and anticipated future products, including mmWave wireless technology. We have also grown through acquisitions of other businesses, including our fiscal year 2024 acquisitions of RaGE Systems and EMI Solutions, which expanded our operations to the aerospace, military, defense, medical and other markets. However, it remains difficult to evaluate our future prospects and the risks and challenges we may encounter. Risks and challenges we have faced or expect to face include, but are not limited to, our ability to:</w:t>
      </w:r>
    </w:p>
    <w:p>
      <w:pPr>
        <w:spacing w:after="0" w:line="140"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develop and commercialize new products;</w:t>
      </w:r>
    </w:p>
    <w:p>
      <w:pPr>
        <w:spacing w:after="0" w:line="2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sustain and grow sales of our existing products;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our growth strategies including through mergers and acquisitions;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forecast our revenue and budget for and manage our expenses;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raise additional capital on acceptable terms to execute our business plan;</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as a going concern;</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new customers, retain existing customers and expand existing commercial relationships;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compete successfully in the highly competitive industries in which we operate;</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for and manage capital expenditures for our current and future products, and manage our supply chain and supplier relationships related to our current and future products;</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existing and new or modified laws and regulations applicable to our business in and outside the United States, including compliance requirements of U.S. customs and export regulations;</w:t>
      </w: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and respond to macroeconomic changes and changes in the markets in which we operate;</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enhance the value of our reputation and brand;</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manage our growth and business operations;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protect intellectual property;</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enhance the security of our IT system;</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integrate and retain talented people at all levels of our organization;</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defend our company in any legal proceeding that may arise and enforce our rights in any legal proceedings we may initiate; and</w:t>
      </w:r>
    </w:p>
    <w:p>
      <w:pPr>
        <w:spacing w:after="0" w:line="9" w:lineRule="exact"/>
        <w:rPr>
          <w:rFonts w:ascii="Times New Roman" w:cs="Times New Roman" w:eastAsia="Times New Roman" w:hAnsi="Times New Roman"/>
          <w:sz w:val="14"/>
          <w:szCs w:val="14"/>
          <w:color w:val="auto"/>
        </w:rPr>
      </w:pPr>
    </w:p>
    <w:p>
      <w:pPr>
        <w:ind w:left="1020" w:hanging="503"/>
        <w:spacing w:after="0" w:line="268"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and mitigate the adverse effects on our business of any public health emergencies, natural disasters, widespread travel disruptions, security risks including IT security, data privacy, cyber risks, international conflicts, geopolitical tension and other events beyond our control.</w:t>
      </w:r>
    </w:p>
    <w:p>
      <w:pPr>
        <w:spacing w:after="0" w:line="137" w:lineRule="exact"/>
        <w:rPr>
          <w:sz w:val="20"/>
          <w:szCs w:val="20"/>
          <w:color w:val="auto"/>
        </w:rPr>
      </w:pPr>
    </w:p>
    <w:p>
      <w:pPr>
        <w:jc w:val="both"/>
        <w:ind w:firstLine="512"/>
        <w:spacing w:after="0" w:line="267" w:lineRule="auto"/>
        <w:rPr>
          <w:sz w:val="20"/>
          <w:szCs w:val="20"/>
          <w:color w:val="auto"/>
        </w:rPr>
      </w:pPr>
      <w:r>
        <w:rPr>
          <w:rFonts w:ascii="Times New Roman" w:cs="Times New Roman" w:eastAsia="Times New Roman" w:hAnsi="Times New Roman"/>
          <w:sz w:val="14"/>
          <w:szCs w:val="14"/>
          <w:color w:val="auto"/>
        </w:rPr>
        <w:t>If we fail to address the risks and difficulties that we face, including those associated with the challenges listed above as well as those described elsewhere in this “</w:t>
      </w:r>
      <w:r>
        <w:rPr>
          <w:rFonts w:ascii="Times New Roman" w:cs="Times New Roman" w:eastAsia="Times New Roman" w:hAnsi="Times New Roman"/>
          <w:sz w:val="14"/>
          <w:szCs w:val="14"/>
          <w:i w:val="1"/>
          <w:iCs w:val="1"/>
          <w:color w:val="auto"/>
        </w:rPr>
        <w:t>Risks Related to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Business and Industry</w:t>
      </w:r>
      <w:r>
        <w:rPr>
          <w:rFonts w:ascii="Times New Roman" w:cs="Times New Roman" w:eastAsia="Times New Roman" w:hAnsi="Times New Roman"/>
          <w:sz w:val="14"/>
          <w:szCs w:val="14"/>
          <w:color w:val="auto"/>
        </w:rPr>
        <w:t>” section, our business, financial condition, and results of operations could be adversely affected. Moreover, as we have limited historical financial data and operate in a rapidly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evolving and highly competitive market, any predictions about our future revenue and expenses may not be as accurate as they would be if we had a longer operating history or operated in a more predictable market.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predict whether we will succeed in maintaining revenue growth, or when we will be able to generate income from operations.</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cannot predict whether we will succeed in maintaining revenue growth or when we will be able to generate income from operations. Our revenue has been, and may continue to be, adversely impacted if we are unable to obtain sufficient finished goods to fill customer orders and to maintain or increase our profit margins due to manufacturing limitations, replacement costs, and our capital constraints.</w:t>
      </w:r>
    </w:p>
    <w:p>
      <w:pPr>
        <w:spacing w:after="0" w:line="13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have incurred losses in the operation of our business and anticipate that our expenses will increase, potentially leading to continued losses from operations in the near future. Moreover, we may not be able to achieve or generate sufficient income from operations to sustain ourselves.</w:t>
      </w:r>
    </w:p>
    <w:p>
      <w:pPr>
        <w:spacing w:after="0" w:line="12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Since inception, we have incurred operating losses and negative cash flows, primarily due to our ongoing investment in product development. For the fiscal years ended September 30, 2025 and 2024, we incurred losses from operations of $37.7 million and $46.4 million, respectively. For the six months ended March 31, 2026 and 2025, we incurred losses from operations of $14.9 million and $22.5 million, respectively. As of March 31, 2026, we had an accumulated deficit of $166.6 million. Since then, we have continued to incur losses from operations, and we expect this trend to persist, along with negative cash flows from operations, for the foreseeable future.</w:t>
      </w:r>
    </w:p>
    <w:p>
      <w:pPr>
        <w:spacing w:after="0" w:line="14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In addition, we may not achieve or generate sufficient income from operations to sustain ourselves. We may incur substantial losses for reasons, including changes in demand for our products, increasing competition, challenging macroeconomic conditions, regulatory changes and other risks discussed herein.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assure you that we will achieve or maintain profitability or that we will be able to continue as a going concern.</w:t>
      </w:r>
    </w:p>
    <w:p>
      <w:pPr>
        <w:spacing w:after="0" w:line="184"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We believe that there is substantial doubt concerning our ability to continue as a going concern as we currently do not have adequate liquidity to meet our operating needs and satisfy our obligations for at least the next twelve months. We will need to raise additional working capital to continue our normal and planned operations. We will need to generate and sustain significant revenue levels in future periods in order to become profitable, and, even if we do, we may not be able to maintain or increase our level of profitability. In addition, as a public company, we will continue to incur increased accounting, legal, and other expenses which make it necessary for us to continue to raise additional working capital. Our efforts to grow our business may be costlier than expected, and we may not be able to generate sufficient revenue to offset our increased operating expenses. We may incur significant losses in the future for a number of reasons, including unforeseen expenses, difficulties, complications, delays, and other unknown events. Accordingly, substantial doubt exists about our ability to continue as a going concern, and we cannot assure you that we will achieve sustainable operating profits as we continue to expand our business and otherwise implement our growth initiatives and strategies.</w:t>
      </w:r>
    </w:p>
    <w:p>
      <w:pPr>
        <w:spacing w:after="0" w:line="145"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The financial statements included in this prospectus have been prepared on a going concern basis. We may not be able to generate profitable operations in the future and/or obtain the necessary financing to meet our obligations and pay liabilities arising from normal business operations when they come due. The outcome of these matters cannot be predicted with any certainty at this time. These factors raise substantial doubt that we will be able to continue as a going concern. We plan to continue to provide for our capital needs through sales of our securities, issuance of debt, and/or related party advances. Our financial statements do not include any adjustments to the amounts and classification of assets and liabilities that may be necessary should we be unable to continue as a going concern.</w:t>
      </w:r>
    </w:p>
    <w:p>
      <w:pPr>
        <w:spacing w:after="0" w:line="13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will need to raise additional capital in the future to fund our operations and execute our business plan, which may not be available on terms acceptable to us, or at all. Any fundraising involving the sale and issuance of equity securities can substantially dilute existing stockholders.</w:t>
      </w:r>
    </w:p>
    <w:p>
      <w:pPr>
        <w:spacing w:after="0" w:line="120"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In the future, we will require additional capital to respond to technological advancements, competitive dynamics, customer demands, business opportunities, challenges, acquisitions, or unforeseen circumstances. We may determine to engage in equity or debt financings or enter into credit facilities for other reasons. In order to further business relationships with current or potential customers or partners, we may also issue equity or equity-linked securities to current or potential customers or partners.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If we are unable to obtain adequate financing or financing on terms satisfactory to us, when we require it, our ability to continue to grow or support our business and to respond to business challenges could be significantly limited.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entered into a non-binding letter of intent to acquire Vision Aerial, and any such acquisition is subject to significant uncertainty and may require additional dilutive financing.</w:t>
      </w:r>
    </w:p>
    <w:p>
      <w:pPr>
        <w:spacing w:after="0" w:line="184"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We have entered into a letter of intent relating to the proposed acquisition of Vision Aerial for aggregate consideration of approximately $15 million, payable in a combination of cash and shares of our Class A Common Stock. The letter of intent and the proposed transaction is subject to the negotiation and execution of a definitive agreement, the completion of due diligence and the satisfaction of customary closing conditions. We may not enter into a definitive agreement, and any transaction may not be completed on the terms contemplated, or at all. If we complete the proposed acquisition, we expect to fund the cash portion of the consideration through additional debt or equity financing, which may not be available on acceptable terms, or at all, and which may be dilutive to our stockholders, and we may issue shares of Class A Common Stock as part of the consideration, which would further dilute our existing stockholders. In addition, acquisitions involve numerous risks, including difficulties integrating the acquired business, the assumption of unknown liabilities and the diversion of management attention, any of which could adversely affect our business, financial condition and results of operations.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14" w:name="page15"/>
    <w:bookmarkEnd w:id="14"/>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Our ability to issue shares of Class A Common Stock upon conversion of the Series A Preferred Stock and exercise of the Preferred Warrant is limited by Nasdaq listing standards unless we obtain stockholder approval, and conversions of the Series A Preferred Stock may be substantially dilutive.</w:t>
      </w:r>
    </w:p>
    <w:p>
      <w:pPr>
        <w:spacing w:after="0" w:line="12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Under applicable Nasdaq listing standards, our ability to issue shares of Class A Common Stock to Kips Bay Select, LP upon conversion of the Series A Preferred Stock and exercise of the Preferred Warrant may be limited to 19.99% of our outstanding Class A Common Stock unless we obtain stockholder approval. We currently expect to seek such approval at an upcoming meeting of our stockholders. If we do not obtain stockholder approval, the number of shares of Class A Common Stock issuable upon conversion of the Series A Preferred Stock and exercise of the Preferred Warrant, and therefore the number of shares that may be resold under this prospectus, may be limited.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fail to successfully acquire or integrate new businesses, products, and technology, and we may not realize expected benefits, resulting in harm to the business.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intend to continue growing our businesses, including through the acquisition of complementary businesses, products, or technologies rather than through internal development.</w:t>
      </w:r>
    </w:p>
    <w:p>
      <w:pPr>
        <w:spacing w:after="0" w:line="180"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Identifying suitable acquisition candidates can be difficult, time-consuming, and costly, and we may not be able to identify suitable candidates or successfully complete identified acquisitions. In addition, completing an acquisition could divert our management and key personnel from our business operations, which could harm the business and affect financial results. Even if we complete an acquisition, we may not be able to successfully integrate newly acquired organizations, products, technologies, or employees into our operations or may not fully realize some of the expected synergies. An acquired company may have deficiencies in product quality, regulatory marketing authorizations or certifications, or intellectual property protections, which are not detected during due diligence activities or which are unasserted at the time of acquisition. It may be difficult, expensive, and time-consuming for us to re-establish market access, regulatory compliance, or cure such deficiencies in product quality or intellectual property protection in such cases, which may have a material adverse impact on our business, financial condition, or results of operations.</w:t>
      </w:r>
    </w:p>
    <w:p>
      <w:pPr>
        <w:spacing w:after="0" w:line="14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If our customers are unable to achieve widespread market acceptance of their products which incorporate our products, we may not be able to generate the revenue necessary to support our business.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factors, among others, may affect the level of market acceptance of our products:</w:t>
      </w:r>
    </w:p>
    <w:p>
      <w:pPr>
        <w:spacing w:after="0" w:line="180"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customers’ products;</w:t>
      </w:r>
    </w:p>
    <w:p>
      <w:pPr>
        <w:spacing w:after="0" w:line="2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or user perceptions of the convenience, safety, efficiency and benefits of our products;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sales and marketing efforts of our independent sales representative organizations and distributors;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support and rate of acceptance of our products and solutions;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If we are unable to achieve or maintain market acceptance of our products, and if our products do not win widespread market acceptance, our business may be significantly harmed.</w:t>
      </w:r>
    </w:p>
    <w:p>
      <w:pPr>
        <w:spacing w:after="0" w:line="17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Our customers generally require our products to undergo a lengthy qualification process, which does not assure product sales. If we are unsuccessful or delayed in qualifying these products with a customer, our business and operating results may suffer.</w:t>
      </w:r>
    </w:p>
    <w:p>
      <w:pPr>
        <w:spacing w:after="0" w:line="12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Prior to purchasing our products, our customers generally require that our products and solutions undergo extensive qualification processes, which involve testing of the products and solutions. This qualification process can take several months, and qualification of a product by a customer does not assure any sales of the product to that customer. If we are unsuccessful or delayed in qualifying these products with a customer, our business and operating results may suffer.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Markets for our mmWave wireless semiconductor products are still developing and may not develop at the speed and scale as expected.</w:t>
      </w:r>
    </w:p>
    <w:p>
      <w:pPr>
        <w:spacing w:after="0" w:line="184"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The markets for products designed for mmWave wireless communication are relatively new and still developing, which makes our business and future prospects difficult to evaluate, and thus the estimates and forecasts of total addressable market and serviceable addressable market are subject to significant uncertainty. We and our customers are pursuing opportunities in markets that are undergoing rapid changes, including technological and regulatory changes, and it is difficult to predict the timing and size of the opportunities. Many of the wireless and wired applications we and our customers are working towards commercializing require complex technology and are subject to uncertainties with respect to, among other things, the heavy capital investment required to commercialize those applications, the competitive landscape, the rate of consumer acceptance and the impact of current or future regulations. Regulatory, safety or reliability developments, many of which are outside of our and our customers’ control, could also cause delays or otherwise impair commercial adoption of new technologies and solutions, which may adversely affect our growth.</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15" w:name="page16"/>
    <w:bookmarkEnd w:id="15"/>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As we develop mmWave wireless semiconductor products, we face the risk that potential customers may not value or be willing to bear the cost of incorporating our products into their product offerings, particularly if they believe their customers are satisfied with prior offerings. If we are unable to sell mmWave semiconductor products we seek to develop, and subsequent generations of such products, the growth prospects of our mmWave wireless semiconductor products would be negatively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execute our growth strategies effectively, our business may be materially and adversely affected.</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may not be able to scale our business quickly enough to meet customer and market demand, which could result in lower profitability or cause us to fail to execute on our business strategies. In order to grow our business, we will need to continue to evolve and scale our business and operations to meet customer and market demand. Evolving and scaling our business and operations places increased demands on our management as well as our financial and operational resources to:</w:t>
      </w:r>
    </w:p>
    <w:p>
      <w:pPr>
        <w:spacing w:after="0" w:line="135"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new customers and grow our customer base;</w:t>
      </w:r>
    </w:p>
    <w:p>
      <w:pPr>
        <w:spacing w:after="0" w:line="2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additional products and services to our existing customers;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 in our technology and product offerings;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manage organizational change;</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 and/or refocus research and development activities;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sales and marketing efforts;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broaden customer support and services capabilities;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or increase operational efficiencies;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appropriate operational and financial systems; and</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effective financial disclosure, controls and procedures.</w:t>
      </w:r>
    </w:p>
    <w:p>
      <w:pPr>
        <w:spacing w:after="0" w:line="166"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spacing w:after="0" w:line="12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The markets for our semiconductor products and solutions are highly competitive, and some market participants have substantially greater resources. We compete against both established competitors and new market entrants with respect to, among other things, cost, technology, and engineering resources.</w:t>
      </w:r>
    </w:p>
    <w:p>
      <w:pPr>
        <w:spacing w:after="0" w:line="120" w:lineRule="exact"/>
        <w:rPr>
          <w:sz w:val="20"/>
          <w:szCs w:val="20"/>
          <w:color w:val="auto"/>
        </w:rPr>
      </w:pPr>
    </w:p>
    <w:p>
      <w:pPr>
        <w:jc w:val="both"/>
        <w:ind w:firstLine="512"/>
        <w:spacing w:after="0" w:line="259" w:lineRule="auto"/>
        <w:rPr>
          <w:sz w:val="20"/>
          <w:szCs w:val="20"/>
          <w:color w:val="auto"/>
        </w:rPr>
      </w:pPr>
      <w:r>
        <w:rPr>
          <w:rFonts w:ascii="Times New Roman" w:cs="Times New Roman" w:eastAsia="Times New Roman" w:hAnsi="Times New Roman"/>
          <w:sz w:val="14"/>
          <w:szCs w:val="14"/>
          <w:color w:val="auto"/>
        </w:rPr>
        <w:t>The markets for semiconductor products and solutions are highly competitive. Our future success in commercializing any semiconductor products and solutions we develop will depend on whether we can deliver the technology, products, and solutions solving our target customers’ engineering challenges and continue to develop semiconductor products and solutions in a timely manner. Additionally, it will depend on whether we can successfully compete with existing and new competitors. Some of our competitors have longer operating histories, greater name recognition, more established customer bases, and significantly greater financial, technical, research and development, marketing, and other resources than we do. In some cases, our competitors may be better positioned to initiate or withstand substantial price competition. If we are not able to maintain favorable pricing for our products and solutions, our profit margin and profitability could suffer. Certain competitors may be better positioned to acquire competitive solutions and take advantage of acquisition or other similar expansion opportunities. Increased competition may result in pricing pressure and reduced margins, impeding our ability to increase the sales of our products or causing us to lose market share. Any of these outcomes will adversely affect our business, results of operations, and financial condition.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interconnect products are also subject to intense competition.</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markets for our interconnect products and solutions are competitive and fragmented and are subject to changing technology and shifting customer needs. A number of vendors produce and market products and services that compete to varying extents with our offerings, both in terms of performance and price. We expect this competition to continue and intensify. Moreover, changes affecting the markets for our interconnect products could increase the chances that we will face competition from new products or service offerings from both existing and new competitors.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will greatly depend on our ability to successfully introduce new products and solutions for our markets that meet the needs of our customers.</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Our future success will depend on our ability to introduce new products and improve and enhance our existing products. In furtherance of these efforts, we expect to invest significantly in ongoing research and development. If we do not adequately fund our research and development efforts, or if our investments in research and development do not translate into material enhancements to our products, we may not be able to compete effectively, and our business, results of operations, and financial condition may be harmed.</w:t>
      </w:r>
    </w:p>
    <w:p>
      <w:pPr>
        <w:spacing w:after="0" w:line="135"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Furthermore, given the rapidly evolving nature of the markets in which we compete, our products and technology could be rendered obsolete by alternative or competing technologies. The markets in which we operate are characterized by changing technology and evolving industry standards. We may not be successful in identifying, developing, and marketing products or systems that respond to rapid technological change, evolving technical standards, and systems developed by others. If we do not continue to develop, manufacture, and market innovative technologies or applications that meet customers’ requirements, sales may suffer, and our growth prospects may be harmed.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consolidation of our customers may adversely affect our financial results.</w:t>
      </w:r>
    </w:p>
    <w:p>
      <w:pPr>
        <w:spacing w:after="0" w:line="184"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Our industry is characterized by the high costs associated with developing marketable semiconductor products and solutions as well as high levels of investment in production capabilities. As a result, the semiconductor industry and the markets we serve have experienced, and may continue to experience, consolidation among our competitors or customers. Larger competitors resulting from consolidations may have certain advantages over us, including, but not limited to, substantially greater financial and other resources with which to withstand adverse economic or market conditions and pursue development, engineering, manufacturing, marketing, and distribution of their products; longer operating histories; presence in key markets; patent protection; and greater name recognition. In addition, we may be at a competitive disadvantage to our peers if we fail to identify attractive opportunities to acquire companies to expand our business. Consolidation among our competitors or customers could erode our market share, negatively impact our capacity to compete and require us to restructure our operations, any of which could have a material adverse effect on our business.</w:t>
      </w:r>
    </w:p>
    <w:p>
      <w:pPr>
        <w:spacing w:after="0" w:line="31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generate a substantial portion of our revenues from one customer and expect that we will generate revenue from a limited number of customers in the near future; and the loss of any key customer could have a material adverse effect on our business.</w:t>
      </w:r>
    </w:p>
    <w:p>
      <w:pPr>
        <w:spacing w:after="0" w:line="12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Our primary customers are organizations that sell product solutions for defense, aerospace, commercial, industrial and other applications. We have also engaged with several OEMs and ODMs in an effort to secure them as customers for our mmWave ICs when the products are available for sale. If they do purchase our mmWave ICs, we expect them to purchase these products on a purchase order basis when we complete development and commence sales, which is customary in the semiconductor industry.</w:t>
      </w:r>
    </w:p>
    <w:p>
      <w:pPr>
        <w:spacing w:after="0" w:line="13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For the year ended September 30, 2025, sales to Leidos Holdings, Inc. accounted for approximately 50% of our net revenues and no other customer accounted for 10% or more of our net revenues. The loss of this customer would have a material adverse impact on our results of operations and financial condition.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17" w:name="page18"/>
    <w:bookmarkEnd w:id="17"/>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generally do not obtain long-term purchase commitments, and although most of our customer orders are non-cancellable, some customers may choose to unilaterally cancel their purchase order which may adversely impact our revenue and operating results.</w:t>
      </w:r>
    </w:p>
    <w:p>
      <w:pPr>
        <w:spacing w:after="0" w:line="12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With limited exceptions, we generally do not obtain long-term commitments with our customers. While a majority of our customers are not permitted to cancel their product orders, in some cases, customers may unilaterally cancel their orders, which may adversely impact our revenue and operating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Defects in our products or poor design and engineering solutions could result in lost sales and subject us to substantial liability.</w:t>
      </w:r>
    </w:p>
    <w:p>
      <w:pPr>
        <w:spacing w:after="0" w:line="184" w:lineRule="exact"/>
        <w:rPr>
          <w:sz w:val="20"/>
          <w:szCs w:val="20"/>
          <w:color w:val="auto"/>
        </w:rPr>
      </w:pPr>
    </w:p>
    <w:p>
      <w:pPr>
        <w:jc w:val="both"/>
        <w:ind w:firstLine="512"/>
        <w:spacing w:after="0" w:line="257" w:lineRule="auto"/>
        <w:rPr>
          <w:sz w:val="20"/>
          <w:szCs w:val="20"/>
          <w:color w:val="auto"/>
        </w:rPr>
      </w:pPr>
      <w:r>
        <w:rPr>
          <w:rFonts w:ascii="Times New Roman" w:cs="Times New Roman" w:eastAsia="Times New Roman" w:hAnsi="Times New Roman"/>
          <w:sz w:val="14"/>
          <w:szCs w:val="14"/>
          <w:color w:val="auto"/>
        </w:rPr>
        <w:t>If our products perform poorly, whether due to design, engineering, or other reasons, we could lose sales. In certain cases, if our products are found to be the component that leads to failure or a failure to meet the performance specifications of our customer, we could be required to pay monetary damages to our customer. A defect in any of our products could give rise to significant costs, including expenses relating to recalling the products, replacing defective items and writing down defective inventory as well as lead to the loss of potential sales. In addition, the occurrence of such defects may give rise to product liability claims, including liability for damages caused by such defects if our semiconductors or the consumer products based on them malfunction and result in personal injury or death. Such claims could result in significant costs and expenses relating to damages and attorneys’ fees. Moreover, since the cost of replacing defective semiconductor devices is often much higher than the value of the devices themselves, we may at times face damage claims from customers that are in excess of the amounts paid to us for products, including consequential damages. We may even be named in product liability claims where there is no evidence that our products caused the damage in question. We maintain insurance to protect against certain types of claims associated with the use of our products, but our insurance coverage may not adequately cover any such claims. In addition, even claims that ultimately are unsuccessful could result in expenditures of funds in connection with litigation and divert management’s time and other resources. We also may incur costs and expenses relating to a recall of one or more of our products. In addition, our products could be subject to recalls directly or indirectly through the recall of products of our customers in which our products may be embedded. The process of identifying recalled products that have been widely distributed may be lengthy and require significant resources, and we may incur significant replacement costs, contract damage claims from our customers, and significant harm to our reputation. The occurrence of these problems could result in the delay or loss of market acceptance of our products and could adversely affect our business, operating results, and financial condition.</w:t>
      </w:r>
    </w:p>
    <w:p>
      <w:pPr>
        <w:spacing w:after="0" w:line="31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depend on third-party suppliers for many of the components used in our products, and in the event of a disruption in our supply chain, any efforts to develop alternative supply sources may take longer to take effect than anticipated.</w:t>
      </w:r>
    </w:p>
    <w:p>
      <w:pPr>
        <w:spacing w:after="0" w:line="12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currently rely on third party suppliers, including suppliers outside the United States, for many of the components and materials used in our products. We cannot be sure that these suppliers will remain in business. Our reliance on offshore suppliers subjects us to a number of risks that include, among other things:</w:t>
      </w:r>
    </w:p>
    <w:p>
      <w:pPr>
        <w:spacing w:after="0" w:line="124" w:lineRule="exact"/>
        <w:rPr>
          <w:sz w:val="20"/>
          <w:szCs w:val="20"/>
          <w:color w:val="auto"/>
        </w:rPr>
      </w:pPr>
    </w:p>
    <w:p>
      <w:pPr>
        <w:ind w:left="1020" w:hanging="503"/>
        <w:spacing w:after="0" w:line="264"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shortages, delivery delays and potential discontinuation of supply as a result of any recurrence of pandemics such as COVID-19, or other reasons outside of our control;</w:t>
      </w:r>
    </w:p>
    <w:p>
      <w:pPr>
        <w:spacing w:after="0" w:line="178"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legal and economic changes, crises or instability and civil unrest in the jurisdictions where our manufacturers’ plants are located, such as changes in China-Taiwan relations that may adversely affect our manufacturers’ operations in Taiwan;</w:t>
      </w:r>
    </w:p>
    <w:p>
      <w:pPr>
        <w:ind w:left="1020" w:hanging="503"/>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conversion risks and exchange rate fluctuations; and</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requirements of U.S. customs and international trade regulations.</w:t>
      </w:r>
    </w:p>
    <w:p>
      <w:pPr>
        <w:spacing w:after="0" w:line="166"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Our reliance on U.S. and non-U.S. suppliers to secure parts, components and sub-systems used in our products also exposes us to volatility in the prices and availability of these materials and services. In some instances, we depend upon a single source of supply, manufacturing, services support or assembly or we may be subject to specific procurement requirements that limit the types of materials we use, which may further limit the suppliers and subcontractors we may utilize. Although the components and materials we require may be available from other suppliers, any attempt to transition our supply arrangement to one or more other suppliers could entail expense and could lead to delays in production. If we are unable to arrange for sufficient supply of the components and materials we require, we may encounter difficulty in meeting customer requirements or increases in our operating costs which could have a material adverse effect on our competitive position, results of operations, cash flows or financial condition.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and unfavorable global economic conditions could adversely affect our business, financial condition or results of operations.</w:t>
      </w:r>
    </w:p>
    <w:p>
      <w:pPr>
        <w:spacing w:after="0" w:line="184"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Our results of operations could be adversely affected by general conditions in the global economy and in the global financial markets, including conditions that are outside of our control, such as the impact of health and safety concerns, recent and ongoing price inflation in the United States, foreign and domestic government sanctions, and other disruptions to global supply chains. A severe or prolonged economic downturn, whether due to inflationary pressures or otherwise, could result in a variety of risks to our business, including weakened demand for our products, or the inability to raise additional capital when needed on acceptable terms, or at all. A weak or declining economy could strain our suppliers, possibly resulting in supply disruption, or cause delays in payments for our products by our customers. Any of the foregoing could harm our business and we cannot anticipate all the ways in which the current economic climate and financial market conditions could adversely impact us. If inflation increases, we may not be able to adjust prices sufficiently to offset the effect without negatively impacting our gross margin.</w:t>
      </w:r>
    </w:p>
    <w:p>
      <w:pPr>
        <w:spacing w:after="0" w:line="14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Furthermore, sustained uncertainty about, or worsening of, geopolitical tensions could result in a global economic slowdown and long-term changes to global trade. Any or all of these factors could negatively affect our business, results of operations, financial condition and growth.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manage expected growth in the scale and complexity of our operations, our performance may suffer.</w:t>
      </w:r>
    </w:p>
    <w:p>
      <w:pPr>
        <w:spacing w:after="0" w:line="184"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the commercialization of any of our products. Future growth would impose significant added responsibilities on members of our management. Our management, finance, development personnel, systems, and facilities currently in place may not be adequate to support this future growth. We need to effectively manage our operations, growth, and controls, and we continue to develop more robust business processes and improve our systems and procedures in each of these areas and to attract and retain enough numbers of talented employees. We may be unable to successfully implement these tasks on a larger scale, and, accordingly, may not achieve our growth goals.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comply with the laws and regulations to which we are subject could have a material adverse effect on our business, prospects, financial condition and results of operations.</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Our technology and products are subject to export control and import laws and regulations. The failure to comply with any applicable regulations or requirements could subject us to investigations, sanctions, enforcement actions, fines, damages, civil or criminal penalties, or injunctions. Complying with import/export control and sanctions regulations may limit where, and with whom, we may do business. In addition, responding to any action will likely result in a significant diversion of management’s attention and financial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to trade policy, tariffs and import/export regulations may have a material adverse effect on our business, financial condition and results of operations.</w:t>
      </w:r>
    </w:p>
    <w:p>
      <w:pPr>
        <w:spacing w:after="0" w:line="184"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Changes in global political, regulatory, and economic conditions or in laws and policies governing foreign trade, manufacturing, development, and investment in the territories or countries where we may purchase, manufacture, or sell our products or conduct our business could adversely affect our business. In recent years, the United States has instituted or proposed changes in trade policies that include export control restrictions, the negotiation or termination of trade agreements, the imposition of higher tariffs on imports into the United States, increased economic sanctions on individuals, corporations, or countries, and other government regulations affecting trade between the United States and other countries where we conduct our business or plan to conduct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financial condition, and results of operations.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retain key employees, and to attract, retain and motivate qualified personnel.</w:t>
      </w:r>
    </w:p>
    <w:p>
      <w:pPr>
        <w:spacing w:after="0" w:line="184"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Our future depends, in part, on our ability to attract and retain key personnel, including engineers, technicians, machinists, and management personnel. For example, our research and development efforts rely on hiring and retaining qualified engineers. Competition for highly skilled engineers is extremely intense, and we may face difficulty in identifying and hiring qualified engineers in many areas of our business. Additionally, our future hinges on the continued contributions of our executive officers and other key management and technical personnel, each of whom would be challenging to replace. We do not maintain a key person life insurance policy on our chairman of the board, our chief executive officer, or our president and chief financial officer. The loss of the services of one or more of our senior executive officers or key personnel, or the inability to continue to attract qualified personnel, could potentially delay product development cycles or otherwise materially harm our business, results of operations, and financial condition.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upon our officers and directors, and their loss could adversely affect our ability to operate.</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Our operations are dependent upon a relatively small group of individuals and, in particular, our officers and directors. We believe that our success depends on the continued service of our officers and directors. None of our directors are required to commit any specified amount of time to our affairs and, accordingly, will have conflicts of interest in allocating their time among various business activities. The unexpected loss of the services of one or more of our directors or officers could have a detrimental effect on the business.</w:t>
      </w:r>
    </w:p>
    <w:p>
      <w:pPr>
        <w:spacing w:after="0" w:line="13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identified material weaknesses in our internal control over financial reporting. If we are unable to maintain effective internal control over financial reporting, we may not be able to accurately or timely report our financial condition or results of operations, which may adversely affect our business and share price.</w:t>
      </w:r>
    </w:p>
    <w:p>
      <w:pPr>
        <w:spacing w:after="0" w:line="120" w:lineRule="exact"/>
        <w:rPr>
          <w:sz w:val="20"/>
          <w:szCs w:val="20"/>
          <w:color w:val="auto"/>
        </w:rPr>
      </w:pPr>
    </w:p>
    <w:p>
      <w:pPr>
        <w:jc w:val="both"/>
        <w:ind w:right="20" w:firstLine="512"/>
        <w:spacing w:after="0" w:line="289" w:lineRule="auto"/>
        <w:rPr>
          <w:sz w:val="20"/>
          <w:szCs w:val="20"/>
          <w:color w:val="auto"/>
        </w:rPr>
      </w:pPr>
      <w:r>
        <w:rPr>
          <w:rFonts w:ascii="Times New Roman" w:cs="Times New Roman" w:eastAsia="Times New Roman" w:hAnsi="Times New Roman"/>
          <w:sz w:val="14"/>
          <w:szCs w:val="14"/>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spacing w:after="0" w:line="124" w:lineRule="exact"/>
        <w:rPr>
          <w:sz w:val="20"/>
          <w:szCs w:val="20"/>
          <w:color w:val="auto"/>
        </w:rPr>
      </w:pPr>
    </w:p>
    <w:p>
      <w:pPr>
        <w:jc w:val="both"/>
        <w:ind w:left="1020" w:hanging="503"/>
        <w:spacing w:after="0" w:line="259" w:lineRule="auto"/>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an effective control environment commensurate with our financial reporting requirements. Specifically, we lacked a sufficient complement of personnel with an appropriate level of accounting knowledge, training and experience to appropriately analyze, record and disclose accounting matters timely and accurately. Additionally, the insufficient complement of personnel resulted in an inability to consistently establish appropriate authorities and responsibilities in pursuit of financial reporting objectives, as demonstrated by, among other things, insufficient segregation of duties in its finance and accounting functions;</w:t>
      </w:r>
    </w:p>
    <w:p>
      <w:pPr>
        <w:spacing w:after="0" w:line="1" w:lineRule="exact"/>
        <w:rPr>
          <w:rFonts w:ascii="Times New Roman" w:cs="Times New Roman" w:eastAsia="Times New Roman" w:hAnsi="Times New Roman"/>
          <w:sz w:val="14"/>
          <w:szCs w:val="14"/>
          <w:color w:val="auto"/>
        </w:rPr>
      </w:pPr>
    </w:p>
    <w:p>
      <w:pPr>
        <w:jc w:val="both"/>
        <w:ind w:left="1020" w:hanging="503"/>
        <w:spacing w:after="0" w:line="261" w:lineRule="auto"/>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an effective risk assessment process at a precise enough level to identify new and evolving risks of material misstatement in the financial statements. Specifically, changes to existing controls or the implementation of new controls have not been sufficient to respond to changes to the risks of material misstatement to financial reporting.</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These material weaknesses contributed to the following additional material weaknesses:</w:t>
      </w:r>
    </w:p>
    <w:p>
      <w:pPr>
        <w:spacing w:after="0" w:line="180" w:lineRule="exact"/>
        <w:rPr>
          <w:sz w:val="20"/>
          <w:szCs w:val="20"/>
          <w:color w:val="auto"/>
        </w:rPr>
      </w:pPr>
    </w:p>
    <w:p>
      <w:pPr>
        <w:jc w:val="both"/>
        <w:ind w:left="1020" w:hanging="503"/>
        <w:spacing w:after="0" w:line="258" w:lineRule="auto"/>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formal accounting policies, procedures and controls to achieve complete, accurate and timely financial accounting, reporting and disclosures, including controls over (i) the preparation and review of account reconciliations and journal entries, (ii) maintaining appropriate segregation of duties, (iii) determining the appropriate grant date for stock options and evaluating the assumptions used within the Black-Scholes model to determine the fair value of option grants, and (iv) the review of the completeness and accuracy of the income tax provision and related disclosures. Additionally, we did not design and maintain controls over the classification and presentation of accounts and disclosures in the financial statements and to ensure revenue transactions are recorded in the correct period.</w:t>
      </w:r>
    </w:p>
    <w:p>
      <w:pPr>
        <w:spacing w:after="0" w:line="2" w:lineRule="exact"/>
        <w:rPr>
          <w:rFonts w:ascii="Times New Roman" w:cs="Times New Roman" w:eastAsia="Times New Roman" w:hAnsi="Times New Roman"/>
          <w:sz w:val="14"/>
          <w:szCs w:val="14"/>
          <w:color w:val="auto"/>
        </w:rPr>
      </w:pPr>
    </w:p>
    <w:p>
      <w:pPr>
        <w:jc w:val="both"/>
        <w:ind w:left="1020" w:hanging="503"/>
        <w:spacing w:after="0" w:line="254" w:lineRule="auto"/>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effective controls to identify and account for certain non-routine, unusual or complex transactions, including the proper application of U.S. GAAP of such transactions. Specifically, we did not design and maintain effective controls to (i) timely identify, account for and value business combinations and asset acquisitions, including the associated tax implications and (ii) timely identify, account for and value financing arrangements.</w:t>
      </w:r>
    </w:p>
    <w:p>
      <w:pPr>
        <w:ind w:left="1020" w:hanging="503"/>
        <w:spacing w:after="0" w:line="268" w:lineRule="auto"/>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effective controls to verify transactions are properly authorized, executed, and accounted for, including transactions related to incentive compensation arrangements.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20" w:name="page21"/>
    <w:bookmarkEnd w:id="20"/>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These material weaknesses resulted in adjustments to revenue, accrued expenses, general and administrative expenses, inventory, costs of products sold, the accounting for and classification of redeemable convertible preferred stock, founders preferred and common stock, stock-based compensation expense, other current assets, income tax expense and deferred tax liabilities, as well as the purchase price allocation for the business combination, as of and for the years ended September 30, 2022 and 2021; adjustments to stock-based compensation expense, accrued expenses, other current liabilities and the PIPE make-whole liability, as well as the purchase price allocations for our business combinations as of and for the interim periods ended December 31, 2023 and June 30, 2024, and as of and for the year ended September 30, 2024; and, an adjustment to the number of shares of our Class B Common Stock reported as issued and outstanding as of June 30, 2025.</w:t>
      </w:r>
    </w:p>
    <w:p>
      <w:pPr>
        <w:spacing w:after="0" w:line="142" w:lineRule="exact"/>
        <w:rPr>
          <w:sz w:val="20"/>
          <w:szCs w:val="20"/>
          <w:color w:val="auto"/>
        </w:rPr>
      </w:pPr>
    </w:p>
    <w:p>
      <w:pPr>
        <w:jc w:val="both"/>
        <w:ind w:left="1020" w:hanging="503"/>
        <w:spacing w:after="0" w:line="263" w:lineRule="auto"/>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effective IT general controls for information systems that are relevant to the preparation of the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 These deficiencies did not result in a misstatement to the financial statements.</w:t>
      </w:r>
    </w:p>
    <w:p>
      <w:pPr>
        <w:spacing w:after="0" w:line="14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Additionally, these material weaknesses could result in a misstatement of substantially all of our accounts or disclosures that would result in a material misstatement to the annual or interim financial statements that would not be prevented or detected.</w:t>
      </w:r>
    </w:p>
    <w:p>
      <w:pPr>
        <w:spacing w:after="0" w:line="12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are working to remediate the material weaknesses as efficiently and effectively as possible. At this time, we cannot provide an estimate of costs expected to be incurred in connection with implementing this remediation plan; however, these remediation measures will be time consuming, will result in us incurring significant costs and will place significant demands on our financial and operational resources.</w:t>
      </w:r>
    </w:p>
    <w:p>
      <w:pPr>
        <w:spacing w:after="0" w:line="135"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While we are designing and implementing measures to remediate our existing material weaknesses, we cannot predict the success of such measures or the outcome of our assessment of these measures at this time. We can give no assurance that these measures will remediate any of the deficiencies in our internal control over financial reporting, or that we will not identify additional material weaknesses in our internal control over financial reporting in the future. Our current controls and any new controls that we develop may become inadequate because of changes in conditions in our business, personnel, IT systems and applications, or other factors. Any failure to design or maintain effective internal control over financial reporting or any difficulties encountered in their implementation or improvement could increase compliance costs, negatively impact share trading prices, or otherwise harm our operating results or cause us to fail to meet our reporting obligations.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our ability to record, process, summarize and report information within the time periods specified in the rules and forms of the SEC could be adversely affected, which, in turn, may adversely affect our reputation and business and the market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21" w:name="page22"/>
    <w:bookmarkEnd w:id="21"/>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As a public company, we are required to furnish a report by management on, among other things, the effectiveness of our internal control over financial reporting. Our independent registered public accounting firm is not required to attest to the effectiveness of our internal control over financial reporting until after we are no longer an “emerging growth company,” as defined in the JOBS Act, or a “smaller reporting company,” as defined in Item 10(f)(1) of Regulation S-K. We may not be able to conclude on an ongoing basis that we have effective internal control over financial reporting, in which case our independent registered public accounting firm could not issue an unqualified opinion related to the effectiveness of our internal control over financial reporting. If we continue to conclude that we have ineffective internal control over financial reporting and our independent registered public accounting firm is unable to issue an unqualified opinion related to the effectiveness of our internal control over financial reporting, investors could lose confidence in our reported financial information, which could have a material adverse effect on the trading price of our Class A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suffer in the event of a security breach involving our IT systems, intellectual property or other proprietary or confidential information.</w:t>
      </w:r>
    </w:p>
    <w:p>
      <w:pPr>
        <w:spacing w:after="0" w:line="18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rely on the efficient and uninterrupted operation of complex information technology applications, systems, and networks to conduct our business. The reliability and security of our information technology infrastructure and software, as well as our ability to expand and continually update technologies in response to changing needs, are critical to our operations. Any significant interruption in these applications, systems, or networks - such as new system implementations, computer viruses, cyberattacks, security breaches, facility issues, or energy blackouts - could result in misappropriation of our intellectual property or other proprietary or confidential information and could have a material adverse impact on our business, financial condition, and results of operations.</w:t>
      </w:r>
    </w:p>
    <w:p>
      <w:pPr>
        <w:spacing w:after="0" w:line="140" w:lineRule="exact"/>
        <w:rPr>
          <w:sz w:val="20"/>
          <w:szCs w:val="20"/>
          <w:color w:val="auto"/>
        </w:rPr>
      </w:pPr>
    </w:p>
    <w:p>
      <w:pPr>
        <w:jc w:val="both"/>
        <w:ind w:firstLine="512"/>
        <w:spacing w:after="0" w:line="282" w:lineRule="auto"/>
        <w:rPr>
          <w:sz w:val="20"/>
          <w:szCs w:val="20"/>
          <w:color w:val="auto"/>
        </w:rPr>
      </w:pPr>
      <w:r>
        <w:rPr>
          <w:rFonts w:ascii="Times New Roman" w:cs="Times New Roman" w:eastAsia="Times New Roman" w:hAnsi="Times New Roman"/>
          <w:sz w:val="14"/>
          <w:szCs w:val="14"/>
          <w:color w:val="auto"/>
        </w:rPr>
        <w:t>Our business also depends on various outsourced IT services. We rely on third-party vendors to provide critical services and to adequately address cybersecurity threats to their own systems. Any failure of third-party systems and services to operate effectively could disrupt our operations and could have a material adverse effect on our business, financial condition, and results of operations.</w:t>
      </w:r>
    </w:p>
    <w:p>
      <w:pPr>
        <w:spacing w:after="0" w:line="30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Instituting and defending against intellectual property or other types of litigation and administrative proceedings could cause us to spend substantial resources, distract our personnel from their normal responsibilities, and have uncertain outcomes.</w:t>
      </w:r>
    </w:p>
    <w:p>
      <w:pPr>
        <w:spacing w:after="0" w:line="120"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We have in the past been, are currently, and may in the future be involved in actual and threatened litigation, regulatory proceedings, and commercial or contractual disputes that may be significant. These matters may include, without limitation, disputes with suppliers and customers, competitors, intellectual property disputes, government investigations, and stockholder litigation. In such matters, government agencies or private parties may seek to recover very large, indeterminate amounts of monetary damages or penalties from us, including, in some cases, treble or punitive damages. These types of litigation and proceedings could require significant management time and attention or could involve substantial legal liability. They could have a material adverse impact on our operating results and financial position, and our established reserves or our available insurance may not sufficiently mitigate this impact.</w:t>
      </w:r>
    </w:p>
    <w:p>
      <w:pPr>
        <w:spacing w:after="0" w:line="13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Some of our potential customers, including those in the military and aerospace industries, may require us to comply with additional regulatory requirements, which will increase our compliance costs.</w:t>
      </w:r>
    </w:p>
    <w:p>
      <w:pPr>
        <w:spacing w:after="0" w:line="12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Some of our potential customers, including those in the military and aerospace industries, may require us to comply with additional regulatory requirements. These additional regulations may impose added costs on our business and could have a material adverse effect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by violations of applicable anti-corruption laws or violations of our internal policies designed to ensure ethical business practices.</w:t>
      </w:r>
    </w:p>
    <w:p>
      <w:pPr>
        <w:spacing w:after="0" w:line="184" w:lineRule="exact"/>
        <w:rPr>
          <w:sz w:val="20"/>
          <w:szCs w:val="20"/>
          <w:color w:val="auto"/>
        </w:rPr>
      </w:pPr>
    </w:p>
    <w:p>
      <w:pPr>
        <w:jc w:val="both"/>
        <w:ind w:firstLine="512"/>
        <w:spacing w:after="0" w:line="262" w:lineRule="auto"/>
        <w:rPr>
          <w:sz w:val="20"/>
          <w:szCs w:val="20"/>
          <w:color w:val="auto"/>
        </w:rPr>
      </w:pPr>
      <w:r>
        <w:rPr>
          <w:rFonts w:ascii="Times New Roman" w:cs="Times New Roman" w:eastAsia="Times New Roman" w:hAnsi="Times New Roman"/>
          <w:sz w:val="14"/>
          <w:szCs w:val="14"/>
          <w:color w:val="auto"/>
        </w:rPr>
        <w:t>We are subject to the risk that we, our U.S. employees or employees located in other jurisdictions or any third parties that we engage to do work on our behalf in foreign countries may take action determined to be in violation of anti-corruption laws in any jurisdiction in which we conduct business, including the U.S. Foreign Corrupt Practices Act of 1977 (the “FCPA”). Any violation of the FCPA or any similar anti-corruption law or regulation could result in substantial fines, sanctions, civil and/or criminal penalties and curtailment of operations in certain jurisdictions and might adversely affect our business, results of operations or financial condition. In addition, we have internal ethics policies that we require our employees to comply with in order to ensure that our business is conducted in a manner that our management deems appropriate. If these anti-corruption laws or internal policies were to be violated, our reputation and operations could also be substantially harmed.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22" w:name="page23"/>
    <w:bookmarkEnd w:id="22"/>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Our intellectual property applications, including patent and trademark applications, may not be issued or granted or may take longer than expected to result in an issuance or grant, which may have a material adverse effect on our ability to enforce our intellectual property rights.</w:t>
      </w:r>
    </w:p>
    <w:p>
      <w:pPr>
        <w:spacing w:after="0" w:line="12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have a number of patents and pending patent applications for our business. In addition, we have had both registered trademarks and pending trademark applications. We cannot be certain that our applications for patent and trademark protection will be successful, and even if issued or granted, we cannot guarantee that such patents or trademarks will provide meaningful protection of our intellectual property. In addition, we may not be able to file and/or prosecute all necessary or desirable applications for intellectual property registrations at a reasonable cost or in a timely manner or pursue or obtain protection in all relevant markets, which could adversely affect our business, prospects, financial condition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our intellectual property, and our failure to protect that intellectual property could adversely affect our business.</w:t>
      </w:r>
    </w:p>
    <w:p>
      <w:pPr>
        <w:spacing w:after="0" w:line="18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Our failure to protect our existing intellectual property rights may result in the loss of exclusivity or the right to use our technologies. If we do not adequately ensure our freedom to use certain technology, we may have to pay others for rights to use their intellectual property, pay damages for infringement or misappropriation, and/or be enjoined from using such intellectual property.</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cannot be certain that our technology and products do not or will not infringe upon the intellectual property rights of third parties. If infringement were to occur, our development, manufacturing, sales and distribution of such technology or products may be disrupted.</w:t>
      </w:r>
    </w:p>
    <w:p>
      <w:pPr>
        <w:spacing w:after="0" w:line="12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rely on patent, trade secret, trademark and copyright law to protect our intellectual property. Our patent position is subject to complex factual and legal issues that may give rise to uncertainty as to the validity, scope and enforceability of a particular patent. Accordingly, we cannot assure that any of the patents we have filed or other patents that third parties license to us will not be invalidated, circumvented, challenged, rendered unenforceable, or licensed to others or that any of our pending or future patent applications will be issued with the breadth of claim coverage we seek, if issued at all.</w:t>
      </w:r>
    </w:p>
    <w:p>
      <w:pPr>
        <w:spacing w:after="0" w:line="14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Effective patent, trademark, copyright and trade secret protection may be unavailable, limited or not applied for in certain foreign countries. For instance, it may be difficult for us to enforce certain of our intellectual property rights against third parties who may have inappropriately acquired interests in our intellectual property rights by filing unauthorized trademark applications in foreign countries to register our marks because of their familiarity with our business in the United States.</w:t>
      </w:r>
    </w:p>
    <w:p>
      <w:pPr>
        <w:spacing w:after="0" w:line="135"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Some of our proprietary intellectual property is not protected by any patent or patent application, and, despite our precautions, it may be possible for third parties to obtain and use such intellectual property without authorization. We have generally sought to protect such proprietary intellectual property in part by confidentiality agreements and, if applicable, inventors’ rights agreements with strategic partners and employees, although such agreements have not been put in place in every instance. We cannot guarantee that these agreements adequately protect our trade secrets and other intellectual property or proprietary rights. In addition, we cannot ensure that these agreements will not be breached, that we will have adequate remedies for any breach or that such persons or institutions will not assert rights to intellectual property arising out of these relationships. Furthermore, the steps we have taken and may take in the future may not prevent misappropriation of our solutions or technologies, particularly in respect of officers and employees who are no longer employed by us or in foreign countries where laws or law enforcement practices may not protect our proprietary rights as fully as in the United States.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23" w:name="page24"/>
    <w:bookmarkEnd w:id="23"/>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state, federal and international privacy and data protection laws and regulations. Our failure to comply with these laws and regulations could have an adverse effect on our business, prospects, financial condition and results of operations.</w:t>
      </w:r>
    </w:p>
    <w:p>
      <w:pPr>
        <w:spacing w:after="0" w:line="120"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We are subject to state, federal and international privacy and data protection-related laws and regulations that impose obligations on us in connection with the collection, storage, use, processing, disclosure, protection, transmission, retention and disposal of personal, sensitive, regulated and confidential data. We also may be bound by contractual obligations relating to our collection, use and disclosure of personal, confidential and other data. While we strive to comply with all applicable privacy, data protection and information security laws and regulations, as well as our contractual obligations and applicable industry standards, such laws, regulations, obligations and standards continue to evolve and are becoming increasingly complex, which makes compliance challenging and expensive. Any failure or perceived failure by us to comply with laws, regulations, industry standards or contractual or other legal obligations relating to privacy, data protection or information security could have an adverse effect on our reputation, business, prospects, financial condition and results of operations.</w:t>
      </w:r>
    </w:p>
    <w:p>
      <w:pPr>
        <w:spacing w:after="0" w:line="14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and must remain in compliance with, numerous laws and governmental regulations across various jurisdictions concerning the development and sale of our products, including engagement of employees and contractors.</w:t>
      </w:r>
    </w:p>
    <w:p>
      <w:pPr>
        <w:spacing w:after="0" w:line="120"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We develop and sell products that contain electronic components, and such components may contain materials that are subject to government regulation in both the locations where the products are manufactured and assembled, as well as the locations where the products are sold. Since we sell products internationally and intend to significantly increase our sales as we commercialize our semiconductor products, this will be a complex process that will require continuous monitoring of regulations and an ongoing compliance process to ensure that we, and our suppliers and manufacturers, are in compliance with all existing regulations. If there is an unanticipated new regulation that significantly impacts our use of various components or requires more expensive components, that regulation could materially adversely affect our business, results of operations and financial condition.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Securities</w:t>
      </w:r>
    </w:p>
    <w:p>
      <w:pPr>
        <w:spacing w:after="0" w:line="17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In the event that we are unable to maintain compliance with Nasdaq’s continued listing standards, Nasdaq may delist our securities from trading on its exchange, which could limit investors’ ability to make transactions in our securities and subject us to additional trading restrictions.</w:t>
      </w:r>
    </w:p>
    <w:p>
      <w:pPr>
        <w:spacing w:after="0" w:line="120"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Currently, our Class A Common Stock and the Public Warrants are traded on Nasdaq. However, we cannot assure you that our securities will continue to be listed on Nasdaq in the future. In order to continue listing our securities on Nasdaq, we are required to maintain certain financial, distribution, and stock price levels. We are required to maintain a minimum bid price of $1.00 per share (the “Minimum Bid Price Requirement”). On April 28, 2025, we received a delinquency notification letter (the “Notice”) from Nasdaq’s Listing Qualifications Staff (the “Staff”) due to the non-compliance with Nasdaq Listing Rule 5550(a)(2) as a result of our failure to maintain the Minimum Bid Price Requirement. The Notice stated that, as of its date, the stock price of the Class A Common Stock was below $1.00 for 30 consecutive business days and gave us 180 calendar days, or until October 27, 2025, to regain compliance by maintaining a closing bid price of at least $1.00 per share for a minimum of ten consecutive business days (the “Initial Compliance Period”).</w:t>
      </w:r>
    </w:p>
    <w:p>
      <w:pPr>
        <w:spacing w:after="0" w:line="145"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On October 24, 2025, we submitted a request to Nasdaq for an additional 180-day period (the “Second Compliance Period”) to provide additional time for us to demonstrate compliance with the Minimum Bid Price Requirement. On October 29, 2025 we received written notice from Nasdaq (the “Extension Letter”) granting us an extension through April 27, 2026 (the “Extension Deadline”), to regain compliance with the Minimum Bid Price Requirement. On March 23, 2026, our stockholders approved a proposal to effect the Reverse Stock Split. The Reverse Stock Split went effective after market close on April 6, 2026. The effects of the Reverse Stock Split allowed us to regain compliance with the Minimum Bid Price Requirement as of April 21, 2026; however, the Reverse Stock Split is subject to certain risks, which are outlined below. We may in the future fail to meet the Minimum Bid Price Requirement and in such event, if we fail to timely regain compliance with the Minimum Bid Price Requirement, Nasdaq will provide written notification to us that our common stock is subject to delisting. Nasdaq rules provide that any listed company that fails to meet the Minimum Bid Price Requirement and has effected a reverse stock split over the prior one-year period, or has effected one or more reverse stock splits over the prior two-year period with a cumulative ratio of 250 shares or more to one, will not be eligible for an automatic 180-day grace compliance period and the Staff is obligated to immediately issue a delisting determination. Therefore, if we were to fall out of compliance with the Minimum Bid Price Requirement prior to April 6, 2027, we would not be able to effect a reverse stock split and would immediately be issued a delisting determination.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24" w:name="page25"/>
    <w:bookmarkEnd w:id="24"/>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We are also required to maintain a minimum market capitalization (generally $35 million) and a minimum number of holders of our listed securities (generally 400 public holders). On January 15, 2026, we received a delinquency notification letter (the “MVLS Notice”) from the Staff that we are not compliant with Nasdaq Listing Rule 5550(b)(2) as a result of our failure to maintain a minimum Market Value of Listed Securities (“MVLS Requirement”) of $35 million. We have subsequently regained compliance with the MVLS Requirement. However, we may in the future fail to meet the MVLS Requirement and in such event, if we fail to timely regain compliance with the MVLS Requirement, Nasdaq will provide written notification to us that our common stock is subject to delisting.</w:t>
      </w:r>
    </w:p>
    <w:p>
      <w:pPr>
        <w:spacing w:after="0" w:line="14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2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availability of market quotations for our securities;</w:t>
      </w:r>
    </w:p>
    <w:p>
      <w:pPr>
        <w:spacing w:after="0" w:line="2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liquidity for our securities;</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ind w:left="1020" w:hanging="503"/>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amount of news and analyst coverage; and</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ability to issue additional securities or obtain additional financing in the future.</w:t>
      </w:r>
    </w:p>
    <w:p>
      <w:pPr>
        <w:spacing w:after="0" w:line="166"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National Securities Markets Improvement Act of 1996, which is a federal statute, prevents or preempts the states from regulating the sale of certain securities, which are referred to as “covered securities.” Since our Class A Common Stock and our Public Warrants are listed on Nasdaq, they are covered securities. If we are no longer listed on Nasdaq, our securities would not be covered securities and we would be subject to regulation in each state in which we offer our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Reverse Stock Split Has Led to a Decrease in the Overall Market Capitalization of the Company.</w:t>
      </w:r>
    </w:p>
    <w:p>
      <w:pPr>
        <w:spacing w:after="0" w:line="18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Reverse Stock Split may be viewed negatively by the market. Following the Reverse Stock Split, our per share market price has declined, which has resulted in a decrease in our overall market capitalization. If there are further decreases in the per share market price of our Class A Common Stock, then our value, as measured by our market capitalization, will be reduced.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securities is volatile.</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market price of our securities has been and may continue to be volatile. The price of our securities may fluctuate significantly in response to a number of factors, many of which are outside our control, and investors in our securities may experience decreases in the value of those securities, including decreases unrelated to our operating performance. In addition, price volatility may be greater if the public float and trading volume of our Class A Common Stock is 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that could cause the market price of our securities to fluctuate or decline include, among others:</w:t>
      </w:r>
    </w:p>
    <w:p>
      <w:pPr>
        <w:spacing w:after="0" w:line="180" w:lineRule="exact"/>
        <w:rPr>
          <w:sz w:val="20"/>
          <w:szCs w:val="20"/>
          <w:color w:val="auto"/>
        </w:rPr>
      </w:pPr>
    </w:p>
    <w:p>
      <w:pPr>
        <w:ind w:left="520" w:hanging="259"/>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operating results from period to period;</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expectations regarding our growth, profitability or other performance metrics;</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regarding our business, including contracts, acquisitions, financings, strategic partnerships or joint ventures;</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or recommendations by securities analysts, or the failure to meet analysts’ or investors’ expectations;</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or stock price performance of other companies that investors may view as comparable to us;</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or expected sales of a significant number of shares of our Class A Common Stock by us or by our directors, executive officers or other large stockholders;</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including future issuances of equity or convertible securities or the incurrence of additional indebtedness;</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 litigation, regulatory matters or governmental investigations involving us;</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regulations, accounting standards or interpretations applicable to us or our industry; and</w:t>
      </w:r>
    </w:p>
    <w:p>
      <w:pPr>
        <w:spacing w:after="0" w:line="180" w:lineRule="exact"/>
        <w:rPr>
          <w:rFonts w:ascii="Times New Roman" w:cs="Times New Roman" w:eastAsia="Times New Roman" w:hAnsi="Times New Roman"/>
          <w:sz w:val="14"/>
          <w:szCs w:val="14"/>
          <w:color w:val="auto"/>
        </w:rPr>
      </w:pPr>
    </w:p>
    <w:p>
      <w:pPr>
        <w:jc w:val="center"/>
        <w:ind w:left="5580" w:right="800" w:hanging="5319"/>
        <w:spacing w:after="0" w:line="544" w:lineRule="auto"/>
        <w:tabs>
          <w:tab w:leader="none" w:pos="52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economic, industry and geopolitical conditions, including recessions, interest rate changes, currency fluctuations and acts of war, terrorism or natural disasters.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6089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25" w:name="page26"/>
    <w:bookmarkEnd w:id="25"/>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In addition, broad market and industry factors, including those unrelated to our actual or expected operating performance, may materially and adversely affect the market price of our securities. As a result, you may not be able to resell such securities at or above the price you paid and may lose all or part of your investment.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equity research analysts do not publish research or reports, or if they publish unfavorable research or reports about our company, our stock price and trading volume could decline.</w:t>
      </w:r>
    </w:p>
    <w:p>
      <w:pPr>
        <w:spacing w:after="0" w:line="18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 trading market for Class A Common Stock may be influenced by the research and reports that equity research analysts publish about us and our business. In the event we do have equity research analyst coverage, the information and opinions about our Class A Common Stock that is available to investors may be limited, which could reduce demand for our stock. The price of our stock could decline if one or more equity research analysts downgrade the stock or issue other unfavorable commentary or research. If one or more equity research analysts ceases coverage of us or fails to publish reports regularly, demand for our stock could decrease, which, in turn, could cause our stock price or trading volume to decline.</w:t>
      </w:r>
    </w:p>
    <w:p>
      <w:pPr>
        <w:spacing w:after="0" w:line="13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are subject to changing laws and regulations regarding corporate governance and public disclosure that have increased both our costs and the risk of non-compliance and may adversely affect our business, and our results of operations.</w:t>
      </w:r>
    </w:p>
    <w:p>
      <w:pPr>
        <w:spacing w:after="0" w:line="120"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We are subject to laws and regulations enacted by national, regional and local governments. In particular, we are required to comply with certain SEC and other legal requirements. Our efforts to comply with new and changing laws and regulations have resulted in and are likely to continue to result in, increased general and administrative expenses and a diversion of management time and attention from revenue-generating activities to compliance activities. Those laws and regulations and their interpretation and application may also change from time to time, and those changes could have a material adverse effect on our business, investments and results of operations.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 In addition, a failure to comply with applicable laws or regulations, as interpreted and applied, could have a material adverse effect on our business, and our results of operations.</w:t>
      </w:r>
    </w:p>
    <w:p>
      <w:pPr>
        <w:spacing w:after="0" w:line="31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has the effect of concentrating voting control with the holders of our Class B Common Stock, most of whom are our directors or management; this may limit your ability to influence corporate matters.</w:t>
      </w:r>
    </w:p>
    <w:p>
      <w:pPr>
        <w:spacing w:after="0" w:line="12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Our Class B Common Stock has ten votes per share and Class A Common Stock has one vote per share. Stockholders who hold shares of Class B Common Stock, including certain of our executive officers and directors and their affiliates, together hold a substantial portion of the voting power of our outstanding capital stock. Because of the ten-to-one voting ratio between the Class B Common Stock and the Class A Common Stock, the holders of Class B Common Stock collectively control a substantial portion of the combined voting power of the Common Stock and therefore may be able to significantly influence matters submitted to our stockholders for approval. This may limit the ability of holders of our Class A Common Stock to influence corporate matters.</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Transfers by holders of Class B Common Stock will generally result in those shares automatically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of Class B Common Stock until the automatic conversion of the outstanding shares of Class B Common Stock into shares of Class A Common Stock on December 21, 2030.</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become subject to securities or class action litigation, which is expensive and could divert management’s attention.</w:t>
      </w:r>
    </w:p>
    <w:p>
      <w:pPr>
        <w:spacing w:after="0" w:line="18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Our share price may be volatile and, in the past, companies that have experienced volatility in the market price of their stock have been subject to securities litigation, including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or any amounts paid to settle any such actual or threatened litigation could require that we make significant payments and/or could also subject us to significant liabilities.</w:t>
      </w:r>
    </w:p>
    <w:p>
      <w:pPr>
        <w:spacing w:after="0" w:line="13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a “smaller reporting company,” and if we take advantage of certain exemptions from disclosure requirements available to emerging growth companies or smaller reporting companies, our securities could be less attractive to investors.</w:t>
      </w:r>
    </w:p>
    <w:p>
      <w:pPr>
        <w:spacing w:after="0" w:line="120"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we will not be required to comply with the auditor attestation requirements of Section 404(b) of the Sarbanes-Oxley Act, we will be exempt from any rules that could be adopted by the Public Company Accounting Oversight Board requiring mandatory audit firm rotations or requiring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42" w:lineRule="exact"/>
        <w:rPr>
          <w:sz w:val="20"/>
          <w:szCs w:val="20"/>
          <w:color w:val="auto"/>
        </w:rPr>
      </w:pPr>
    </w:p>
    <w:p>
      <w:pPr>
        <w:jc w:val="both"/>
        <w:ind w:firstLine="512"/>
        <w:spacing w:after="0" w:line="262" w:lineRule="auto"/>
        <w:rPr>
          <w:sz w:val="20"/>
          <w:szCs w:val="20"/>
          <w:color w:val="auto"/>
        </w:rPr>
      </w:pPr>
      <w:r>
        <w:rPr>
          <w:rFonts w:ascii="Times New Roman" w:cs="Times New Roman" w:eastAsia="Times New Roman" w:hAnsi="Times New Roman"/>
          <w:sz w:val="14"/>
          <w:szCs w:val="14"/>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16"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will remain an emerging growth company until the earlier of (i) the last day of the fiscal year (a) following the fifth anniversary of the initial public offering of Chavant, which occurred on July 19, 2021, (b) in which we have total annual gross revenue of at least $1.235 billion or (c) in which we are deemed to be a large accelerated filer, which means the market value of our common equity that is held by non-affiliates exceeds $700 million as of the last business day of our most recently completed second fiscal quarter, and (ii) the date on which we have issued more than $1.0 billion in non-convertible debt securities during the prior three-year period.</w:t>
      </w:r>
    </w:p>
    <w:p>
      <w:pPr>
        <w:spacing w:after="0" w:line="140" w:lineRule="exact"/>
        <w:rPr>
          <w:sz w:val="20"/>
          <w:szCs w:val="20"/>
          <w:color w:val="auto"/>
        </w:rPr>
      </w:pPr>
    </w:p>
    <w:p>
      <w:pPr>
        <w:jc w:val="both"/>
        <w:ind w:firstLine="512"/>
        <w:spacing w:after="0" w:line="269" w:lineRule="auto"/>
        <w:rPr>
          <w:sz w:val="20"/>
          <w:szCs w:val="20"/>
          <w:color w:val="auto"/>
        </w:rPr>
      </w:pPr>
      <w:r>
        <w:rPr>
          <w:rFonts w:ascii="Times New Roman" w:cs="Times New Roman" w:eastAsia="Times New Roman" w:hAnsi="Times New Roman"/>
          <w:sz w:val="14"/>
          <w:szCs w:val="14"/>
          <w:color w:val="auto"/>
        </w:rPr>
        <w:t>The exact implications of the JOBS Act are subject to interpretation and guidance by the SEC and other regulatory agencies, and we cannot assure you that we will be able to take advantage of all of the benefits of the JOBS Act. In addition, investors may find the Class A Common Stock less attractive to the extent we rely on the exemptions and relief granted by the JOBS Act. If some investors find the Class A Common Stock less attractive as a result, there may be a less active trading market for the Class A Common Stock and our stock price may decline or become more volatile.</w:t>
      </w:r>
    </w:p>
    <w:p>
      <w:pPr>
        <w:spacing w:after="0" w:line="312"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equity held by non-affiliates exceeds $250 million as of the last business day of the most recently completed second fiscal quarter or (ii) the market value of our common equity held by non-affiliates exceeds $700 million as of the last business day of the most recently completed second fiscal quarter and our annual revenue in the most recent fiscal year completed before the last business day of such second fiscal quarter exceeded $100 million. To the extent we take advantage of such reduced disclosure obligations, it may make comparison of our financial statements with other public companies difficult or impossible.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27" w:name="page28"/>
    <w:bookmarkEnd w:id="27"/>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Because we do not anticipate paying any cash dividends on our Class A Common Stock in the foreseeable future, capital appreciation, if any, will be your sole source of gains and you may never receive a return on your investment.</w:t>
      </w:r>
    </w:p>
    <w:p>
      <w:pPr>
        <w:spacing w:after="0" w:line="12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You should not rely on an investment in the Class A Common Stock to provide dividend income. We currently intend to retain our future earnings, if any, to fund the development and growth of our business. In addition, the terms of any future debt agreements we may elect to utilize are likely to preclude us from paying dividends. As a result, capital appreciation, if any, of the Class A Common Stock will be your sole source of gain for the foreseeable future. Investors seeking cash dividends should not purchase our Class A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Class A Common Stock may cause the market price of our Class A Common Stock to drop significantly, even if our business is doing well.</w:t>
      </w:r>
    </w:p>
    <w:p>
      <w:pPr>
        <w:spacing w:after="0" w:line="184" w:lineRule="exact"/>
        <w:rPr>
          <w:sz w:val="20"/>
          <w:szCs w:val="20"/>
          <w:color w:val="auto"/>
        </w:rPr>
      </w:pPr>
    </w:p>
    <w:p>
      <w:pPr>
        <w:jc w:val="both"/>
        <w:ind w:firstLine="512"/>
        <w:spacing w:after="0" w:line="269" w:lineRule="auto"/>
        <w:rPr>
          <w:sz w:val="20"/>
          <w:szCs w:val="20"/>
          <w:color w:val="auto"/>
        </w:rPr>
      </w:pPr>
      <w:r>
        <w:rPr>
          <w:rFonts w:ascii="Times New Roman" w:cs="Times New Roman" w:eastAsia="Times New Roman" w:hAnsi="Times New Roman"/>
          <w:sz w:val="14"/>
          <w:szCs w:val="14"/>
          <w:color w:val="auto"/>
        </w:rPr>
        <w:t>The percentage of shares of Class A Common Stock owned by current stockholders will likely be diluted because of equity issuances for acquisitions, capital market transactions, or otherwise, including, without limitation, equity awards that we may grant to our directors, officers, and employees, exercise of warrants or meeting the conditions triggering the issuance of the Earnout Shares and conversion of Class B Common Stock. These issuances will have a dilutive effect on our earnings per share, which could adversely affect the market price of Class A Common Stock.</w:t>
      </w:r>
    </w:p>
    <w:p>
      <w:pPr>
        <w:spacing w:after="0" w:line="31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 the public market, or the perception that such sales could occur, could adversely affect the market price of our Class A Common Stock and may make it more difficult for investors to sell their shares of our Class A Common Stock at a time and price that investors deem appropriate. In October 2025, we entered into an At The Market Offering Agreement with Roth Capital Partners, LLC (“Manager”) under which we may offer and sell, from time to time at our sole discretion, up to $15.8 million in shares of our Class A Common Stock through the Manager acting in its capacity as our sales agent. In addition, we may issue a substantial number of Class A Common Stock upon conversion of the Preferred Shares, including pursuant to the adjustment provisions of the Preferred Shares.</w:t>
      </w:r>
    </w:p>
    <w:p>
      <w:pPr>
        <w:spacing w:after="0" w:line="14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On April 16, 2024, March 28, 2025, and April 27, 2026, we filed registration statements on Form S-8 under the Securities Act with the SEC to register shares of our Class A Common Stock that may be issued under our equity incentive plans from time to time, as well as any shares of our Class A Common Stock underlying outstanding options and restricted stock units (“RSUs”) that have been granted or promised to our directors, executive officers and other employees, all of which are subject to time-based vesting conditions. Shares registered under these registration statements will be available for sale in the public market upon issuance subject to vesting arrangements and exercise of options, as well as Rule 144 in the case of our affiliates.</w:t>
      </w:r>
    </w:p>
    <w:p>
      <w:pPr>
        <w:spacing w:after="0" w:line="14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Sales of our Class A Common Stock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Class A Common Stock at a time and price that you deem appropriate.</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Moreover, continuous sales of a substantial number of our shares of Class A Common Stock in the public market pursuant to resale registration statements, or the perception that these sales might occur, could depress the market price of our securities. The frequency of such sales could cause the market price of our securities to decline or increase the volatility in the market price of our securities.</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are unable to predict the effect that these sales, particularly sales by our directors, executive officers and significant stockholders, may have on the prevailing market price of our Class A Common Stock. If holders of these shares sell, or indicate an intent to sell, substantial amounts of our Class A Common Stock in the public market, the trading price of our Class A Common Stock could decline significantly and make it difficult for us to raise funds through securities offerings in the future.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28" w:name="page29"/>
    <w:bookmarkEnd w:id="28"/>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The outstanding warrants are exercisable for Class A Common Stock, and, if exercised, would increase the number of shares eligible for future resale in the public market and would result in dilution to our stockholders.</w:t>
      </w:r>
    </w:p>
    <w:p>
      <w:pPr>
        <w:spacing w:after="0" w:line="120"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As of June 8, 2026, we have warrants outstanding, which are exercisable to purchase an aggregate of 2,608,568 shares of our Class A Common Stock for prices ranging from $0.10 to $57.90 per share (subject to adjustments as set forth in the applicable warrants). In addition, we may issue 6,000 shares of Series A Preferred Stock upon exercise of the Preferred Warrant, which shares of Series A Preferred Stock are convertible into shares of Class A Common Stock. To the extent such warrants are exercised, additional shares of Class A Common Stock will be issued, which will result in dilution to the holders of Class A Common Stock and will increase the number of shares eligible for resale in the public market. Sales of substantial numbers of such shares in the public market or the fact that such warrants may be exercised could adversely affect the market price of Class A Common Stock.</w:t>
      </w:r>
    </w:p>
    <w:p>
      <w:pPr>
        <w:spacing w:after="0" w:line="13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Our Charter and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120" w:lineRule="exact"/>
        <w:rPr>
          <w:sz w:val="20"/>
          <w:szCs w:val="20"/>
          <w:color w:val="auto"/>
        </w:rPr>
      </w:pPr>
    </w:p>
    <w:p>
      <w:pPr>
        <w:jc w:val="both"/>
        <w:ind w:firstLine="512"/>
        <w:spacing w:after="0" w:line="257" w:lineRule="auto"/>
        <w:rPr>
          <w:sz w:val="20"/>
          <w:szCs w:val="20"/>
          <w:color w:val="auto"/>
        </w:rPr>
      </w:pPr>
      <w:r>
        <w:rPr>
          <w:rFonts w:ascii="Times New Roman" w:cs="Times New Roman" w:eastAsia="Times New Roman" w:hAnsi="Times New Roman"/>
          <w:sz w:val="14"/>
          <w:szCs w:val="14"/>
          <w:color w:val="auto"/>
        </w:rPr>
        <w:t>Our Certificate of Incorporation as amended (the “</w:t>
      </w:r>
      <w:r>
        <w:rPr>
          <w:rFonts w:ascii="Times New Roman" w:cs="Times New Roman" w:eastAsia="Times New Roman" w:hAnsi="Times New Roman"/>
          <w:sz w:val="14"/>
          <w:szCs w:val="14"/>
          <w:u w:val="single" w:color="auto"/>
          <w:color w:val="auto"/>
        </w:rPr>
        <w:t>Charter</w:t>
      </w:r>
      <w:r>
        <w:rPr>
          <w:rFonts w:ascii="Times New Roman" w:cs="Times New Roman" w:eastAsia="Times New Roman" w:hAnsi="Times New Roman"/>
          <w:sz w:val="14"/>
          <w:szCs w:val="14"/>
          <w:color w:val="auto"/>
        </w:rPr>
        <w:t>”) and Bylaws provide, that: (i) unless we consent in writing to the selection of an alternative forum, the Court of Chancery of the State of Delaware (or, if such court does not have subject matter jurisdiction thereof, another state or federal court located within the State of Delaware) will, to the fullest extent permitted by law, be the sole and exclusive forum for (a) any derivative action or proceeding brought on behalf of us, (b) any action asserting a claim of breach of fiduciary duty owed by any director, officer or employee of us to us or the stockholders, (c) any civil action to interpret, apply or enforce any provision of the Delaware General Corporation Law, (d) any civil action to interpret, apply, enforce or determine the validity of the provisions of the Charter or the Bylaws or (e) any action asserting a claim governed by the internal affairs doctrine, in all cases, subject to the court having personal jurisdiction over the indispensable parties named as defendants, provided, however, that the foregoing would not apply to any causes of action arising under the Securities Act or the Exchange Act; (ii) unless we consent in writing to the selection of an alternative forum, the federal district courts of the United States will, to the fullest extent permitted by law, be the sole and exclusive forum for the resolution of any complaint asserting a cause of action arising under the Securities Act, and the rules and regulations promulgated thereunder, provided, however, that the foregoing will not apply to any action asserting claims under the Exchange Act; (iii) any person or entity purchasing or otherwise acquiring or holding any interest in shares of capital stock of us will be deemed to have notice of and consented to these provisions; and (iv) failure to enforce the foregoing provisions would cause us irreparable harm, and it would be entitled to equitable relief, including injunctive relief and specific performance, to enforce the foregoing provisions. Nothing in our Charter or Bylaws precludes stockholders that assert claims under the Exchange Act from bringing such claims in federal court to the extent that the Exchange Act confers exclusive federal jurisdiction over such claims, subject to applicable law.</w:t>
      </w:r>
    </w:p>
    <w:p>
      <w:pPr>
        <w:spacing w:after="0" w:line="151"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choice of forum provisions may limit a stockholder’s ability to bring a claim in a judicial forum that it finds favorable for disputes with us or any of our current or former director, officer, or other employee, which may discourage such claims.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Delaware law and provisions in the Charter and the Bylaws could make a takeover proposal more difficult.</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Certain provisions of the Charter, the Bylaws, and laws of the State of Delaware could discourage, delay, defer, or prevent a merger, tender offer, proxy contest, or other change of control transaction that a stockholder may consider favorable, including those attempts that might result in a premium over the market price for our Class A Common Stock. Among other things, the Charter and Bylaws include provisions that:</w:t>
      </w:r>
    </w:p>
    <w:p>
      <w:pPr>
        <w:spacing w:after="0" w:line="135" w:lineRule="exact"/>
        <w:rPr>
          <w:sz w:val="20"/>
          <w:szCs w:val="20"/>
          <w:color w:val="auto"/>
        </w:rPr>
      </w:pPr>
    </w:p>
    <w:p>
      <w:pPr>
        <w:jc w:val="both"/>
        <w:ind w:left="1020" w:hanging="503"/>
        <w:spacing w:after="0" w:line="261" w:lineRule="auto"/>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dual class common stock structure, which provides the holders of Class B Common Stock, most of whom are our management, with the ability to control the outcome of matters requiring stockholder approval, even if they collectively own significantly less than a majority of the shares of Mobix Labs’ outstanding Class A Common Stock and Class B Common Stock;</w:t>
      </w:r>
    </w:p>
    <w:p>
      <w:pPr>
        <w:ind w:left="1020" w:hanging="503"/>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classified board of directors with staggered, three-year terms, which could delay the ability of stockholders to change the membership of a majority of the Board;</w:t>
      </w:r>
    </w:p>
    <w:p>
      <w:pPr>
        <w:spacing w:after="0" w:line="9" w:lineRule="exact"/>
        <w:rPr>
          <w:rFonts w:ascii="Times New Roman" w:cs="Times New Roman" w:eastAsia="Times New Roman" w:hAnsi="Times New Roman"/>
          <w:sz w:val="14"/>
          <w:szCs w:val="14"/>
          <w:color w:val="auto"/>
        </w:rPr>
      </w:pPr>
    </w:p>
    <w:p>
      <w:pPr>
        <w:jc w:val="both"/>
        <w:ind w:left="1020" w:hanging="503"/>
        <w:spacing w:after="0" w:line="261" w:lineRule="auto"/>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so long as any shares of Class B Common Stock remain outstanding, the holders of a majority of the voting power of the shares of Class B Common Stock then outstanding will be entitled to elect three members of the board of directors (“Class B Directors”) and for so long as there are three Class B Directors, each class will contain no more than one Class B Director;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29" w:name="page30"/>
    <w:bookmarkEnd w:id="29"/>
    <w:p>
      <w:pPr>
        <w:ind w:left="1020" w:hanging="503"/>
        <w:spacing w:after="0"/>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cumulative voting in the election of directors, which limits the ability of minority stockholders to elect director candidates;</w:t>
      </w:r>
    </w:p>
    <w:p>
      <w:pPr>
        <w:spacing w:after="0" w:line="23"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exclusive right of the Board to elect a director to fill a vacancy created by the expansion of the Board or the resignation, death or removal of a director not elected by the holders of a class or series of capital stock of Mobix Labs or pursuant to the Charter, which prevents stockholders from being able to fill vacancies on the Board;</w:t>
      </w:r>
    </w:p>
    <w:p>
      <w:pPr>
        <w:ind w:left="1020" w:hanging="503"/>
        <w:spacing w:after="0" w:line="254"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the Board to issue shares of common stock and preferred stock, including “blank check” preferred stock, and to determine the price and other terms of those shares, including preferences and voting rights of the preferred stock, without stockholder approval, which could be used to significantly dilute the ownership of a hostile acquirer;</w:t>
      </w:r>
    </w:p>
    <w:p>
      <w:pPr>
        <w:ind w:left="1020" w:hanging="503"/>
        <w:spacing w:after="0" w:line="254"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stockholder action by written consent, which forces stockholder action to be taken at an annual or special meeting of stockholders, provided that any action to be taken at any meeting of the holders of Class B Common Stock may be taken without a meeting and by written consent;</w:t>
      </w:r>
    </w:p>
    <w:p>
      <w:pPr>
        <w:jc w:val="both"/>
        <w:ind w:left="1020" w:hanging="503"/>
        <w:spacing w:after="0" w:line="254"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special meetings of stockholders be called (a) solely by the Chairperson of the Board, the Chief Executive Officer, or the President of Mobix Labs or by the Mobix Labs Board, and (b) by the Board upon the written request (made in accordance with the Charter and Bylaws) of the holders of not less than ten percent of the voting power of the outstanding shares of capital stock of Mobix Labs, which may delay the ability of stockholders to force consideration of a proposal or to take action, including the removal of directors;</w:t>
      </w:r>
    </w:p>
    <w:p>
      <w:pPr>
        <w:spacing w:after="0" w:line="1" w:lineRule="exact"/>
        <w:rPr>
          <w:rFonts w:ascii="Times New Roman" w:cs="Times New Roman" w:eastAsia="Times New Roman" w:hAnsi="Times New Roman"/>
          <w:sz w:val="14"/>
          <w:szCs w:val="14"/>
          <w:color w:val="auto"/>
        </w:rPr>
      </w:pPr>
    </w:p>
    <w:p>
      <w:pPr>
        <w:jc w:val="both"/>
        <w:ind w:left="1020" w:hanging="503"/>
        <w:spacing w:after="0" w:line="254"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advance notice requirements for nominations for election to the Board (other than directors elected by the holders of any class or series of capital stock of Mobix Labs pursuant to the Charter, initially being the Class B Directors) or for proposing matters that can be acted upon by stockholders at annual meetings of stockholders (other than matters on which the holders of any class or series of capital stock of Mobix Labs are entitled to vote on as a single class pursuant to the Charter), which could preclude stockholders from bringing matters before annual meetings of stockholders and delay changes in the Board and also may discourage or deter a potential acquirer from conducting a solicitation of proxies to elect the acquirer’s own slate of directors or otherwise attempting to obtain control of the company;</w:t>
      </w:r>
    </w:p>
    <w:p>
      <w:pPr>
        <w:spacing w:after="0" w:line="1"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 supermajority vote of stockholders to amend certain provisions of the Charter or the Bylaws; and</w:t>
      </w:r>
    </w:p>
    <w:p>
      <w:pPr>
        <w:spacing w:after="0" w:line="9" w:lineRule="exact"/>
        <w:rPr>
          <w:rFonts w:ascii="Times New Roman" w:cs="Times New Roman" w:eastAsia="Times New Roman" w:hAnsi="Times New Roman"/>
          <w:sz w:val="14"/>
          <w:szCs w:val="14"/>
          <w:color w:val="auto"/>
        </w:rPr>
      </w:pPr>
    </w:p>
    <w:p>
      <w:pPr>
        <w:ind w:left="1020" w:hanging="503"/>
        <w:spacing w:after="0" w:line="268"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the right of the Board to make, alter or repeal the Bylaws, which may allow the Board to take additional actions to prevent an unsolicited takeover and inhibit the ability of an acquirer to amend the Bylaws to facilitate an unsolicited takeover attempt.</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These provisions, alone or together, could delay hostile takeovers and changes in control of our company or changes in the Board and our management.</w:t>
      </w:r>
    </w:p>
    <w:p>
      <w:pPr>
        <w:spacing w:after="0" w:line="18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As a Delaware corporation, we are also subject to provisions of Delaware law, including Section 203 of the DGCL, which prevents some stockholders holding more than 15% of outstanding Class A Common Stock from engaging in certain business combinations without approval of the holders of substantially all of the Class A Common Stock. Any provision of our Charter or Bylaws or Delaware law that has the effect of delaying or deterring a change in control could limit the opportunity for stockholders to receive a premium for their shares of Class A Common Stock and could also affect the price that some investors are willing to pay for Class A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redeem your unexpired Public Warrants prior to their exercise at a time that is disadvantageous to you, thereby rendering your warrants worthless.</w:t>
      </w:r>
    </w:p>
    <w:p>
      <w:pPr>
        <w:spacing w:after="0" w:line="184" w:lineRule="exact"/>
        <w:rPr>
          <w:sz w:val="20"/>
          <w:szCs w:val="20"/>
          <w:color w:val="auto"/>
        </w:rPr>
      </w:pPr>
    </w:p>
    <w:p>
      <w:pPr>
        <w:jc w:val="both"/>
        <w:ind w:firstLine="512"/>
        <w:spacing w:after="0" w:line="259" w:lineRule="auto"/>
        <w:rPr>
          <w:sz w:val="20"/>
          <w:szCs w:val="20"/>
          <w:color w:val="auto"/>
        </w:rPr>
      </w:pPr>
      <w:r>
        <w:rPr>
          <w:rFonts w:ascii="Times New Roman" w:cs="Times New Roman" w:eastAsia="Times New Roman" w:hAnsi="Times New Roman"/>
          <w:sz w:val="14"/>
          <w:szCs w:val="14"/>
          <w:color w:val="auto"/>
        </w:rPr>
        <w:t>We have the ability to redeem outstanding Public Warrants at any time after they become exercisable and prior to their expiration, at a price of $0.10 per Public Warrant, provided that the closing price of our Class A Common Stock equals or exceeds $90.60 per share (as adjusted for share subdivisions, share capitalizations, reorganizations, recapitalizations, and the like, and for certain issuances of Class A Common Stock and equity-linked securities for capital-raising purposes) for any 20 trading days within a 30 trading-day period commencing once the Public Warrants become exercisable and ending on the third trading day prior to proper notice of such redemption and provided that certain other conditions are met on the date we give notice of redemption. We will not redeem the Public Warrants unless an effective registration statement under the Securities Act covering the Class A Common Stock issuable upon exercise of the Public Warrants is effective and a current prospectus relating to those shares of Class A Common Stock is available throughout the 30-day redemption period, except if the Public Warrants may be exercised on a cashless basis and such cashless exercise is exempt from warrant registration under the Securities Act. If and when the Public Warrants become redeemable by us, we may exercise our redemption right even if we are unable to register or qualify the underlying securities for sale under all applicable state securities 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30" w:name="page31"/>
    <w:bookmarkEnd w:id="30"/>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 None of the Public Warrants will be redeemable by us so long as they are held by their initial purchasers or their permitted transferees.</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b w:val="1"/>
          <w:bCs w:val="1"/>
          <w:i w:val="1"/>
          <w:iCs w:val="1"/>
          <w:color w:val="auto"/>
        </w:rPr>
        <w:t>We may amend the terms of the Public Warrants in a manner that may be adverse to warrant holders. As a result, the exercise price of your Public Warrants could be increased, the Public Warrants could be converted into cash or stock (at a ratio different than initially provided), the exercise period could be shortened, and the number of shares of Class A Common Stock purchasable upon exercise of a Public Warrant could be decreased, all without the approval of a warrant holder.</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of Public Warrants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Public Warrants, convert the Public Warrants into cash or shares, shorten the exercise period, or decrease the number of Class A Common Stock purchasable upon exercise of a Public Warrant.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This prospectus relates to the shares of Class A Common Stock that may be offered and sold from time to time by the Selling Stockholders. All of our shares offered by the Selling Stockholders pursuant to this prospectus will be sold by the Selling Stockholders for their own accounts. We will not receive any of the proceeds from these sales. We may receive up to $6,000,000 to the extent the Preferred Warrant is exercised. We intend to use any proceeds from the exercise of the Preferred Warrant for working capital and general corporate purposes.</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Selling Stockholders will pay any underwriting fees, discounts, selling commissions, stock transfer taxes and certain legal expenses incurred by such Selling Stockholders, as applicable, in disposing of their shares of Class A Common Stock,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MARKET PRICE OF THE CLASS A COMMON STOCK AND DIVIDENDS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Price of the Class A Common Stock</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Class A Common Stock and the Public Warrants are listed on Nasdaq under the symbols “MOBX” and “MOBXW,” respectively.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June 17, 2026, the last closing price of the Class A Common Stock and the Public Warrants as reported on Nasdaq were $2.03 per share and $0.20 per warrant, respectively.</w:t>
      </w:r>
    </w:p>
    <w:p>
      <w:pPr>
        <w:spacing w:after="0" w:line="18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As of June 8, 2026, there were 14,998,187 shares of Class A Common Stock outstanding held of record by 237 holders, 200,491 shares of Class B Common Stock outstanding held of record by 5 holders and Public Warrants to purchase 600,000 shares of Class A Common Stock outstanding held of record by 16 holders. The number of record holders does not include The Depository Trust Company participants or beneficial owners holding shares or Public Warrants through banks, brokers, other financial institutions or other nominees.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have never paid any cash dividends on the Common Stock. The payment of cash dividends in the future will be dependent upon revenues and earnings, if any, capital requirements and general financial condition from time to time. The payment of any cash dividends will be within the discretion of the Board. It is presently expected that we will retain all earnings for use in our business operations and, accordingly, it is not expected that the Board will declare any dividends in the foreseeable future.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 OPERATIONS OF MOBIX LABS</w:t>
      </w:r>
    </w:p>
    <w:p>
      <w:pPr>
        <w:spacing w:after="0" w:line="180"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i w:val="1"/>
          <w:iCs w:val="1"/>
          <w:color w:val="auto"/>
        </w:rPr>
        <w:t>The following discussion and analysis should be read in conjunction with our consolidated financial statements included elsewhere in this prospectus. The following discussion contains forward-looking statements based upon current beliefs that involve risks, uncertainties, and assumptions, such as statements regarding our plans, objectives, expectations, intentions, and projections. Our actual results and the timing of selected events could differ materially from those described in or implied by these forward-looking statements as a result of several factors, including those set forth under “Risk Factors” and elsewhere in this prospectus. You should carefully read the “Risk Factors” section and the Cautionary Note Regarding Forward-Looking Statements as well as the risks and uncertainties set forth in this prospectus to gain an understanding of the important factors that could cause actual results to differ materially from our forward-looking statements.</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All amounts in this “Management’s Discussion and Analysis of Financial Condition and Results of Operations” are in thousands, except numbers of shares and per share amounts.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2"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We design, develop and sell components and systems for advanced wireless and wired connectivity, RF,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mmWave 5G communications, mmWave imaging, software defined radio and custom RF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spacing w:after="0" w:line="145"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We were founded with the goal of simplifying the development and maximizing the performance of mmWave wireless products by designing and developing high performance system-level solutions used for signal processing applications in wireless products. Since our inception, our corporate strategy has evolved to encompass the pursuit of acquisitions serving diverse industry sectors, including aerospace, military, defense, medical HiRel technology, as part of our commitment to enhancing communication services. We have developed and/or acquired an extensive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spacing w:after="0" w:line="319"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On December 21, 2023, we consummated the merger pursuant to the Business Combination Agreement by and among Merger Sub, and Legacy Mobix, pursuant to which, among other things, Merger Sub merged with and into Legacy Mobix, with Legacy Mobix surviving the merger as a wholly-owned direct subsidiary of Chavant. In connection with the Closing, Chavant changed its name from “Chavant Capital Acquisition Corp.” to “Mobix Labs, Inc.” and Legacy Mobix changed its name from “Mobix Labs, Inc.” to “Mobix Labs Operations, Inc.”</w:t>
      </w:r>
    </w:p>
    <w:p>
      <w:pPr>
        <w:spacing w:after="0" w:line="13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Throughout this discussion, unless otherwise noted or otherwise suggested by context, all references to “we,” “us” or “our” refer to Legacy Mobix prior to the consummation of the Merger, and to the Company and its subsidiaries after the consummation of the Merger.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Kips Financing</w:t>
      </w:r>
    </w:p>
    <w:p>
      <w:pPr>
        <w:spacing w:after="0" w:line="184"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On May 19, 2026, we entered into a Securities Purchase Agreement with Kips (the “May 2026 Purchase Agreement”), pursuant to which we agreed to sell to Kips (i) 2,000 shares of Series A Preferred Stock for aggregate gross proceeds of $2,400, and (ii) the Preferred Warrant to purchase up to an additional 6,000 shares of Series A Preferred Stock at an exercise price of $1,000.00 per share. Dividends are payable in cash, or at our option, in additional shares of Series A Preferred Stock. The Preferred Shares are convertible into shares of our Class A Common Stock in accordance with the terms of the COD. In connection with the transaction, on May 19, 2026, we also entered into a registration rights agreement, as amended on June 18, 2026, with Kips (the “May 2026 Registration Rights Agreement”) pursuant to which we agreed to register the resale of shares of Class A Common Stock issuable upon conversion of the Preferred Shares and 294,117 shares of Class A Common Stock as consideration for extending the filing deadlines in the May 2026 Registration Rights Agreement. We are registering the resale of the shares of Class A Common Stock pursuant to this prospectus to comply with the May 2026 Registration Rights Agreement.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Proposed Acquisition of Vision Aerial</w:t>
      </w:r>
    </w:p>
    <w:p>
      <w:pPr>
        <w:spacing w:after="0" w:line="18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entered into a letter of intent relating to the proposed acquisition of Vision Aerial. The letter of intent contemplates aggregate consideration of approximately $15 million, payable in a combination of cash and shares of our Class A Common Stock. The proposed transaction remains subject to the negotiation and execution of a definitive agreement, the completion of due diligence and the satisfaction of customary closing conditions. There can be no assurance that we will enter into a definitive agreement, or that any transaction will be completed on the terms contemplated by the letter of intent, or at all. We expect that any cash portion of the consideration would be funded through additional financing, which may be dilutive to our stockholders.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Expected Financing Activities</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expect to seek to raise additional capital in the near future to support potential mergers and acquisitions activity, including the potential Vision Aerial transaction, and for working capital and general corporate purposes. We have not entered into definitive agreements for any such financing transactions, and the structures, terms, timing, size, pricing, investors, securities to be issued and conditions of any such transactions are currently unknown and subject to market conditions and further negotiation.</w:t>
      </w:r>
    </w:p>
    <w:p>
      <w:pPr>
        <w:spacing w:after="0" w:line="13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Any such financing transactions may involve the issuance of equity, equity-linked securities, debt securities, convertible securities, warrants or other instruments, and may result in dilution to existing stockholders. There can be no assurance that we will be able to raise capital on acceptable terms, in a timely manner, or at all.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Upcoming Meeting of Stockholders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expect to hold a meeting of stockholders in July 2026. At the meeting, we expect to request that stockholders approve, among other matters:</w:t>
      </w:r>
    </w:p>
    <w:p>
      <w:pPr>
        <w:spacing w:after="0" w:line="180" w:lineRule="exact"/>
        <w:rPr>
          <w:sz w:val="20"/>
          <w:szCs w:val="20"/>
          <w:color w:val="auto"/>
        </w:rPr>
      </w:pPr>
    </w:p>
    <w:p>
      <w:pPr>
        <w:ind w:left="1280" w:hanging="250"/>
        <w:spacing w:after="0"/>
        <w:tabs>
          <w:tab w:leader="none" w:pos="1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of our Class A Common Stock to Kips in connection with our previously disclosed May 19, 2026 transaction;</w:t>
      </w:r>
    </w:p>
    <w:p>
      <w:pPr>
        <w:spacing w:after="0" w:line="23" w:lineRule="exact"/>
        <w:rPr>
          <w:rFonts w:ascii="Times New Roman" w:cs="Times New Roman" w:eastAsia="Times New Roman" w:hAnsi="Times New Roman"/>
          <w:sz w:val="14"/>
          <w:szCs w:val="14"/>
          <w:color w:val="auto"/>
        </w:rPr>
      </w:pPr>
    </w:p>
    <w:p>
      <w:pPr>
        <w:ind w:left="1280" w:hanging="250"/>
        <w:spacing w:after="0"/>
        <w:tabs>
          <w:tab w:leader="none" w:pos="1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to our certificate of incorporation to remove certain restrictions on the issuance of shares of our Class B Common Stock;</w:t>
      </w:r>
    </w:p>
    <w:p>
      <w:pPr>
        <w:spacing w:after="0" w:line="9" w:lineRule="exact"/>
        <w:rPr>
          <w:rFonts w:ascii="Times New Roman" w:cs="Times New Roman" w:eastAsia="Times New Roman" w:hAnsi="Times New Roman"/>
          <w:sz w:val="14"/>
          <w:szCs w:val="14"/>
          <w:color w:val="auto"/>
        </w:rPr>
      </w:pPr>
    </w:p>
    <w:p>
      <w:pPr>
        <w:ind w:left="1280" w:hanging="250"/>
        <w:spacing w:after="0"/>
        <w:tabs>
          <w:tab w:leader="none" w:pos="1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number of shares available for issuance under our equity incentive award plan; and</w:t>
      </w:r>
    </w:p>
    <w:p>
      <w:pPr>
        <w:spacing w:after="0" w:line="9" w:lineRule="exact"/>
        <w:rPr>
          <w:rFonts w:ascii="Times New Roman" w:cs="Times New Roman" w:eastAsia="Times New Roman" w:hAnsi="Times New Roman"/>
          <w:sz w:val="14"/>
          <w:szCs w:val="14"/>
          <w:color w:val="auto"/>
        </w:rPr>
      </w:pPr>
    </w:p>
    <w:p>
      <w:pPr>
        <w:ind w:left="1280" w:hanging="250"/>
        <w:spacing w:after="0" w:line="268" w:lineRule="auto"/>
        <w:tabs>
          <w:tab w:leader="none" w:pos="1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a specified number of shares of our Class A Common Stock, or securities convertible into or exercisable for Class A Common Stock, for purposes of future fundraising transactions and acquisitions.</w:t>
      </w:r>
    </w:p>
    <w:p>
      <w:pPr>
        <w:spacing w:after="0" w:line="139"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have not yet filed preliminary or definitive proxy materials for the expected stockholder meeting. The specific terms of the proposals, including the number of shares subject to the proposals and the full text of any proposed charter amendment or equity incentive plan amendment, will be set forth in our proxy materials when filed with the SEC.</w:t>
      </w:r>
    </w:p>
    <w:p>
      <w:pPr>
        <w:spacing w:after="0" w:line="12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Our board of directors has not provided any assurance that the expected stockholder meeting will occur on the anticipated timeline or that the proposals described above will be approved by stockholders. If we do not obtain the required stockholder approvals, our ability to complete certain financing transactions, issue securities in connection with acquisitions, including the potential Vision Aerial transaction, or implement certain corporate-governance and compensation-related matters may be limited.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April 2026 Reverse Stock Split</w:t>
      </w:r>
    </w:p>
    <w:p>
      <w:pPr>
        <w:spacing w:after="0" w:line="184"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On March 23, 2026, our stockholders approved a proposal authorizing the Board to effect the Reverse Stock Split of our outstanding Class A Common Stock and Class B Common Stock at a ratio within a range of one-for-ten to one-for-fifty. Stockholders also granted the Board sole discretion to determine the specific ratio within that range and the timing of the reverse stock split. The Reverse Stock Split became effective after market close on April 6, 2026, at a ratio of 1-for-10. Unless otherwise stated, all share and per share figures (including Legacy Mobix common stock figures, as Legacy Mobix shares were converted to Class A Common Stock shares) in this prospectus have been adjusted to reflect the Reverse Stock Split at the 1-for-10 ratio. Per share prices may be affected by rounding as a result of the adjustments made in connection with the Reverse Stock Split. The number of outstanding Public Warrants has not been adjusted to reflect the reverse stock split; however, the number of shares underlying such Public Warrants has been adjusted accordingly.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97"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i w:val="1"/>
          <w:iCs w:val="1"/>
          <w:color w:val="auto"/>
        </w:rPr>
        <w:t>March 2026 Convertible Promissory Note</w:t>
      </w:r>
    </w:p>
    <w:p>
      <w:pPr>
        <w:spacing w:after="0" w:line="184"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On March 31, 2026, we entered into a securities purchase agreement with Leviston, pursuant to which we agreed to issue a senior secured convertible promissory note with a principal amount of $3,000. On May 13, 2026, we entered into a first amendment to the securities purchase agreement and promissory note with Leviston, amending the promissory note originally issued on March 31, 2026. Pursuant to the amendment, Leviston advanced an additional $833 to us, increasing the total funded amount under the original convertible note to $3,333. The amendment increased the aggregate principal amount of the original convertible note from $3,000 to $4,000. On May 18, 2026, we satisfied in full the entire $4,000 of outstanding principal under the convertible note, together with all accrued interest thereon, through the conversion of such amounts into 2,500,000 shares of Class A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Leviston Investor Rights Agreement</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On May 13, 2026, we entered into an investor rights agreement with Leviston. Pursuant to the investor rights agreement, we granted Leviston the right, but not the obligation, to purchase one or more additional senior secured convertible notes from us during the seven-month period commencing May 13, 2026 and ending December 13, 2026, in an aggregate principal amount not to exceed $4,000.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and Security Agreement Settlement</w:t>
      </w:r>
    </w:p>
    <w:p>
      <w:pPr>
        <w:spacing w:after="0" w:line="18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On January 15, 2026, we amended an existing loan and security agreement, dated August 13, 2025, pursuant to which we were provided with a closed-end commercial loan in the original principal amount of $600. Under the amendment, we agreed to cure a prior payment default, make an additional interim payment of $33, and make a principal reduction payment of $233. The amendment also provided for an equity-based settlement of the remaining obligations under the loan, subject to the effectiveness of a registration statement covering shares of our common stock held by or for the benefit of Maximcash Solutions LLC and our timely payment of the required cash amounts.</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During the six months ended March 31, 2026, we settled the remaining outstanding indebtedness under the arrangement. In connection with the settlement, indebtedness of $232, consisting of principal of $140 and accrued interest of $92, was settled through the issuance or delivery of 169,375 shares of our Class A Common Stock. Based on the fair value of the shares issued or delivered at the time of settlement of $376, or $2.22 per share, we recognized a loss on extinguishment of debt of $144, which was recorded in other non-operating (gains) losses, net in the condensed consolidated statements of operations and comprehensive loss.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Financings</w:t>
      </w:r>
    </w:p>
    <w:p>
      <w:pPr>
        <w:spacing w:after="0" w:line="18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March 13, 2026, we issued an aggregate of 206,876 shares of Class A Common Stock to three of our creditors in exchange for satisfaction of our debt owed to such creditors in the aggregate amount of $3,000. Of the 206,876 shares issued, 107,571 shares were allocated to Agile.</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Between February 23, 2026 and March 16, 2026, we issued convertible bridge promissory notes with an aggregate principal amount of $554. These bridge notes mature on December 30, 2026 and January 15, 2027 and require aggregate scheduled payments of $621.</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May 13, 2026, we issued 488,506 shares of Class A Common Stock to Rocket in exchange for satisfaction of a portion of the debt owed to them in the amount of $850. On June 8, 2026 we issued 344,431 shares to Rocket in satisfaction of the remaining debt owed to them in the amount of $779.</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January 2026 Offering</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On January 6, 2026, we entered into securities purchase agreements with investors relating to a public offering of 3,000,000 shares of our Class A Common Stock at a price to the public of $2.00 per share. The net proceeds to us from the January 2026 Offering were approximately $5,360, after deducting placement agent fees and commissions and other estimated offering expenses payable by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Letter of Intent</w:t>
      </w:r>
    </w:p>
    <w:p>
      <w:pPr>
        <w:spacing w:after="0" w:line="18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have submitted a non-binding letter of intent to acquire a rare earth company. There can be no assurance that any definitive agreement will be entered into or that the acquisition will be consummated.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Merger</w:t>
      </w:r>
    </w:p>
    <w:p>
      <w:pPr>
        <w:spacing w:after="0" w:line="182"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We accounted for the Merger as a reverse recapitalization. Under this method of accounting, Chavant is treated as the “acquired” company for financial reporting purposes. This determination was primarily based on holders of Legacy Mobix capital stock comprising a majority of the voting power of our common stock upon consummation of the Merger and having the ability to nominate the majority of our board of directors, Legacy Mobix’ senior management comprising our senior management, and Legacy Mobix’ operations comprising our ongoing operations. Accordingly, for accounting purposes, our financial statements represent a continuation of the financial statements of Legacy Mobix with the Merger being treated as the equivalent of Legacy Mobix issuing shares for the net assets of Chavant, accompanied by a recapitalization. We recognized the net assets of Chavant as of the Closing at historical cost, with no goodwill or other intangible assets recorded. Our operations prior to the Merger are presented as those of Legacy Mobix and the accumulated deficit of Legacy Mobix has been carried forward after Closing. All issued and outstanding securities of Chavant at the time of the Closing were treated as issuances of securities by us upon the consummation of the Merger.</w:t>
      </w:r>
    </w:p>
    <w:p>
      <w:pPr>
        <w:spacing w:after="0" w:line="14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As a result of the Merger, we raised gross proceeds of $21,014, including the contribution of $1,264 of cash held in Chavant’s trust account and the $19,750 private investment in public equity (“PIPE”) at $100.00 per share of Chavant’s Class A Common Stock. Our Class A Common Stock and Public Warrants began trading on Nasdaq under the symbols “MOBX” and “MOBXW,” respectively, on December 22, 2023.</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2026 and 2025</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Products</w:t>
            </w:r>
          </w:p>
        </w:tc>
        <w:tc>
          <w:tcPr>
            <w:tcW w:w="116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669</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34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(788)</w:t>
            </w:r>
          </w:p>
        </w:tc>
        <w:tc>
          <w:tcPr>
            <w:tcW w:w="36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1"/>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301</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(753)</w:t>
            </w:r>
          </w:p>
        </w:tc>
        <w:tc>
          <w:tcPr>
            <w:tcW w:w="36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61"/>
        </w:trPr>
        <w:tc>
          <w:tcPr>
            <w:tcW w:w="4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net revenue</w:t>
            </w: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3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3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456</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(611)</w:t>
            </w:r>
          </w:p>
        </w:tc>
        <w:tc>
          <w:tcPr>
            <w:tcW w:w="36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1"/>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330</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424</w:t>
            </w:r>
          </w:p>
        </w:tc>
        <w:tc>
          <w:tcPr>
            <w:tcW w:w="380" w:type="dxa"/>
            <w:vAlign w:val="bottom"/>
          </w:tcPr>
          <w:p>
            <w:pPr>
              <w:spacing w:after="0"/>
              <w:rPr>
                <w:sz w:val="15"/>
                <w:szCs w:val="15"/>
                <w:color w:val="auto"/>
              </w:rPr>
            </w:pPr>
          </w:p>
        </w:tc>
        <w:tc>
          <w:tcPr>
            <w:tcW w:w="14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(94)</w:t>
            </w:r>
          </w:p>
        </w:tc>
        <w:tc>
          <w:tcPr>
            <w:tcW w:w="36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61"/>
        </w:trPr>
        <w:tc>
          <w:tcPr>
            <w:tcW w:w="40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cost of revenue</w:t>
            </w:r>
          </w:p>
        </w:tc>
        <w:tc>
          <w:tcPr>
            <w:tcW w:w="2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3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32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428</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719</w:t>
            </w: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(291)</w:t>
            </w:r>
          </w:p>
        </w:tc>
        <w:tc>
          <w:tcPr>
            <w:tcW w:w="36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1"/>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5,847</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8,129</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(2,282)</w:t>
            </w:r>
          </w:p>
        </w:tc>
        <w:tc>
          <w:tcPr>
            <w:tcW w:w="36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1"/>
        </w:trPr>
        <w:tc>
          <w:tcPr>
            <w:tcW w:w="40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from operations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(6,091)</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(7,828)</w:t>
            </w:r>
          </w:p>
        </w:tc>
        <w:tc>
          <w:tcPr>
            <w:tcW w:w="380" w:type="dxa"/>
            <w:vAlign w:val="bottom"/>
          </w:tcPr>
          <w:p>
            <w:pPr>
              <w:spacing w:after="0"/>
              <w:rPr>
                <w:sz w:val="14"/>
                <w:szCs w:val="14"/>
                <w:color w:val="auto"/>
              </w:rPr>
            </w:pPr>
          </w:p>
        </w:tc>
        <w:tc>
          <w:tcPr>
            <w:tcW w:w="14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1,737</w:t>
            </w:r>
          </w:p>
        </w:tc>
        <w:tc>
          <w:tcPr>
            <w:tcW w:w="36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1,389</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274</w:t>
            </w:r>
          </w:p>
        </w:tc>
        <w:tc>
          <w:tcPr>
            <w:tcW w:w="380" w:type="dxa"/>
            <w:vAlign w:val="bottom"/>
          </w:tcPr>
          <w:p>
            <w:pPr>
              <w:spacing w:after="0"/>
              <w:rPr>
                <w:sz w:val="14"/>
                <w:szCs w:val="14"/>
                <w:color w:val="auto"/>
              </w:rPr>
            </w:pPr>
          </w:p>
        </w:tc>
        <w:tc>
          <w:tcPr>
            <w:tcW w:w="14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1,115</w:t>
            </w:r>
          </w:p>
        </w:tc>
        <w:tc>
          <w:tcPr>
            <w:tcW w:w="360" w:type="dxa"/>
            <w:vAlign w:val="bottom"/>
          </w:tcPr>
          <w:p>
            <w:pPr>
              <w:spacing w:after="0"/>
              <w:rPr>
                <w:sz w:val="14"/>
                <w:szCs w:val="14"/>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(2,220)</w:t>
            </w: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2,220</w:t>
            </w:r>
          </w:p>
        </w:tc>
        <w:tc>
          <w:tcPr>
            <w:tcW w:w="36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(3,283)</w:t>
            </w:r>
          </w:p>
        </w:tc>
        <w:tc>
          <w:tcPr>
            <w:tcW w:w="380" w:type="dxa"/>
            <w:vAlign w:val="bottom"/>
          </w:tcPr>
          <w:p>
            <w:pPr>
              <w:spacing w:after="0"/>
              <w:rPr>
                <w:sz w:val="14"/>
                <w:szCs w:val="14"/>
                <w:color w:val="auto"/>
              </w:rPr>
            </w:pPr>
          </w:p>
        </w:tc>
        <w:tc>
          <w:tcPr>
            <w:tcW w:w="14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3,388</w:t>
            </w:r>
          </w:p>
        </w:tc>
        <w:tc>
          <w:tcPr>
            <w:tcW w:w="36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non-operating losses, net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(1,735)</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(303)</w:t>
            </w: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(1,432)</w:t>
            </w:r>
          </w:p>
        </w:tc>
        <w:tc>
          <w:tcPr>
            <w:tcW w:w="36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(5,850)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(2,296)</w:t>
            </w: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(3,554)</w:t>
            </w:r>
          </w:p>
        </w:tc>
        <w:tc>
          <w:tcPr>
            <w:tcW w:w="36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8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w:t>
            </w:r>
          </w:p>
        </w:tc>
        <w:tc>
          <w:tcPr>
            <w:tcW w:w="380" w:type="dxa"/>
            <w:vAlign w:val="bottom"/>
          </w:tcPr>
          <w:p>
            <w:pPr>
              <w:spacing w:after="0"/>
              <w:rPr>
                <w:sz w:val="15"/>
                <w:szCs w:val="15"/>
                <w:color w:val="auto"/>
              </w:rPr>
            </w:pPr>
          </w:p>
        </w:tc>
        <w:tc>
          <w:tcPr>
            <w:tcW w:w="14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8</w:t>
            </w:r>
          </w:p>
        </w:tc>
        <w:tc>
          <w:tcPr>
            <w:tcW w:w="36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61"/>
        </w:trPr>
        <w:tc>
          <w:tcPr>
            <w:tcW w:w="40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16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(5,853)</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(2,291)</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(3,562)</w:t>
            </w:r>
          </w:p>
        </w:tc>
        <w:tc>
          <w:tcPr>
            <w:tcW w:w="36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Six Months Ended March 31, 2026 and 2025</w:t>
            </w: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Products</w:t>
            </w:r>
          </w:p>
        </w:tc>
        <w:tc>
          <w:tcPr>
            <w:tcW w:w="116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2,004</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34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(1,404)</w:t>
            </w:r>
          </w:p>
        </w:tc>
        <w:tc>
          <w:tcPr>
            <w:tcW w:w="36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1"/>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841</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(1,431)</w:t>
            </w:r>
          </w:p>
        </w:tc>
        <w:tc>
          <w:tcPr>
            <w:tcW w:w="36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61"/>
        </w:trPr>
        <w:tc>
          <w:tcPr>
            <w:tcW w:w="4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net revenue</w:t>
            </w: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5,680</w:t>
            </w:r>
          </w:p>
        </w:tc>
        <w:tc>
          <w:tcPr>
            <w:tcW w:w="3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3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1,405</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(852)</w:t>
            </w:r>
          </w:p>
        </w:tc>
        <w:tc>
          <w:tcPr>
            <w:tcW w:w="36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1"/>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675</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716</w:t>
            </w:r>
          </w:p>
        </w:tc>
        <w:tc>
          <w:tcPr>
            <w:tcW w:w="380" w:type="dxa"/>
            <w:vAlign w:val="bottom"/>
          </w:tcPr>
          <w:p>
            <w:pPr>
              <w:spacing w:after="0"/>
              <w:rPr>
                <w:sz w:val="15"/>
                <w:szCs w:val="15"/>
                <w:color w:val="auto"/>
              </w:rPr>
            </w:pPr>
          </w:p>
        </w:tc>
        <w:tc>
          <w:tcPr>
            <w:tcW w:w="14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(41)</w:t>
            </w:r>
          </w:p>
        </w:tc>
        <w:tc>
          <w:tcPr>
            <w:tcW w:w="36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1"/>
        </w:trPr>
        <w:tc>
          <w:tcPr>
            <w:tcW w:w="40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cost of revenue</w:t>
            </w:r>
          </w:p>
        </w:tc>
        <w:tc>
          <w:tcPr>
            <w:tcW w:w="2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3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32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870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(460)</w:t>
            </w:r>
          </w:p>
        </w:tc>
        <w:tc>
          <w:tcPr>
            <w:tcW w:w="36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1"/>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14,819</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23,835</w:t>
            </w:r>
          </w:p>
        </w:tc>
        <w:tc>
          <w:tcPr>
            <w:tcW w:w="380" w:type="dxa"/>
            <w:vAlign w:val="bottom"/>
          </w:tcPr>
          <w:p>
            <w:pPr>
              <w:spacing w:after="0"/>
              <w:rPr>
                <w:sz w:val="15"/>
                <w:szCs w:val="15"/>
                <w:color w:val="auto"/>
              </w:rPr>
            </w:pPr>
          </w:p>
        </w:tc>
        <w:tc>
          <w:tcPr>
            <w:tcW w:w="14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(9,016)</w:t>
            </w:r>
          </w:p>
        </w:tc>
        <w:tc>
          <w:tcPr>
            <w:tcW w:w="36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1"/>
        </w:trPr>
        <w:tc>
          <w:tcPr>
            <w:tcW w:w="40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from operations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(14,924)</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(22,458)</w:t>
            </w:r>
          </w:p>
        </w:tc>
        <w:tc>
          <w:tcPr>
            <w:tcW w:w="380" w:type="dxa"/>
            <w:vAlign w:val="bottom"/>
          </w:tcPr>
          <w:p>
            <w:pPr>
              <w:spacing w:after="0"/>
              <w:rPr>
                <w:sz w:val="14"/>
                <w:szCs w:val="14"/>
                <w:color w:val="auto"/>
              </w:rPr>
            </w:pPr>
          </w:p>
        </w:tc>
        <w:tc>
          <w:tcPr>
            <w:tcW w:w="14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7,534</w:t>
            </w:r>
          </w:p>
        </w:tc>
        <w:tc>
          <w:tcPr>
            <w:tcW w:w="36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2,769</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485</w:t>
            </w:r>
          </w:p>
        </w:tc>
        <w:tc>
          <w:tcPr>
            <w:tcW w:w="380" w:type="dxa"/>
            <w:vAlign w:val="bottom"/>
          </w:tcPr>
          <w:p>
            <w:pPr>
              <w:spacing w:after="0"/>
              <w:rPr>
                <w:sz w:val="14"/>
                <w:szCs w:val="14"/>
                <w:color w:val="auto"/>
              </w:rPr>
            </w:pPr>
          </w:p>
        </w:tc>
        <w:tc>
          <w:tcPr>
            <w:tcW w:w="14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2,284</w:t>
            </w:r>
          </w:p>
        </w:tc>
        <w:tc>
          <w:tcPr>
            <w:tcW w:w="360" w:type="dxa"/>
            <w:vAlign w:val="bottom"/>
          </w:tcPr>
          <w:p>
            <w:pPr>
              <w:spacing w:after="0"/>
              <w:rPr>
                <w:sz w:val="14"/>
                <w:szCs w:val="14"/>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(960)</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(280)</w:t>
            </w: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(680)</w:t>
            </w:r>
          </w:p>
        </w:tc>
        <w:tc>
          <w:tcPr>
            <w:tcW w:w="36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428</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(625)</w:t>
            </w:r>
          </w:p>
        </w:tc>
        <w:tc>
          <w:tcPr>
            <w:tcW w:w="380" w:type="dxa"/>
            <w:vAlign w:val="bottom"/>
          </w:tcPr>
          <w:p>
            <w:pPr>
              <w:spacing w:after="0"/>
              <w:rPr>
                <w:sz w:val="14"/>
                <w:szCs w:val="14"/>
                <w:color w:val="auto"/>
              </w:rPr>
            </w:pPr>
          </w:p>
        </w:tc>
        <w:tc>
          <w:tcPr>
            <w:tcW w:w="14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1,053</w:t>
            </w:r>
          </w:p>
        </w:tc>
        <w:tc>
          <w:tcPr>
            <w:tcW w:w="36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8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non-operating gains (losses), net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(1,162)</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(1,261)</w:t>
            </w:r>
          </w:p>
        </w:tc>
        <w:tc>
          <w:tcPr>
            <w:tcW w:w="36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(15,999)</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(22,137)</w:t>
            </w: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6,138</w:t>
            </w:r>
          </w:p>
        </w:tc>
        <w:tc>
          <w:tcPr>
            <w:tcW w:w="36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w:t>
            </w:r>
          </w:p>
        </w:tc>
        <w:tc>
          <w:tcPr>
            <w:tcW w:w="380" w:type="dxa"/>
            <w:vAlign w:val="bottom"/>
          </w:tcPr>
          <w:p>
            <w:pPr>
              <w:spacing w:after="0"/>
              <w:rPr>
                <w:sz w:val="15"/>
                <w:szCs w:val="15"/>
                <w:color w:val="auto"/>
              </w:rPr>
            </w:pPr>
          </w:p>
        </w:tc>
        <w:tc>
          <w:tcPr>
            <w:tcW w:w="14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(14)</w:t>
            </w:r>
          </w:p>
        </w:tc>
        <w:tc>
          <w:tcPr>
            <w:tcW w:w="360" w:type="dxa"/>
            <w:vAlign w:val="bottom"/>
          </w:tcPr>
          <w:p>
            <w:pPr>
              <w:spacing w:after="0"/>
              <w:rPr>
                <w:sz w:val="15"/>
                <w:szCs w:val="15"/>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61"/>
        </w:trPr>
        <w:tc>
          <w:tcPr>
            <w:tcW w:w="40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16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(15,978)</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(22,130)</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6,152</w:t>
            </w:r>
          </w:p>
        </w:tc>
        <w:tc>
          <w:tcPr>
            <w:tcW w:w="36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Revenue</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six months ended March 31, 2026 and 2025). Sales and other taxes we collect, if any, are excluded from net revenue. We include shipping and handling fees we bill to customers as part of net revenue. We include shipping and handling costs associated with outbound freight in cost of product revenue.</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35" w:name="page36"/>
    <w:bookmarkEnd w:id="35"/>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Our net revenue fluctuates based on a variety of factors, including the timing of the receipt of product orders or contracts from our customers, product mix, competition, global economic conditions, and other factors.</w:t>
      </w:r>
    </w:p>
    <w:p>
      <w:pPr>
        <w:spacing w:after="0" w:line="12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Product revenue was $669 for the three months ended March 31, 2026 compared to $1,457 for the three months ended March 31, 2025, a decrease of $788 or 54%. The change is principally driven by a temporary delay in shipments of our radar and imaging sensor products within our wireless systems solutions segment, which we expect to resume in the second half of calendar year 2026, as well as lower shipments of our interconnect products.</w:t>
      </w:r>
    </w:p>
    <w:p>
      <w:pPr>
        <w:spacing w:after="0" w:line="135"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For the six months ended March 31, 2026, product revenue was $2,004 compared to $3,408 for the six months ended March 31, 2025, a decrease of $1,404 or 41%. The change reflects a temporary delay in shipments of our radar and imaging sensor products, which we expect to resume in the second half of calendar year 2026, partially offset by an increase in shipments of our interconnect products.</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Services revenue was $301 for the three months ended March 31, 2026 compared to $1,054 for the three months ended March 31, 2025, a decrease of $753 or 71%. Our services revenues are subject to routine fluctuations based on the timing of our receipt of contracts from customers, and our performance thereunder. The change in service revenues is the result of the timing of customer contracts.</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For the six months ended March 31, 2026, services revenue was $841 compared to $2,272 for the six months ended March 31, 2025, a decrease of $1,431 or 63%. Our services revenues are subject to routine fluctuations based on the timing of our receipt of contracts from customers, and our performance thereunder. The change in service revenues is the result of the timing of customer contracts.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Cost of services revenue principally consists of employee compensation and benefits of employees engaged in the delivery of engineering services, along with any related materials, equipment, supplies or other costs to perform a contract.</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Cost of product revenue was $456 for the three months ended March 31, 2026 compared to $1,067 for the three months ended March 31, 2025, a decrease of $611 or 57%. The change principally reflects the lower shipments of our wireless systems solutions products noted above.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Cost of service revenue was $330 for the three months ended March 31, 2026 compared to $424 for the three months ended March 31, 2025, a decrease of $94 or 22%.</w:t>
      </w:r>
    </w:p>
    <w:p>
      <w:pPr>
        <w:spacing w:after="0" w:line="18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Cost of product revenue was $1,405 for the six months ended March 31, 2026 compared to $2,257 for the six months ended March 31, 2025, a decrease of $852 or 38%. The change principally reflects the lower shipments of our wireless systems solutions products noted above.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Cost of service revenue was $675 for the six months ended March 31, 2026 compared to $716 for the six months ended March 31, 2025, a decrease of $41 or 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Research and development expenses were $428 for the three months ended March 31, 2026 compared to $719 for the three months ended March 31, 2025, a decrease of $291 or 40%. The decrease reflects lower costs for employee compensation and benefits and other costs as part of our ongoing cost management efforts.</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Research and development expenses were $870 for the six months ended March 31, 2026 compared to $1,330 for the six months ended March 31, 2025, a decrease of $460 or 35%. The decrease reflects lower costs for employee compensation and benefits and other costs as part of our ongoing cost management efforts.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Selling, general and administrative expenses were $5,847 for the three months ended March 31, 2026 compared to $8,129 for the three months ended March 31, 2025, a decrease of $2,282 or 28%. The change principally reflects a decrease in stock-based compensation expense as well as lower costs under the RaGE Earnout, lower costs for outside legal and accounting services and lower insurance cost.</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Selling, general and administrative expenses were $14,819 for the six months ended March 31, 2026 compared to $23,835 for the six months ended March 31, 2025, a decrease of $9,016 or 38%. The change principally reflects a decrease in stock-based compensation expense as well as lower costs under the RaGE Earnout, lower costs for outside legal and accounting services and lower insurance cost.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expense consists of cash and non-cash interest related to our related and unrelated party promissory notes, notes payable and convertible notes.</w:t>
      </w:r>
    </w:p>
    <w:p>
      <w:pPr>
        <w:spacing w:after="0" w:line="18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Interest expense was $1,389 for the three months ended March 31, 2026 compared to $274 for the three months ended March 31, 2025, an increase of $1,115 or 407%. The increase reflects higher outstanding borrowings and higher interest rates on borrowings during the three months ended March 31, 2026.</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6" w:name="page37"/>
    <w:bookmarkEnd w:id="36"/>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Interest expense was $2,769 for the six months ended March 31, 2026 compared to $485 for the six months ended March 31, 2025, an increase of $2,284 or 471%. The increase reflects higher outstanding borrowings and higher interest rates on borrowings during the six months ended March 31,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Earnout Liability</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Certain Mobix stockholders and certain holders of Mobix stock options will be entitled to receive an additional aggregate 350,000 shares of our Class A Common Stock (“Earnout Shares”) based on the achievement of trading price targets over a period extending to December 2030.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w:t>
      </w:r>
    </w:p>
    <w:p>
      <w:pPr>
        <w:spacing w:after="0" w:line="14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As of March 31, 2026, none of the conditions for the issuance of any earnout shares had been achieved and we adjusted the carrying amount of the earnout liability to its estimated fair value of $280. As a result of changes in the estimated fair value of the liability, we recognized non-cash gains of $0 and $2,220 for the three months ended March 31, 2026 and 2025, respectively, and non-cash gains of $960 and $280 for the six months ended March 31, 2026 and 2025, respectively.</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fair value of the earnout liability is based on a number of factors, including changes in the market price of our Class A Common Stock. We have experienced significant fluctuations in the market price of our Class A Common Stock, and may experience significant fluctuations in the future. Such price fluctuations will increase or decrease the value of the earnout liability, and we may be required to recognize additional losses or gains in our statements of operations and comprehensive loss, the amounts of which may be substantial.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Warrants</w:t>
      </w:r>
    </w:p>
    <w:p>
      <w:pPr>
        <w:spacing w:after="0" w:line="18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We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our common stock and were classified as liabilities. At their respective dates of issuance, we recognized a liability for each of the liability-classified warrants in the amount of its estimated fair value using the Black-Scholes option-pricing model. We subsequently adjust the carrying amount of the liability for each warrant to its estimated fair value as of the end of each reporting period (or through the warrants’ respective dates of exercise or modification, if earlier).</w:t>
      </w:r>
    </w:p>
    <w:p>
      <w:pPr>
        <w:spacing w:after="0" w:line="14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xml:space="preserve"> and ASC Topic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six months ended March 31, 2026.</w:t>
      </w:r>
    </w:p>
    <w:p>
      <w:pPr>
        <w:spacing w:after="0" w:line="14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As a result of changes in the fair value of liability-classified warrants outstanding during the periods, for the three months ended March 31, 2026 and 2025, we recognized net non-cash losses of $105 and net non-cash gains of $3,283, respectively. For the six months ended March 31, 2026 and 2025, we recognized net non-cash losses of $428 and net non-cash gains of $625, respectively, which are included in “Change in fair value of warrants” in the condensed consolidated statements of operations and comprehensive loss.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31, 2026 and September 30, 2025, the related liabilities of $375 and $6,859, respectively, are included in “Liability-classified warrants” in the condensed consolidated balance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sheet.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color w:val="auto"/>
        </w:rPr>
        <w:t>Other Non-Operating (Gains) Losses, Net</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For the three months ended March 31, 2026, other non-operating gains, net of $1,735 principally consist of gains on the settlements of certain notes payable and certain other liabilities in shares of our Class A Common Stock. For the six months ended March 31, 2026, other non-operating gains, net of $1,162 principally consist of the $514 fair value of the additional warrants issued in connection with amendments to certain warrants and gains on the settlements of certain notes payable and certain other liabilities in shares of our Class A Common Stock.</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For the three months ended March 31, 2025, other non-operating gains, net of $303 principally consist of a gain from the decrease in the fair value of a derivative liability and gains on the conversion of certain accounts payable into shares of our Class A Common Stock. For the six months ended March 31, 2025, other non-operating losses, net of $99 principally consist of a loss recognized upon the conversion of the outstanding principal balance of a note payable and accrued interest thereon into shares of our Class A Common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 Provision / Benefit</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spacing w:after="0" w:line="14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For the three months and six months ended March 31, 2026, and for the three months ended March 31, 2025, our provision (benefit) for income taxes differs from an amount calculated based on statutory tax rates principally due to our recording a valuation allowance against the net operating losses we generated during the period because we did not expect that the deferred tax asset arising from our pretax book losses would be realized in the future.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 Ended September 30, 2025 and 2024</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gridSpan w:val="4"/>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w:t>
            </w:r>
          </w:p>
        </w:tc>
        <w:tc>
          <w:tcPr>
            <w:tcW w:w="1180" w:type="dxa"/>
            <w:vAlign w:val="bottom"/>
            <w:gridSpan w:val="2"/>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5,996</w:t>
            </w:r>
          </w:p>
        </w:tc>
        <w:tc>
          <w:tcPr>
            <w:tcW w:w="560" w:type="dxa"/>
            <w:vAlign w:val="bottom"/>
            <w:gridSpan w:val="2"/>
          </w:tcPr>
          <w:p>
            <w:pPr>
              <w:jc w:val="right"/>
              <w:ind w:right="304"/>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5,890</w:t>
            </w:r>
          </w:p>
        </w:tc>
        <w:tc>
          <w:tcPr>
            <w:tcW w:w="34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106</w:t>
            </w:r>
          </w:p>
        </w:tc>
        <w:tc>
          <w:tcPr>
            <w:tcW w:w="3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1"/>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3,916</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552</w:t>
            </w: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3,364</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Total net revenue</w:t>
            </w: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9,912</w:t>
            </w:r>
          </w:p>
        </w:tc>
        <w:tc>
          <w:tcPr>
            <w:tcW w:w="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6,442</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w:t>
            </w: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3,563</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(189)</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1"/>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1,342</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138</w:t>
            </w:r>
          </w:p>
        </w:tc>
        <w:tc>
          <w:tcPr>
            <w:tcW w:w="380" w:type="dxa"/>
            <w:vAlign w:val="bottom"/>
          </w:tcPr>
          <w:p>
            <w:pPr>
              <w:spacing w:after="0"/>
              <w:rPr>
                <w:sz w:val="15"/>
                <w:szCs w:val="15"/>
                <w:color w:val="auto"/>
              </w:rPr>
            </w:pPr>
          </w:p>
        </w:tc>
        <w:tc>
          <w:tcPr>
            <w:tcW w:w="14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1,204</w:t>
            </w:r>
          </w:p>
        </w:tc>
        <w:tc>
          <w:tcPr>
            <w:tcW w:w="3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161"/>
        </w:trPr>
        <w:tc>
          <w:tcPr>
            <w:tcW w:w="40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cost of revenue</w:t>
            </w:r>
          </w:p>
        </w:tc>
        <w:tc>
          <w:tcPr>
            <w:tcW w:w="2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3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3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1"/>
        </w:trPr>
        <w:tc>
          <w:tcPr>
            <w:tcW w:w="40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2,419</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(3,360)</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71"/>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39,556</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41,835</w:t>
            </w:r>
          </w:p>
        </w:tc>
        <w:tc>
          <w:tcPr>
            <w:tcW w:w="380" w:type="dxa"/>
            <w:vAlign w:val="bottom"/>
          </w:tcPr>
          <w:p>
            <w:pPr>
              <w:spacing w:after="0"/>
              <w:rPr>
                <w:sz w:val="14"/>
                <w:szCs w:val="14"/>
                <w:color w:val="auto"/>
              </w:rPr>
            </w:pPr>
          </w:p>
        </w:tc>
        <w:tc>
          <w:tcPr>
            <w:tcW w:w="14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(2,279)</w:t>
            </w:r>
          </w:p>
        </w:tc>
        <w:tc>
          <w:tcPr>
            <w:tcW w:w="3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1"/>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725</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(608)</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1"/>
        </w:trPr>
        <w:tc>
          <w:tcPr>
            <w:tcW w:w="40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Loss from operations</w:t>
            </w:r>
          </w:p>
        </w:tc>
        <w:tc>
          <w:tcPr>
            <w:tcW w:w="2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(37,693)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(46,395)</w:t>
            </w:r>
          </w:p>
        </w:tc>
        <w:tc>
          <w:tcPr>
            <w:tcW w:w="3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8,702</w:t>
            </w:r>
          </w:p>
        </w:tc>
        <w:tc>
          <w:tcPr>
            <w:tcW w:w="3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2,325</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743</w:t>
            </w:r>
          </w:p>
        </w:tc>
        <w:tc>
          <w:tcPr>
            <w:tcW w:w="3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(440)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(31,879)</w:t>
            </w: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31,439</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(804)</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(1,415)</w:t>
            </w:r>
          </w:p>
        </w:tc>
        <w:tc>
          <w:tcPr>
            <w:tcW w:w="380" w:type="dxa"/>
            <w:vAlign w:val="bottom"/>
          </w:tcPr>
          <w:p>
            <w:pPr>
              <w:spacing w:after="0"/>
              <w:rPr>
                <w:sz w:val="14"/>
                <w:szCs w:val="14"/>
                <w:color w:val="auto"/>
              </w:rPr>
            </w:pPr>
          </w:p>
        </w:tc>
        <w:tc>
          <w:tcPr>
            <w:tcW w:w="14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611</w:t>
            </w:r>
          </w:p>
        </w:tc>
        <w:tc>
          <w:tcPr>
            <w:tcW w:w="3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PIPE make-whole liability</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(830)</w:t>
            </w: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830</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Merger-related transaction costs expensed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(4,009)</w:t>
            </w:r>
          </w:p>
        </w:tc>
        <w:tc>
          <w:tcPr>
            <w:tcW w:w="3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costs expensed</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7,266</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4,372</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losses, net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84</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(1,623)</w:t>
            </w:r>
          </w:p>
        </w:tc>
        <w:tc>
          <w:tcPr>
            <w:tcW w:w="3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before income taxes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(46,124)</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(22,463)</w:t>
            </w: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(23,661)</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(2,429)</w:t>
            </w:r>
          </w:p>
        </w:tc>
        <w:tc>
          <w:tcPr>
            <w:tcW w:w="380" w:type="dxa"/>
            <w:vAlign w:val="bottom"/>
          </w:tcPr>
          <w:p>
            <w:pPr>
              <w:spacing w:after="0"/>
              <w:rPr>
                <w:sz w:val="15"/>
                <w:szCs w:val="15"/>
                <w:color w:val="auto"/>
              </w:rPr>
            </w:pPr>
          </w:p>
        </w:tc>
        <w:tc>
          <w:tcPr>
            <w:tcW w:w="14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2,436</w:t>
            </w:r>
          </w:p>
        </w:tc>
        <w:tc>
          <w:tcPr>
            <w:tcW w:w="3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2"/>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(46,131</w:t>
            </w:r>
          </w:p>
        </w:tc>
        <w:tc>
          <w:tcPr>
            <w:tcW w:w="200" w:type="dxa"/>
            <w:vAlign w:val="bottom"/>
            <w:tcBorders>
              <w:top w:val="single" w:sz="8" w:color="CCEEFF"/>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(20,034</w:t>
            </w:r>
          </w:p>
        </w:tc>
        <w:tc>
          <w:tcPr>
            <w:tcW w:w="340" w:type="dxa"/>
            <w:vAlign w:val="bottom"/>
            <w:tcBorders>
              <w:top w:val="single" w:sz="8" w:color="CCEEFF"/>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4"/>
              </w:rPr>
              <w:t>)</w:t>
            </w: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(26,097</w:t>
            </w:r>
          </w:p>
        </w:tc>
        <w:tc>
          <w:tcPr>
            <w:tcW w:w="320" w:type="dxa"/>
            <w:vAlign w:val="bottom"/>
            <w:tcBorders>
              <w:top w:val="single" w:sz="8" w:color="CCEEFF"/>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0"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color w:val="auto"/>
        </w:rPr>
        <w:t>Net Revenue</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years ended September 30, 2025 and 2024). Sales and other taxes we collect, if any, are excluded from net revenue. We include shipping and handling fees we bill to customers as part of net revenue. We include shipping and handling costs associated with outbound freight in cost of product revenue.</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spacing w:after="0" w:line="14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Our net revenue fluctuates based on a variety of factors, including the timing of the receipt of product orders or contracts from our customers, product mix, competition, global economic conditions, and other factors.</w:t>
      </w:r>
    </w:p>
    <w:p>
      <w:pPr>
        <w:spacing w:after="0" w:line="12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Product revenue was $5,996 for the year ended September 30, 2025 compared to $5,890 for the year ended September 30, 2024, an increase of $106 or 2%. The increase principally reflects the inclusion of sales of our wireless systems solutions and our interconnect products in our net revenue for all of fiscal year 2025. We acquired our wireless systems solutions in our May 2024 acquisition of RaGE Systems and we acquired our interconnect products in our December 2023 acquisition of EMI Solutions. For the year ended September 30, 2024, these products are only included in our net revenues from the respective dates of the acquisition. The impact of these acquisitions was partly offset by lower sales of active optical cables.</w:t>
      </w:r>
    </w:p>
    <w:p>
      <w:pPr>
        <w:spacing w:after="0" w:line="14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Services revenue was $3,916 for the year ended September 30, 2025 compared to $552 for the year ended September 30, 2024, an increase of $3,364 or 609%. The increase principally reflects the inclusion of services revenues for wireless systems solutions in our net revenue for all of fiscal year 2025. We acquired our wireless systems solutions in our May 2024 acquisition of RaGE Systems. For the year ended September 30, 2024, these products are only included in our net revenues from the date of the acquisition.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Cost of services revenue principally consists of employee compensation and benefits of employees engaged in the delivery of engineering services, along with any related materials, equipment, supplies or other costs to perform a contract.</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Cost of product revenue was $3,563 for the year ended September 30, 2025 compared to $3,752 for the year ended September 30, 2024, a decrease of $189 or 5%. The change principally reflects a shift in product mix toward our wireless systems solutions and lower sales of active optical cables.</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Cost of service revenue was $1,342 for the year ended September 30, 2025 compared to $138 for the year ended September 30, 2024, an increase of $1,204 or 872%. The change principally reflects the inclusion of service revenues for our wireless systems solutions in our net revenue for all of fiscal year 2025, as discussed above under “</w:t>
      </w:r>
      <w:r>
        <w:rPr>
          <w:rFonts w:ascii="Times New Roman" w:cs="Times New Roman" w:eastAsia="Times New Roman" w:hAnsi="Times New Roman"/>
          <w:sz w:val="14"/>
          <w:szCs w:val="14"/>
          <w:i w:val="1"/>
          <w:iCs w:val="1"/>
          <w:color w:val="auto"/>
        </w:rPr>
        <w:t>Net Revenue.</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spacing w:after="0" w:line="124"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Research and development expenses were $2,419 for the year ended September 30, 2025 compared to $5,779 for the year ended September 30, 2024, a decrease of $3,360 or 58%. The decrease principally reflects lower employee compensation and benefits, lower costs for outside services and lower stock-based compensation expense resulting from the headcount reductions and other cost reduction actions we completed during the first six months of our fiscal year ended September 30, 2024. The decrease also reflects lower write-offs of tooling for the year ended September 30, 2025 compared to the prior year. These decreases were slightly offset by increased research and development costs in EMI Solutions and RaGE Systems, which we acquired during the year ended September 30,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spacing w:after="0" w:line="135"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Selling, general and administrative expenses were $39,556 for the year ended September 30, 2025 compared to $41,835 for the year ended September 30, 2024, a decrease of $2,279 or 5%. The decrease principally reflects lower costs for outside services, lower costs for compensation and benefits and lower costs for estimated amounts payable under the RaGE Earnout in connection with our acquisition of RaGE Systems. These decreases were partially offset by higher stock-based compensation expense and the addition of selling, general and administrative expenses of the businesses we acquired during fiscal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Long-Lived Assets</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In March 2025, we vacated a leased 19,436 square foot office in Irvine, California and in April 2025 the lease was terminated. As a result, during the three months ended June 30, 2025, we recognized an impairment loss of $725 to reduce the carrying value of this asset group to its estimated fair value. See Note 11—</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of the notes to our consolidated financial statements included herein.</w:t>
      </w:r>
    </w:p>
    <w:p>
      <w:pPr>
        <w:spacing w:after="0" w:line="135" w:lineRule="exact"/>
        <w:rPr>
          <w:sz w:val="20"/>
          <w:szCs w:val="20"/>
          <w:color w:val="auto"/>
        </w:rPr>
      </w:pPr>
    </w:p>
    <w:p>
      <w:pPr>
        <w:jc w:val="both"/>
        <w:ind w:firstLine="512"/>
        <w:spacing w:after="0" w:line="269" w:lineRule="auto"/>
        <w:rPr>
          <w:sz w:val="20"/>
          <w:szCs w:val="20"/>
          <w:color w:val="auto"/>
        </w:rPr>
      </w:pPr>
      <w:r>
        <w:rPr>
          <w:rFonts w:ascii="Times New Roman" w:cs="Times New Roman" w:eastAsia="Times New Roman" w:hAnsi="Times New Roman"/>
          <w:sz w:val="14"/>
          <w:szCs w:val="14"/>
          <w:color w:val="auto"/>
        </w:rPr>
        <w:t>During the year ended September 30, 2024, as a result of declining sales of AOCs and strategic decisions on investment across our product groups, we tested the related long-lived assets for possible impairment. Based on our test, we concluded that the carrying value of the AOCs asset group exceeded its estimated fair value, and we recorded an impairment charge of $1,333 to write down the carrying value of the long-lived assets (consisting of developed technology and customer relationships). We estimated the fair value of the AOC asset group using a discounted cash flow model.</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expense consists of cash and non-cash interest on our related and unrelated party promissory notes and notes payable.</w:t>
      </w:r>
    </w:p>
    <w:p>
      <w:pPr>
        <w:spacing w:after="0" w:line="18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Interest expense was $2,325 for the year ended September 30, 2025 compared to $1,582 for the year ended September 30, 2024, an increase of $743 or 47%. The increase principally reflects higher outstanding borrowings and higher interest rates on borrowings outstanding during the year ended September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Earnout Liability</w:t>
      </w:r>
    </w:p>
    <w:p>
      <w:pPr>
        <w:spacing w:after="0" w:line="18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In connection with the Merger, certain Legacy Mobix stockholders and certain holders of Legacy Mobix stock options will be entitled to receive an additional aggregate 350,000 shares of our Class A Common Stock based on the achievement of trading price targets following the Closing over a seven-year earnout period.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 Additional information relating to the earnout liability can be found in the notes to our consolidated financial statements included herein.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40" w:name="page41"/>
    <w:bookmarkEnd w:id="40"/>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estimated the fair value of the earnout liability as of the Closing of the Merger at $33,559. As of September 30, 2025 and 2024, none of the conditions for the issuance of any Earnout Shares had been achieved and we adjusted the carrying amount of the earnout liability to its estimated fair value of $1,240 and $1,680, respectively. As a result of decreases in the fair value of the liability, which were primarily the result of decreases in the price of our Class A Common Stock subsequent to the Closing, we recognized non-cash gains of $440 and $31,879 for the years ended September 30, 2025 and 2024, respectively.</w:t>
      </w:r>
    </w:p>
    <w:p>
      <w:pPr>
        <w:spacing w:after="0" w:line="14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fair value of the earnout liability is based on a number of factors, including changes in the market price of our Class A Common Stock. We have experienced significant fluctuations in the market price of our Class A Common Stock in the period subsequent to the Closing, and may experience significant fluctuations in the future. Such price fluctuations will increase or decrease the value of the earnout liability, and we may be required to recognize losses or gains in our statements of operations and comprehensive loss, the amounts of which may be material.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Warrants</w:t>
      </w:r>
    </w:p>
    <w:p>
      <w:pPr>
        <w:spacing w:after="0" w:line="18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We evaluated all common stock warrants at the time of issuance (or at the Closing, if later) and concluded that certain warrants do not meet the derivative scope exception. Specifically, these warrants contain provisions that affect their settlement amounts which are not inputs into the pricing of a fixed-for-fixed option on equity shares. Therefore, these warrants are not considered indexed to our common stock and must be classified as liabilities. At their respective dates of issuance (or, in the case of the Private Warrants, at the Closing), we recognized a liability for each of the warrants in the amount of its estimated fair value. We subsequently adjusted the carrying amount of the liability for each warrant to its estimated fair value as of September 30, 2025 and 2024 (or through the warrants’ respective dates of exercise, if earlier).</w:t>
      </w:r>
    </w:p>
    <w:p>
      <w:pPr>
        <w:spacing w:after="0" w:line="14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 xml:space="preserve">As a result of changes in the fair value of the warrants, for the years ended September 30, 2025 and 2024, we recognized net non-cash gains of $804 and $1,415, respectively, which are included in “Change in fair value of warrants” in the consolidated statements of operations and comprehensive loss. See Note 15,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 xml:space="preserve"> and Note 17,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of the notes to our consolidated financial statements included herein.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PIPE Make-Whole Liability</w:t>
      </w:r>
    </w:p>
    <w:p>
      <w:pPr>
        <w:spacing w:after="0" w:line="18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In connection with the Merger, we agreed to issue additional shares of our Class A Common Stock to the holders of 245,473 shares of our Class A Common Stock in the event that the volume-weighted average price per share of our Class A Common Stock during a specified period is less than $100.00 per share. In such a case, we would be obligated to issue up to 105,202 additional shares of our Class A Common Stock. We accounted for the make-whole shares as liability-classified instruments because the events that determined the number of make-whole shares we were ultimately obligated to issue were not solely indexed to our common stock and we remeasured the PIPE make-whole liability to its estimated fair value at the end of each reporting period. Additional information relating to the PIPE make-whole liability can be found in the notes to our consolidated financial statements included herein.</w:t>
      </w:r>
    </w:p>
    <w:p>
      <w:pPr>
        <w:spacing w:after="0" w:line="14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estimated the fair value of the PIPE make-whole liability as of the Closing of the Merger at $2,071. In August 2024, we settled the PIPE make-whole liability through the issuance of 105,202 shares of our Class A Common Stock having a fair value of $1,241 at the time of settlement. As a result of the change in the fair value of the PIPE make-whole liability subsequent to the Closing, we recognized a non-cash gain of $830 for the year ended September 30,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Costs Expensed</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For the year ended September 30, 2025, financing costs expensed of $7,266 principally consisted of costs associated with the September 2025 warrant exercise inducement, including the estimated the fair value of the Inducement Warrants as of the date of issuance, the increase in the estimated fair value of the remaining Series B Warrants resulting from their amendment and the fair value of the warrants issued and fees paid to the financial advisor. Financing costs expensed also includes costs associated with the April 2025 Offering.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41" w:name="page42"/>
    <w:bookmarkEnd w:id="41"/>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For the year ended September 30, 2024, financing costs expensed of $2,894 consisted of the excess of the fair value of warrants issued in the Private Placement over the gross proceeds received, the fair value of the Placement Agent Warrants issued and the cash fees paid to the placement agent.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Non-Operating Losses, Net</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For the year ended September 30, 2025, other non-operating losses, net of $84 principally consisted of net losses on the settlement of notes payable and other liabilities in shares of our Class A Common Stock.</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For the year ended September 30, 2024, other non-operating losses, net of $1,707 principally consisted of commitment and other fees of $1,577 incurred in connection with the committed equity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Provision (Benefit) for Income Taxes</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spacing w:after="0" w:line="14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For the year ended September 30, 2025, our income tax provision of $7 differs from an amount calculated based on statutory tax rates principally due to our recording a valuation allowance against the net operating losses we generated during the period. We did not recognize any tax benefit related to our pretax book loss of $46,124 because we did not expect that the deferred tax asset arising from our net operating losses would be realized in the future.</w:t>
      </w:r>
    </w:p>
    <w:p>
      <w:pPr>
        <w:spacing w:after="0" w:line="135"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For the year ended September 30, 2024, we recognized an income tax benefit of $2,429. In connection with our acquisitions of EMI Solutions and RaGE Systems, we recognized additional deferred tax liabilities of $2,666 associated with acquired intangible assets. Based on the availability of these tax attributes, we determined that we expect to realize a greater portion of our existing deferred tax assets and for the year ended September 30, 2024 we recognized income tax benefits of $2,432, principally resulting from reductions of the valuation allowance previously recorded against our deferred tax assets.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primary use of cash is to fund operating expenses, working capital requirements, debt service obligations, capital expenditures and other investments.</w:t>
      </w:r>
    </w:p>
    <w:p>
      <w:pPr>
        <w:spacing w:after="0" w:line="18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have incurred operating losses and negative cash flows as a result of our ongoing investment in product development and other operating expenses we incur. We expect to continue to incur operating losses and negative cash flows from operations associated with research and development expenses, selling, general, and administrative expenses and capital expenditures necessary to expand our operations, product offerings, and customer base with the ultimate goals of growing our business and achieving profitability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unaudited condensed consolidated cash flows for the six months ended March 31, 2026 and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40" w:type="dxa"/>
            <w:vAlign w:val="bottom"/>
            <w:gridSpan w:val="4"/>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5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40" w:type="dxa"/>
            <w:vAlign w:val="bottom"/>
            <w:gridSpan w:val="4"/>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2"/>
        </w:trPr>
        <w:tc>
          <w:tcPr>
            <w:tcW w:w="5440" w:type="dxa"/>
            <w:vAlign w:val="bottom"/>
          </w:tcPr>
          <w:p>
            <w:pPr>
              <w:spacing w:after="0"/>
              <w:rPr>
                <w:sz w:val="14"/>
                <w:szCs w:val="14"/>
                <w:color w:val="auto"/>
              </w:rPr>
            </w:pPr>
          </w:p>
        </w:tc>
        <w:tc>
          <w:tcPr>
            <w:tcW w:w="11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161"/>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160" w:type="dxa"/>
            <w:vAlign w:val="bottom"/>
            <w:tcBorders>
              <w:top w:val="single" w:sz="8" w:color="auto"/>
            </w:tcBorders>
            <w:shd w:val="clear" w:color="auto" w:fill="CCEEFF"/>
          </w:tcPr>
          <w:p>
            <w:pPr>
              <w:jc w:val="right"/>
              <w:ind w:right="103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(9,017)</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100" w:type="dxa"/>
            <w:vAlign w:val="bottom"/>
            <w:tcBorders>
              <w:top w:val="single" w:sz="8" w:color="CCEEFF"/>
            </w:tcBorders>
            <w:shd w:val="clear" w:color="auto" w:fill="CCEEFF"/>
          </w:tcPr>
          <w:p>
            <w:pPr>
              <w:spacing w:after="0"/>
              <w:rPr>
                <w:sz w:val="14"/>
                <w:szCs w:val="14"/>
                <w:color w:val="auto"/>
              </w:rPr>
            </w:pPr>
          </w:p>
        </w:tc>
      </w:tr>
      <w:tr>
        <w:trPr>
          <w:trHeight w:val="171"/>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60" w:type="dxa"/>
            <w:vAlign w:val="bottom"/>
          </w:tcPr>
          <w:p>
            <w:pPr>
              <w:spacing w:after="0"/>
              <w:rPr>
                <w:sz w:val="14"/>
                <w:szCs w:val="14"/>
                <w:color w:val="auto"/>
              </w:rPr>
            </w:pPr>
          </w:p>
        </w:tc>
        <w:tc>
          <w:tcPr>
            <w:tcW w:w="74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16</w:t>
            </w:r>
          </w:p>
        </w:tc>
      </w:tr>
      <w:tr>
        <w:trPr>
          <w:trHeight w:val="181"/>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8,307</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2,047</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6,260</w:t>
            </w:r>
          </w:p>
        </w:tc>
      </w:tr>
      <w:tr>
        <w:trPr>
          <w:trHeight w:val="212"/>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increase (decrease) in cash</w:t>
            </w:r>
          </w:p>
        </w:tc>
        <w:tc>
          <w:tcPr>
            <w:tcW w:w="1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2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r>
      <w:tr>
        <w:trPr>
          <w:trHeight w:val="143"/>
        </w:trPr>
        <w:tc>
          <w:tcPr>
            <w:tcW w:w="54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Cash, beginning of period</w:t>
            </w:r>
          </w:p>
        </w:tc>
        <w:tc>
          <w:tcPr>
            <w:tcW w:w="1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3,273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266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2"/>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1160" w:type="dxa"/>
            <w:vAlign w:val="bottom"/>
            <w:tcBorders>
              <w:bottom w:val="single" w:sz="8" w:color="auto"/>
            </w:tcBorders>
          </w:tcPr>
          <w:p>
            <w:pPr>
              <w:jc w:val="right"/>
              <w:ind w:right="103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5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3"/>
        </w:trPr>
        <w:tc>
          <w:tcPr>
            <w:tcW w:w="5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4"/>
                <w:szCs w:val="14"/>
                <w:color w:val="auto"/>
              </w:rPr>
              <w:t>33</w:t>
            </w: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2"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For the six months ended March 31, 2026, net cash used in operating activities was $9,017, which included the impact of our net loss of $15,978 and a net increase in working capital items of $1,094, offset by net non-cash charges of $8,055. The net non-cash charges principally consisted of stock-based compensation expense of $7,592 for restricted stock units and stock options, $879 of depreciation and amortization expense and charges of $428 for the issuance or change in fair value of warrants, partly offset by a $960 non-cash gain from the decrease in the fair value of the earnout liability. The net working capital increase principally consisted of decreases in accounts payable and accrued expenses, partly offset by decreases in accounts receivable and inventory.</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For the six months ended March 31, 2025, net cash used in operating activities was $1,516, which included the impact of our net loss of $22,130, offset by net non-cash charges of $14,028 and net decreases in working capital items of $6,586. The net non-cash charges principally consisted of stock-based compensation expense of $13,154 for stock options and restricted stock units and $1,124 of depreciation and amortization expense. The net working capital decrease principally consisted of increases in accounts payable and accrued expenses together with decreases in accounts receivable and inventory.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Net cash used in investing activities for the six months ended March 31, 2026 was $0.</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Net cash used in investing activities of $16 for the six months ended March 31, 2025 consisted of payments for the acquisition of property and equipment.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Net cash provided by financing activities for the six months ended March 31, 2026 of $8,307 principally consisted of $5,360 in proceeds from our public offering, $1,254 in proceeds from the sale of common stock, $4,736 in borrowings under notes payable and agreements for the purchase and sale of future receipts and proceeds of $55 from the exercise of stock options. These amounts were partially offset by principal payments on notes payable of $3,098 (including payments of $565 on notes payable—related parties).</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Net cash provided by financing activities for the six months ended March 31, 2025 of $2,047 consisted of $600 in proceeds from the issuance of common stock, and $1,725 in proceeds under agreements for the purchase and sale of future receipts and the issuance of a note payable and proceeds of $15 from the exercise of warrants to purchase shares of our Class A Common Stock. These amounts were partially offset by principal payments on notes payable of $119 and the payment of deferred consideration of $174 for the acquisition of a business.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consolidated cash flows for the years ended September 30, 2025 and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40" w:type="dxa"/>
            <w:vAlign w:val="bottom"/>
            <w:gridSpan w:val="4"/>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120" w:type="dxa"/>
            <w:vAlign w:val="bottom"/>
          </w:tcPr>
          <w:p>
            <w:pPr>
              <w:spacing w:after="0"/>
              <w:rPr>
                <w:sz w:val="16"/>
                <w:szCs w:val="16"/>
                <w:color w:val="auto"/>
              </w:rPr>
            </w:pPr>
          </w:p>
        </w:tc>
        <w:tc>
          <w:tcPr>
            <w:tcW w:w="2040" w:type="dxa"/>
            <w:vAlign w:val="bottom"/>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2"/>
        </w:trPr>
        <w:tc>
          <w:tcPr>
            <w:tcW w:w="52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Borders>
              <w:top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161"/>
        </w:trPr>
        <w:tc>
          <w:tcPr>
            <w:tcW w:w="5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120" w:type="dxa"/>
            <w:vAlign w:val="bottom"/>
            <w:tcBorders>
              <w:top w:val="single" w:sz="8" w:color="auto"/>
            </w:tcBorders>
            <w:shd w:val="clear" w:color="auto" w:fill="CCEEFF"/>
          </w:tcPr>
          <w:p>
            <w:pPr>
              <w:jc w:val="right"/>
              <w:ind w:right="99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(10,113)</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(18,388)</w:t>
            </w:r>
          </w:p>
        </w:tc>
        <w:tc>
          <w:tcPr>
            <w:tcW w:w="32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8,275</w:t>
            </w:r>
          </w:p>
        </w:tc>
        <w:tc>
          <w:tcPr>
            <w:tcW w:w="100" w:type="dxa"/>
            <w:vAlign w:val="bottom"/>
            <w:tcBorders>
              <w:top w:val="single" w:sz="8" w:color="CCEEFF"/>
            </w:tcBorders>
            <w:shd w:val="clear" w:color="auto" w:fill="CCEEFF"/>
          </w:tcPr>
          <w:p>
            <w:pPr>
              <w:spacing w:after="0"/>
              <w:rPr>
                <w:sz w:val="14"/>
                <w:szCs w:val="14"/>
                <w:color w:val="auto"/>
              </w:rPr>
            </w:pPr>
          </w:p>
        </w:tc>
      </w:tr>
      <w:tr>
        <w:trPr>
          <w:trHeight w:val="171"/>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(1,108)</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1,109</w:t>
            </w:r>
          </w:p>
        </w:tc>
      </w:tr>
      <w:tr>
        <w:trPr>
          <w:trHeight w:val="171"/>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13,119</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19,673</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(6,554)</w:t>
            </w:r>
          </w:p>
        </w:tc>
      </w:tr>
      <w:tr>
        <w:trPr>
          <w:trHeight w:val="171"/>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increase in cash</w:t>
            </w:r>
          </w:p>
        </w:tc>
        <w:tc>
          <w:tcPr>
            <w:tcW w:w="1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3,007</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177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2,830</w:t>
            </w:r>
          </w:p>
        </w:tc>
      </w:tr>
      <w:tr>
        <w:trPr>
          <w:trHeight w:val="181"/>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beginning of period</w:t>
            </w:r>
          </w:p>
        </w:tc>
        <w:tc>
          <w:tcPr>
            <w:tcW w:w="1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266</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89</w:t>
            </w: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2"/>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1120" w:type="dxa"/>
            <w:vAlign w:val="bottom"/>
            <w:tcBorders>
              <w:top w:val="single" w:sz="8" w:color="auto"/>
              <w:bottom w:val="single" w:sz="8" w:color="auto"/>
            </w:tcBorders>
          </w:tcPr>
          <w:p>
            <w:pPr>
              <w:jc w:val="right"/>
              <w:ind w:right="99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320" w:type="dxa"/>
            <w:vAlign w:val="bottom"/>
          </w:tcPr>
          <w:p>
            <w:pPr>
              <w:spacing w:after="0"/>
              <w:rPr>
                <w:sz w:val="14"/>
                <w:szCs w:val="14"/>
                <w:color w:val="auto"/>
              </w:rPr>
            </w:pPr>
          </w:p>
        </w:tc>
        <w:tc>
          <w:tcPr>
            <w:tcW w:w="16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3"/>
        </w:trPr>
        <w:tc>
          <w:tcPr>
            <w:tcW w:w="5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4"/>
                <w:szCs w:val="14"/>
                <w:color w:val="auto"/>
              </w:rPr>
              <w:t>34</w:t>
            </w: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0"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For the year ended September 30, 2025, net cash used in operating activities was $10,113, which included the impact of our net loss of $46,131, offset by net non-cash charges of $34,648 and net decreases in working capital items of $1,370. The net non-cash charges principally consisted of stock-based compensation expense of $25,619, non-cash charges of $6,458 related to the warrant exercise inducement, $2,058 of depreciation and amortization expense and a $725 loss on the impairment of long-lived assets. The net working capital decrease principally consisted of decreases in accounts receivable and inventory.</w:t>
      </w:r>
    </w:p>
    <w:p>
      <w:pPr>
        <w:spacing w:after="0" w:line="140"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For the year ended September 30, 2024, net cash used in operating activities was $18,388, which included the impact of our net loss of $20,034 and net non-cash credits of $3,206, partly offset by net decreases in working capital items of $4,852. The net non-cash credits principally consisted of the $31,879 gain on the change in fair value of the earnout liability, a deferred income tax benefit of $2,432 and $1,415 of non-cash gains from the change in the fair value of liability-classified warrants. These non-cash credits were partially offset by stock-based compensation expense of $21,383, $4,009 of Merger related transaction costs, $2,894 of non-cash private placement costs, $2,015 of depreciation and amortization expense and impairment of long-lived assets of $1,333. The net working capital decrease principally consists of an increase in accounts payable, accrued expenses and other liabilities, partly offset by an increase in accounts receivable.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Net cash provided by investing activities of $1 for the year ended September 30, 2025 consisted of proceeds from the sale of property and equipment, almost entirely offset by payments for the acquisition of property and equipment.</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Net cash used in investing activities of $1,108 for the year ended September 30, 2024 consisted of payments for the acquisition EMI Solutions and RaGE, net of acquired cash, and payments of $44 for the acquisition of property and equipment.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Net cash provided by financing activities for the year ended September 30, 2025 of $13,119 consisted of $3,645 in proceeds from the sale of common stock and warrants in the April 2025 Offering, proceeds of $4,520 from the exercise of warrants to purchase shares of our Class A Common Stock (including $4,500 from the warrant exercise inducement), $1,600 from the issuance of common stock and $5,317 in proceeds under agreements for the purchase and sale of future receipts and the issuance of notes payable. These amounts were partially offset by principal payments on notes payable of $1,789 (including payments of $574 on notes payable—related parties) and the payment of deferred consideration of $174 for the acquisition of a business.</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Net cash provided by financing activities for the year ended September 30, 2024 of $19,673 consisted of the $21,014 proceeds from the Merger and PIPE, $3,529 in proceeds from the issuance of common stock, $3,585 proceeds from the sale of warrants in a private placement, $1,648 in proceeds from issuance of notes payable and convertible notes (including $450 from notes payable—related parties) and proceeds of $229 from the exercise of stock options and warrants. These amounts were partially offset by the payment of Merger-related transaction costs of $6,946, principal payments of $3,212 on notes payable (including payments of $1,463 on notes payable—related parties) and the payment of deferred consideration of $174 for the acquisition of a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8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As of September 30, 2025, our cash balance was $3,273 compared to $266 at September 30, 2024. We had a working capital deficit of $21,071 as of September 30, 2025 compared to a working capital deficit of $20,836 at September 30, 2024.</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As of March 31, 2026, our cash balance was $2,563 compared to $3,273 at September 30, 2025. We had a working capital deficit of $18,540 as of March 31, 2026 compared to a working capital deficit of $21,071 at September 30, 2025.</w:t>
      </w:r>
    </w:p>
    <w:p>
      <w:pPr>
        <w:spacing w:after="0" w:line="124" w:lineRule="exact"/>
        <w:rPr>
          <w:sz w:val="20"/>
          <w:szCs w:val="20"/>
          <w:color w:val="auto"/>
        </w:rPr>
      </w:pPr>
    </w:p>
    <w:p>
      <w:pPr>
        <w:jc w:val="both"/>
        <w:ind w:firstLine="512"/>
        <w:spacing w:after="0" w:line="282" w:lineRule="auto"/>
        <w:rPr>
          <w:sz w:val="20"/>
          <w:szCs w:val="20"/>
          <w:color w:val="auto"/>
        </w:rPr>
      </w:pPr>
      <w:r>
        <w:rPr>
          <w:rFonts w:ascii="Times New Roman" w:cs="Times New Roman" w:eastAsia="Times New Roman" w:hAnsi="Times New Roman"/>
          <w:sz w:val="14"/>
          <w:szCs w:val="14"/>
          <w:color w:val="auto"/>
        </w:rPr>
        <w:t>As of March 31, 2026, our debt consists of notes payable with an aggregate amount of $4,752 and 7% promissory notes—related parties with an aggregate principal amount of $1,686. Of these amounts, one note having a principal amount of $125 has reached its maturity date and is currently due. The remainder require weekly or monthly payments in varying amounts through July 2027.</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44" w:name="page45"/>
    <w:bookmarkEnd w:id="44"/>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Our total liabilities as of March 31, 2026 were $26,009 compared to $37,449 as of September 30, 2025. The decrease in our total liabilities is principally due to the amendment of certain liability-classified warrants and the resulting reclassification of $6,912 of liabilities to stockholders’ equity (deficit) on the condensed consolidated balance sheet during the six months ended March 31, 2026, a decrease in accounts payable of $2,747, and a decrease in accrued expenses and other current liabilities of $1,289.</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Other commitments include (i) non-cancelable operating leases for equipment, office facilities and other property containing future minimum lease payments totaling $235 payable over the next 1.2 years, (ii) unpaid commitment and other fees of $1,478 payable in connection with the committed equity facility, (iii) deferred purchase consideration of $2,323 related to acquisitions which is currently due, and (iv) $2,000 currently payable under an earnout arrangement related to the acquisition of a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184"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We incurred a loss from operations of $14,924 for the six months ended March 31, 2026 and we incurred losses from operations of $37,693 and $46,395 for the years ended September 30, 2025 and 2024, respectively. Additionally, we had negative cash flows from operations of $9,017 for the six months ended March 31, 2026 and negative cash flows from operations of $10,113 and $18,388 for the years ended September 30, 2025 and 2024, respectively. As of March 31, 2026, we had cash on hand of $2,563 and an accumulated deficit of $166,566. We have historically financed our operations through the issuance and sale of equity securities and the issuance of debt. We expect to continue to incur operating losses and negative cash flows from operations for the foreseeable future and we will need to raise additional debt or equity financing to fund our operations and satisfy our obligations. We believe that there is substantial doubt concerning our ability to continue as a going concern as we currently do not have adequate liquidity to meet our operating needs and satisfy our obligations for at least the next twelve months.</w:t>
      </w:r>
    </w:p>
    <w:p>
      <w:pPr>
        <w:spacing w:after="0" w:line="145"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While we will seek to raise additional capital, there can be no assurance the necessary financing will be available on terms acceptable to us, or at all. If we raise funds by issuing equity securities, dilution to existing stockholders may result. Any equity securities issued may also provide for rights, preferences or privileges senior to those of holders of common stock. If we raise funds by issuing debt securities, such debt securities would have rights, preferences and privileges senior to those of preferred and common stockholders. The terms of debt securities or borrowings may impose significant restrictions on our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spacing w:after="0" w:line="145"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If we are unable to obtain additional financing, or if such transactions are successfully completed but do not provide adequate financing, we may be required to reduce our operating expenditures, which could adversely affect our business prospects, or we may be unable to continue operations. The condensed consolidated financial statements do not include any adjustments that might result from the outcome of these uncertainties. Accordingly, the condensed consolidated financial statements have been prepared on a basis that assumes we will continue as a going concern and which contemplates the realization of assets and the satisfaction of liabilities and commitments in the ordinary course of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preparation of our financial statements and related disclosures in accordance with U.S. GAAP requires that we make judgments, assumptions and estimates that affect the amounts reported in the consolidated financial statements.</w:t>
      </w:r>
    </w:p>
    <w:p>
      <w:pPr>
        <w:spacing w:after="0" w:line="12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 methods, estimates and judgments we use in applying our accounting policies have a significant impact on the results that we report in our financial statements. Some of our accounting policies require that we make difficult and subjective judgments, often as a result of the need to make estimates regarding matters that are inherently uncertain. We base our estimates and judgments on historical experience, current economic and industry conditions and other factors that we believe to be reasonable under the circumstances. Actual results may differ from our estimates under different assumptions or conditions.</w:t>
      </w:r>
    </w:p>
    <w:p>
      <w:pPr>
        <w:spacing w:after="0" w:line="14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Our most critical accounting estimates include the assumptions we use in the determination of the fair value of the earnout liability, the fair value of liability-classified warrants, stock-based compensation, the provision (benefit) for income taxes, the accounting for business combinations and the measurement of definite-lived intangible assets and goodwill.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color w:val="auto"/>
        </w:rPr>
        <w:t>Fair Value of Earnout Liability</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account for the Earnout Shares as liability-classified instruments because the events that determine the number of shares to which the earnout recipients will be entitled include events that are not solely indexed to our common stock. We remeasure the earnout liability to its estimated fair value at the end of each reporting period.</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estimate the fair value of the earnout liability using a Monte Carlo simulation model that utilizes significant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2"/>
        </w:trPr>
        <w:tc>
          <w:tcPr>
            <w:tcW w:w="42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r>
      <w:tr>
        <w:trPr>
          <w:trHeight w:val="161"/>
        </w:trPr>
        <w:tc>
          <w:tcPr>
            <w:tcW w:w="42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4260" w:type="dxa"/>
            <w:vAlign w:val="bottom"/>
            <w:gridSpan w:val="2"/>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8.06</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shd w:val="clear" w:color="auto" w:fill="CCEEFF"/>
          </w:tcPr>
          <w:p>
            <w:pPr>
              <w:spacing w:after="0"/>
              <w:rPr>
                <w:sz w:val="14"/>
                <w:szCs w:val="14"/>
                <w:color w:val="auto"/>
              </w:rPr>
            </w:pPr>
          </w:p>
        </w:tc>
      </w:tr>
      <w:tr>
        <w:trPr>
          <w:trHeight w:val="171"/>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3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80%</w:t>
            </w:r>
          </w:p>
        </w:tc>
        <w:tc>
          <w:tcPr>
            <w:tcW w:w="4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71"/>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3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5"/>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3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6.2 years</w:t>
            </w:r>
          </w:p>
        </w:tc>
        <w:tc>
          <w:tcPr>
            <w:tcW w:w="48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 years</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Our stock-based compensation awards principally consist of restricted stock units (RSUs) and restricted stock awards (RSAs). Prior to the Merger, our stock-based compensation awards principally consisted of stock options. In some cases, other equity transactions, such as the issuance of warrants to purchase our common stock are accounted for as equity-classified awards granted to employees. In each case, we must determine the fair value of the equity-based awards.</w:t>
      </w:r>
    </w:p>
    <w:p>
      <w:pPr>
        <w:spacing w:after="0" w:line="13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estimate the fair value of stock options and warrants to purchase our common stock using the Black-Scholes-Merton (“Black-Scholes”) option-pricing model. The Black-Scholes option pricing model considers several variables and assumptions in estimating the fair value of stock-based awards. These variables include:</w:t>
      </w:r>
    </w:p>
    <w:p>
      <w:pPr>
        <w:spacing w:after="0" w:line="124" w:lineRule="exact"/>
        <w:rPr>
          <w:sz w:val="20"/>
          <w:szCs w:val="20"/>
          <w:color w:val="auto"/>
        </w:rPr>
      </w:pPr>
    </w:p>
    <w:p>
      <w:pPr>
        <w:ind w:left="520" w:hanging="259"/>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fair value of the underlying common stock;</w:t>
      </w:r>
    </w:p>
    <w:p>
      <w:pPr>
        <w:spacing w:after="0" w:line="23"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term;</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stock price volatility over the expected term; and</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annual dividend yield.</w:t>
      </w:r>
    </w:p>
    <w:p>
      <w:pPr>
        <w:spacing w:after="0" w:line="166"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estimate the fair value of RSUs and RSAs based on the grant-date market price of our common stock.</w:t>
      </w:r>
    </w:p>
    <w:p>
      <w:pPr>
        <w:spacing w:after="0" w:line="18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recognize the fair value of each award as compensation expense on a straight-line basis over the requisite service period, which principally range from one to four years. We have elected to account for forfeitures as they occur and initially record stock-based compensation expense assuming all option holders will complete the requisite service period. If an employee forfeits an award because they fail to complete the requisite service period, we will reverse previously recognized stock-based compensation expense in the period the award is forfeited.</w:t>
      </w:r>
    </w:p>
    <w:p>
      <w:pPr>
        <w:spacing w:after="0" w:line="135"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Certain RSUs are subject to both service-based vesting conditions and performance conditions. For such awards, our accounting requires that we evaluate the probability of achievement of the performance conditions. When we conclude that the achievement of a performance condition is not probable, we do not recognize any compensation cost for that award. We continually reevaluate the probability of achievement of performance conditions. If we subsequently determine the achievement of a performance condition is probable, we will be required to record a “catch-up” of previously unrecognized stock-based compensation expense, subject to any applicable time-based vesting.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46" w:name="page47"/>
    <w:bookmarkEnd w:id="46"/>
    <w:p>
      <w:pPr>
        <w:jc w:val="both"/>
        <w:ind w:firstLine="569"/>
        <w:spacing w:after="0" w:line="272" w:lineRule="auto"/>
        <w:rPr>
          <w:sz w:val="20"/>
          <w:szCs w:val="20"/>
          <w:color w:val="auto"/>
        </w:rPr>
      </w:pPr>
      <w:r>
        <w:rPr>
          <w:rFonts w:ascii="Times New Roman" w:cs="Times New Roman" w:eastAsia="Times New Roman" w:hAnsi="Times New Roman"/>
          <w:sz w:val="14"/>
          <w:szCs w:val="14"/>
          <w:color w:val="auto"/>
        </w:rPr>
        <w:t>We have also issued warrants to purchase common stock to employees and service providers in exchange for services to us and we determined that those warrants should be accounted for as equity-classified awards. We determine the fair value of these warrants at the date of issuance using the Black-Scholes option pricing model, based on the variables and assumptions discussed above, and recognize the fair value as stock-based compensation expense in our consolidated statements of operations and comprehensive loss.</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classify stock-based compensation expense in our consolidated statements of operations and comprehensive loss in the same manner in which the award recipient’s salary and related costs are classified or in which the award recipient’s service payments are classified. In future periods, we expect stock-based compensation expense to increase, due in part to our existing unrecognized stock-based compensation expense and as we grant additional stock-based awards to continue to attract and retain employees.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Liability-Classified Warrants</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In connection with the Merger and subsequent financing transactions we have issued certain warrants that do not meet the derivative scope exception. Specifically, these warrants contain provisions that affect their settlement amounts which are not inputs into the pricing of a fixed-for-fixed option on equity shares. Therefore, these warrants are not considered indexed to our stock and must be classified as liabilities. At their respective dates of issuance, we recognized a liability for each of the warrants in the amount of their estimated fair value. We remeasure the warrant liabilities to their estimated fair value as of the end of each reporting period.</w:t>
      </w:r>
    </w:p>
    <w:p>
      <w:pPr>
        <w:spacing w:after="0" w:line="138" w:lineRule="exact"/>
        <w:rPr>
          <w:sz w:val="20"/>
          <w:szCs w:val="20"/>
          <w:color w:val="auto"/>
        </w:rPr>
      </w:pPr>
    </w:p>
    <w:p>
      <w:pPr>
        <w:jc w:val="both"/>
        <w:ind w:firstLine="512"/>
        <w:spacing w:after="0" w:line="273" w:lineRule="auto"/>
        <w:rPr>
          <w:sz w:val="20"/>
          <w:szCs w:val="20"/>
          <w:color w:val="auto"/>
        </w:rPr>
      </w:pPr>
      <w:r>
        <w:rPr>
          <w:rFonts w:ascii="Times New Roman" w:cs="Times New Roman" w:eastAsia="Times New Roman" w:hAnsi="Times New Roman"/>
          <w:sz w:val="14"/>
          <w:szCs w:val="14"/>
          <w:color w:val="auto"/>
        </w:rPr>
        <w:t xml:space="preserve">We estimate the fair value of liability-classified warrants, other than the Private Warrants, using the Black-Scholes option-pricing model (as described above under </w:t>
      </w:r>
      <w:r>
        <w:rPr>
          <w:rFonts w:ascii="Times New Roman" w:cs="Times New Roman" w:eastAsia="Times New Roman" w:hAnsi="Times New Roman"/>
          <w:sz w:val="14"/>
          <w:szCs w:val="14"/>
          <w:i w:val="1"/>
          <w:iCs w:val="1"/>
          <w:color w:val="auto"/>
        </w:rPr>
        <w:t>Stock-Based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Compensation</w:t>
      </w:r>
      <w:r>
        <w:rPr>
          <w:rFonts w:ascii="Times New Roman" w:cs="Times New Roman" w:eastAsia="Times New Roman" w:hAnsi="Times New Roman"/>
          <w:sz w:val="14"/>
          <w:szCs w:val="14"/>
          <w:color w:val="auto"/>
        </w:rPr>
        <w:t>). We recognize the change in the fair value of liability-classified warrants in “Change in fair value of warrants” in our consolidated statements of operations and comprehensive loss.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following table summarizes the assumptions we used in estimating the fair value of liability-classified warrants at the respective dates: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2"/>
        </w:trPr>
        <w:tc>
          <w:tcPr>
            <w:tcW w:w="42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r>
      <w:tr>
        <w:trPr>
          <w:trHeight w:val="161"/>
        </w:trPr>
        <w:tc>
          <w:tcPr>
            <w:tcW w:w="42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3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8.06</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shd w:val="clear" w:color="auto" w:fill="CCEEFF"/>
          </w:tcPr>
          <w:p>
            <w:pPr>
              <w:spacing w:after="0"/>
              <w:rPr>
                <w:sz w:val="14"/>
                <w:szCs w:val="14"/>
                <w:color w:val="auto"/>
              </w:rPr>
            </w:pPr>
          </w:p>
        </w:tc>
      </w:tr>
      <w:tr>
        <w:trPr>
          <w:trHeight w:val="171"/>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3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79.0%</w:t>
            </w:r>
          </w:p>
        </w:tc>
        <w:tc>
          <w:tcPr>
            <w:tcW w:w="4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55.7%</w:t>
            </w:r>
          </w:p>
        </w:tc>
      </w:tr>
      <w:tr>
        <w:trPr>
          <w:trHeight w:val="171"/>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3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3.7%</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 3.9%</w:t>
            </w:r>
          </w:p>
        </w:tc>
      </w:tr>
      <w:tr>
        <w:trPr>
          <w:trHeight w:val="185"/>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3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4.3 – 4.9 years</w:t>
            </w:r>
          </w:p>
        </w:tc>
        <w:tc>
          <w:tcPr>
            <w:tcW w:w="48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 – 5.1 years</w:t>
            </w:r>
          </w:p>
        </w:tc>
      </w:tr>
    </w:tbl>
    <w:p>
      <w:pPr>
        <w:spacing w:after="0" w:line="142" w:lineRule="exact"/>
        <w:rPr>
          <w:sz w:val="20"/>
          <w:szCs w:val="20"/>
          <w:color w:val="auto"/>
        </w:rPr>
      </w:pPr>
    </w:p>
    <w:p>
      <w:pPr>
        <w:jc w:val="both"/>
        <w:ind w:firstLine="512"/>
        <w:spacing w:after="0" w:line="264" w:lineRule="auto"/>
        <w:rPr>
          <w:sz w:val="20"/>
          <w:szCs w:val="20"/>
          <w:color w:val="auto"/>
        </w:rPr>
      </w:pPr>
      <w:r>
        <w:rPr>
          <w:rFonts w:ascii="Times New Roman" w:cs="Times New Roman" w:eastAsia="Times New Roman" w:hAnsi="Times New Roman"/>
          <w:sz w:val="14"/>
          <w:szCs w:val="14"/>
          <w:color w:val="auto"/>
        </w:rPr>
        <w:t>We estimate the fair value of the Private Warrants based on quoted market prices for the Public Warrants, which have substantially the same economic characteristics as the Private Warrants.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Provision (Benefit) for Income Taxes</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We recognize the effect of a change in tax laws on deferred tax assets and liabilities in our results of operations in the period the new laws are enacted. We record a valuation allowance to reduce the carrying amounts of deferred tax assets unless it is more likely than not that such assets will be realized.</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recognize liabilities for uncertain tax positions based on a two-step process regarding recognition and measurement. We recognize a tax benefit only if it is more likely than not the tax position will be sustained on examination by the local taxing authorities based on the technical merits of the position. We measure the amount of tax benefits recognized in the financial statements from such positions based on the largest benefit greater than 50% likely to be realized upon ultimate settlement with the related tax authority. Changes in recognition or measurement of an uncertain tax position are reflected in our statements of operations in the period in which the change in estimate occurs, based on new information not previously available.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color w:val="auto"/>
        </w:rPr>
        <w:t>Business Combinations</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allocate the purchase price of an acquisition to the tangible and intangible assets acquired and the liabilities assumed based on their estimated fair values. The excess of the purchase price over the fair values of the net assets acquired is recorded as goodwill.</w:t>
      </w:r>
    </w:p>
    <w:p>
      <w:pPr>
        <w:spacing w:after="0" w:line="124"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Accounting for business combinations requires that we make significant estimates and assumptions to determine the fair value of assets acquired and liabilities assumed at the acquisition date. Although we believe the assumptions and estimates we use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the expected costs to develop acquired technology into commercially viable products and the estimated cash flows from the projects when completed, including assumptions associated with the technology migration curve and expected selling, general and administrative costs. We derive the discount rates used to discount expected future cash flows to present value using a weighted-average cost of capital analysis adjusted to reflect inherent risks. Unanticipated events and circumstances may occur that could affect either the accuracy or validity of these assumptions, estimates or actual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Long-Lived Assets and Goodwill</w:t>
      </w:r>
    </w:p>
    <w:p>
      <w:pPr>
        <w:spacing w:after="0" w:line="18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We have long-lived assets, principally consisting of definite-lived intangible assets (including developed technology, customer relationships and tradenames). We record amortization expense associated with each definite-lived intangible asset based on its estimated useful life. We also review all long-lived assets—including intangible assets—for impairment whenever events or changes in circumstances indicate that the carrying amount of such assets may not be recoverable. This includes our regular review of our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long-lived assets.</w:t>
      </w:r>
    </w:p>
    <w:p>
      <w:pPr>
        <w:spacing w:after="0" w:line="14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perform impairment testing at the asset group level that represents the lowest level for which identifiable cash flows are largely independent of the cash flows of other assets and liabilities. Recoverability of an asset group is determined by comparing the forecasted undiscounted cash flows attributable to such asset group, including any cash flows upon its eventual disposition, to its carrying value. If the carrying value of the asset group exceeds the forecasted undiscounted cash flows, then the asset group is written down to its fair value.</w:t>
      </w:r>
    </w:p>
    <w:p>
      <w:pPr>
        <w:spacing w:after="0" w:line="135"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During the years ended September 30, 2025 and 2024 we recorded impairment charges of $725 and $1,333, respectively, to write down the value of long-lived assets to their estimated fair values. However, future cash flows may vary from what was expected, or assumptions and estimates we use in the fair value calculations may change. Any such changes in assumptions or estimates could change the estimates of future cash flows we use to estimate fair values and could result in a decline in the estimated fair value of related assets. Such a decline in our estimates of the fair values of assets may result in future impairment charges.</w:t>
      </w:r>
    </w:p>
    <w:p>
      <w:pPr>
        <w:spacing w:after="0" w:line="14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also have goodwill totaling $16,066 as of September 30, 2025, which represents the excess of the fair value of purchase consideration of an acquired business over the fair value of the identifiable net assets acquired. Goodwill is not amortized, but we test goodwill for impairment at a reporting unit level on an annual basis on July 31, or more frequently if circumstances change or an event occurs that would more likely than not reduce the fair value of a reporting unit below its carrying amount.</w:t>
      </w:r>
    </w:p>
    <w:p>
      <w:pPr>
        <w:spacing w:after="0" w:line="135"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We assess all relevant qualitative factors to determine whether it is more likely than not that the fair value of a reporting unit is less than its carrying amount. If the assessment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we would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we will recognize an impairment loss equal to the amount of the excess, limited to the amount of goodwill allocated to that reporting unit.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48" w:name="page49"/>
    <w:bookmarkEnd w:id="48"/>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performed our annual goodwill impairment test and determined it was not more likely than not that the fair value of any reporting unit was less than its carrying amount. We did not record any goodwill impairment losses for the years ended September 30, 2025 and 2024.</w:t>
      </w:r>
    </w:p>
    <w:p>
      <w:pPr>
        <w:spacing w:after="0" w:line="12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Our impairment tests require the use of judgment, including the identification of, and assignment of assets and liabilities to, asset groups and/or reporting units and the determination of fair values of asset groups or reporting units. We also must make significant assumptions and estimates, including the amount and timing of future cash flows, discount rates, asset fair values and the expected useful lives of the acquisition-related intangible assets. To make these judgments and estimates, we may use internal undiscounted cash flow estimates, quoted market prices (if available) or other available data.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w:t>
      </w:r>
    </w:p>
    <w:p>
      <w:pPr>
        <w:spacing w:after="0" w:line="18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are an “emerging growth company,” as defined in Section 2(a) of the Securities Act, as modified by the JOBS Act, and we will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40" w:lineRule="exact"/>
        <w:rPr>
          <w:sz w:val="20"/>
          <w:szCs w:val="20"/>
          <w:color w:val="auto"/>
        </w:rPr>
      </w:pPr>
    </w:p>
    <w:p>
      <w:pPr>
        <w:jc w:val="both"/>
        <w:ind w:firstLine="512"/>
        <w:spacing w:after="0" w:line="262"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expect to no longer be an “emerging growth company” effective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Smaller Reporting Company</w:t>
      </w:r>
    </w:p>
    <w:p>
      <w:pPr>
        <w:spacing w:after="0" w:line="184" w:lineRule="exact"/>
        <w:rPr>
          <w:sz w:val="20"/>
          <w:szCs w:val="20"/>
          <w:color w:val="auto"/>
        </w:rPr>
      </w:pPr>
    </w:p>
    <w:p>
      <w:pPr>
        <w:jc w:val="both"/>
        <w:ind w:firstLine="512"/>
        <w:spacing w:after="0" w:line="262" w:lineRule="auto"/>
        <w:rPr>
          <w:sz w:val="20"/>
          <w:szCs w:val="20"/>
          <w:color w:val="auto"/>
        </w:rPr>
      </w:pPr>
      <w:r>
        <w:rPr>
          <w:rFonts w:ascii="Times New Roman" w:cs="Times New Roman" w:eastAsia="Times New Roman" w:hAnsi="Times New Roman"/>
          <w:sz w:val="14"/>
          <w:szCs w:val="14"/>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 If we continue to be a smaller reporting company at the time we cease to be an emerging growth company, we may continue to rely on exemptions from these certain reduced disclosure requirements that are available to smaller reporting companies.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82" w:lineRule="exact"/>
        <w:rPr>
          <w:sz w:val="20"/>
          <w:szCs w:val="20"/>
          <w:color w:val="auto"/>
        </w:rPr>
      </w:pPr>
    </w:p>
    <w:p>
      <w:pPr>
        <w:jc w:val="both"/>
        <w:ind w:firstLine="512"/>
        <w:spacing w:after="0" w:line="259" w:lineRule="auto"/>
        <w:rPr>
          <w:sz w:val="20"/>
          <w:szCs w:val="20"/>
          <w:color w:val="auto"/>
        </w:rPr>
      </w:pPr>
      <w:r>
        <w:rPr>
          <w:rFonts w:ascii="Times New Roman" w:cs="Times New Roman" w:eastAsia="Times New Roman" w:hAnsi="Times New Roman"/>
          <w:sz w:val="14"/>
          <w:szCs w:val="14"/>
          <w:color w:val="auto"/>
        </w:rPr>
        <w:t>Based in Irvine, California, Mobix Labs designs, develops and sells components and systems for advanced wireless and wired connectivity, radio frequency (“RF”), switching and electromagnetic interference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millimeter wave (“mmWave”) communications, mmWave imaging, software defined radio and custom RF integrated circuits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spacing w:after="0" w:line="147"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spacing w:after="0" w:line="145"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We were founded with the goal of simplifying the development and maximizing the performance of mmWave wireless products by designing and developing high performance system-level solutions used for signal processing applications in wireless devices. Since our inception, our corporate strategy has evolved to encompass the pursuit of acquisitions serving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spacing w:after="0" w:line="145"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On December 18, 2023, we completed the acquisition of EMI Solutions when we acquired all of the issued and outstanding common shares of EMI Solutions. EMI Solutions is a manufacturer of interconnect products, including electromagnetic interference filtering products for aerospace, military, defense and medical applications. We believe the acquisition of EMI Solutions complements our existing product offerings, expanded our customer base and allows us to deliver solutions that address a wider variety of applications and markets. Consideration for the acquisition of EMI Solutions consisted of 96,491 shares of Legacy Mobix common stock and $2,200 in cash. We valued the common stock at $8,856, based on the fair value of the Legacy Mobix common stock at the time of the acquisition.</w:t>
      </w:r>
    </w:p>
    <w:p>
      <w:pPr>
        <w:spacing w:after="0" w:line="14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On May 21, 2024, we completed the acquisition of RaGE Systems, Inc. (“RaGE Systems”). RaGE Systems designs, develops and manufactures wireless systems solutions, including products for 5G communications, mmWave imaging, and software defined radio targeting the commercial, industrial, and defense and aerospace sectors. We believe the acquisition of RaGE Systems expands our expertise in wireless communications and will allow us to deliver solutions that address a wider variety of applications and markets.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50" w:name="page51"/>
    <w:bookmarkEnd w:id="50"/>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Our leadership team is comprised of industry veterans with prior experience at premier semiconductor and connectivity companies, including Microsemi Corporation (which was acquired by Microchip Technology Inc.), Skyworks Solutions, Inc., MaxLinear, Inc. and Texas Instruments Incorporated. Our leadership team has significant experience and insight into growing advanced technology companies and executing strategic acquisitions to accelerate growth. Our engineering team is highly skilled in radio frequency, analog and mixed-signal technologies and has prior experience spearheading development of RF solutions that are widely used in existing wireless systems and devices.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Overview</w:t>
      </w:r>
    </w:p>
    <w:p>
      <w:pPr>
        <w:spacing w:after="0" w:line="180"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i w:val="1"/>
          <w:iCs w:val="1"/>
          <w:color w:val="auto"/>
        </w:rPr>
        <w:t xml:space="preserve">Wireless Systems Solutions </w:t>
      </w:r>
      <w:r>
        <w:rPr>
          <w:rFonts w:ascii="Times New Roman" w:cs="Times New Roman" w:eastAsia="Times New Roman" w:hAnsi="Times New Roman"/>
          <w:sz w:val="14"/>
          <w:szCs w:val="14"/>
          <w:color w:val="auto"/>
        </w:rPr>
        <w:t>— Our wireless systems solutions address several growth markets in the electronics industry—communications, sensing and detection and microelectronics.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expect these markets will continue to expand, driven by a number of factors.</w:t>
      </w:r>
    </w:p>
    <w:p>
      <w:pPr>
        <w:spacing w:after="0" w:line="120" w:lineRule="exact"/>
        <w:rPr>
          <w:sz w:val="20"/>
          <w:szCs w:val="20"/>
          <w:color w:val="auto"/>
        </w:rPr>
      </w:pPr>
    </w:p>
    <w:p>
      <w:pPr>
        <w:jc w:val="both"/>
        <w:ind w:left="1020" w:hanging="503"/>
        <w:spacing w:after="0" w:line="259"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Communications </w:t>
      </w:r>
      <w:r>
        <w:rPr>
          <w:rFonts w:ascii="Times New Roman" w:cs="Times New Roman" w:eastAsia="Times New Roman" w:hAnsi="Times New Roman"/>
          <w:sz w:val="14"/>
          <w:szCs w:val="14"/>
          <w:color w:val="auto"/>
        </w:rPr>
        <w:t>— The demand for mobile and fixed data continues to grow at exponential rates. The evolution of wireless communications standards has enabled many data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intensive applications, such as video streaming, online conferencing and social media. Moreover, we believe ongoing deployment of applications for artificial intelligence (“AI”), augmented reality (“AR”), virtual reality (“VR”), autonomous vehicles, and industrial Internet of Things (“IoT”) sensors, will compound the strain on the current generation of wireless networks, necessitating higher bandwidth and more efficient communication networks. The next generation of wireless communications, including 5G and beyond, is expected to revolutionize the way data is transferred around the world. With data speeds up to 20 Gb/s coupled with ultra-low latency, or minimal delays in the transmission of data, the potential applications for 5G can be significantly more extensive than for earlier generations of wireless communications. There is also increasing interest in energy efficient, standards-based infrastructure. Wireless systems operators around the world have experienced increased operating costs due to the increasing cost of energy. We believe the need for highly power efficient solutions is particularly important for operators who provide coverage in rural, infrastructure constrained markets. We expect these demands create opportunities to develop new communication solutions for both domestic and international markets.</w:t>
      </w:r>
    </w:p>
    <w:p>
      <w:pPr>
        <w:spacing w:after="0" w:line="143" w:lineRule="exact"/>
        <w:rPr>
          <w:rFonts w:ascii="Times New Roman" w:cs="Times New Roman" w:eastAsia="Times New Roman" w:hAnsi="Times New Roman"/>
          <w:sz w:val="14"/>
          <w:szCs w:val="14"/>
          <w:color w:val="auto"/>
        </w:rPr>
      </w:pPr>
    </w:p>
    <w:p>
      <w:pPr>
        <w:jc w:val="both"/>
        <w:ind w:left="1020" w:hanging="503"/>
        <w:spacing w:after="0" w:line="264"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Sensing and Detection </w:t>
      </w:r>
      <w:r>
        <w:rPr>
          <w:rFonts w:ascii="Times New Roman" w:cs="Times New Roman" w:eastAsia="Times New Roman" w:hAnsi="Times New Roman"/>
          <w:sz w:val="14"/>
          <w:szCs w:val="14"/>
          <w:color w:val="auto"/>
        </w:rPr>
        <w:t>— Demand for single and multiband sensing and detection solutions continues to grow across several market areas. In the security market, radio RF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mmWave imaging is used to sense and detect concealed objects in closed parcels or under clothes. The medical market uses a variety of non-visual spectrum to sense and detect a variety of conditions such as skin cancers or internal tumors and their compositions. Using RF, mmWave and infrared (“IR”) technologies, we can sense and detect flaws in building materials including concrete, wooden beams and other structural materials to determine the viability and safety of infrastructure. These applications use a combination of multi-spectral sensors, higher performance microelectronics, machine learning and AI and general computing for systems.</w:t>
      </w:r>
    </w:p>
    <w:p>
      <w:pPr>
        <w:spacing w:after="0" w:line="138" w:lineRule="exact"/>
        <w:rPr>
          <w:rFonts w:ascii="Times New Roman" w:cs="Times New Roman" w:eastAsia="Times New Roman" w:hAnsi="Times New Roman"/>
          <w:sz w:val="14"/>
          <w:szCs w:val="14"/>
          <w:color w:val="auto"/>
        </w:rPr>
      </w:pPr>
    </w:p>
    <w:p>
      <w:pPr>
        <w:jc w:val="both"/>
        <w:ind w:left="1020" w:hanging="503"/>
        <w:spacing w:after="0" w:line="264"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Microelectronics </w:t>
      </w:r>
      <w:r>
        <w:rPr>
          <w:rFonts w:ascii="Times New Roman" w:cs="Times New Roman" w:eastAsia="Times New Roman" w:hAnsi="Times New Roman"/>
          <w:sz w:val="14"/>
          <w:szCs w:val="14"/>
          <w:color w:val="auto"/>
        </w:rPr>
        <w:t>— The specification, design and manufacture of very small electronic designs and components and circuits drives most electronics growth in the modern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electronics industry. Higher mobility, lower costs and greater energy efficiency drive innovations in communications, medical, sensing and other applications for the consumer commercial electronics, industrial electronics and aerospace and defense electronics markets. Microelectronics covers application specific integrated circuits (“ASIC”), RFIC and system on chip (“SoC”) IC designs. It also includes devices such as multi-chip modules (“MCMs”) and multi-chiplet modules (“McMs”). The trends now are to drive microelectronics to have global connectivity options and included capabilities for machine learning and AI.</w:t>
      </w:r>
    </w:p>
    <w:p>
      <w:pPr>
        <w:spacing w:after="0" w:line="139"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i w:val="1"/>
          <w:iCs w:val="1"/>
          <w:color w:val="auto"/>
        </w:rPr>
        <w:t xml:space="preserve">Interconnect Products </w:t>
      </w:r>
      <w:r>
        <w:rPr>
          <w:rFonts w:ascii="Times New Roman" w:cs="Times New Roman" w:eastAsia="Times New Roman" w:hAnsi="Times New Roman"/>
          <w:sz w:val="14"/>
          <w:szCs w:val="14"/>
          <w:color w:val="auto"/>
        </w:rPr>
        <w:t>— Our interconnect products address the global EMI filter market which we believe is experiencing significant growth due to the increasing demand for noise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reduction in electronic devices. The growing complexity of electronic systems and the proliferation of communication technologies are driving the market growth.</w:t>
      </w:r>
    </w:p>
    <w:p>
      <w:pPr>
        <w:spacing w:after="0" w:line="12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Our EMI filtering devices are designed to reduce electromagnetic interference and allow for effective functioning of electronic communication systems. We believe the increasing complexity of aerospace and defense systems will drive greater demand for electromagnetic interference filters in the military and aerospace sectors. The increasing use of unmanned aerial vehicles and other advanced technology solutions has also fueled market growth.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51" w:name="page52"/>
    <w:bookmarkEnd w:id="51"/>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Our high-reliability EMI filters are designed to consistently meet or exceed performance requirements and are vitally important to any industry with a high cost of failure. For example, our military, aerospace, and healthcare customers utilize our products for the accurate transmission and reception of signals required to ensure soldier, aircraft and patient safety or achieve mission success. Currently, our EMI filtering products are widely used in various applications and industries, including aerospace, military, defense and healthcare.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As a global provider of a diverse portfolio of advanced capability products, we believe that we are well positioned to capitalize upon the strong growth trends within the defense, aerospace, commercial, industrial and other markets worldwide. We believe our technology, products, and acquisition strategy will serve as strong bases for growth in the markets we currently serve as well as enable us to penetrate new markets globally. We believe our ability to develop and produce market-leading products and services coupled with our deep knowledge of our customers and end markets will enable us to expand our domestic and international market share and continue to offer our customers high-value solutions.</w:t>
      </w:r>
    </w:p>
    <w:p>
      <w:pPr>
        <w:spacing w:after="0" w:line="138" w:lineRule="exact"/>
        <w:rPr>
          <w:sz w:val="20"/>
          <w:szCs w:val="20"/>
          <w:color w:val="auto"/>
        </w:rPr>
      </w:pPr>
    </w:p>
    <w:p>
      <w:pPr>
        <w:jc w:val="both"/>
        <w:ind w:firstLine="512"/>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Aerospace and Defense </w:t>
      </w:r>
      <w:r>
        <w:rPr>
          <w:rFonts w:ascii="Times New Roman" w:cs="Times New Roman" w:eastAsia="Times New Roman" w:hAnsi="Times New Roman"/>
          <w:sz w:val="14"/>
          <w:szCs w:val="14"/>
          <w:color w:val="auto"/>
        </w:rPr>
        <w:t>— We offer a variety of products that support the needs of end-user customers in the aerospace and defense and HiRel markets, including our wireless systems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solutions and interconnect products. Key end customers, including the U.S. military, have expressed a need for high-speed, reliable and secure communications links for various applications, including the “Connected Soldier” and “Connected Battlefield” in the Internet of Military Things, which includes sensing and computing devices worn by soldiers, embedded in combat suits and helmets. High bandwidth connectivity utilized in a private network is increasingly expected to allow the military to track, monitor and manage assets in the field in real time, enhancing market demand for high-performance, reliable and cost-effective solutions, which our products are designed to be.</w:t>
      </w:r>
    </w:p>
    <w:p>
      <w:pPr>
        <w:spacing w:after="0" w:line="139" w:lineRule="exact"/>
        <w:rPr>
          <w:sz w:val="20"/>
          <w:szCs w:val="20"/>
          <w:color w:val="auto"/>
        </w:rPr>
      </w:pPr>
    </w:p>
    <w:p>
      <w:pPr>
        <w:jc w:val="both"/>
        <w:ind w:firstLine="512"/>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Industrial </w:t>
      </w:r>
      <w:r>
        <w:rPr>
          <w:rFonts w:ascii="Times New Roman" w:cs="Times New Roman" w:eastAsia="Times New Roman" w:hAnsi="Times New Roman"/>
          <w:sz w:val="14"/>
          <w:szCs w:val="14"/>
          <w:color w:val="auto"/>
        </w:rPr>
        <w:t>— Securing sensitive areas such as airports, ports of entry, government offices and data centers as well as other public spaces is a major growth area due to the lack of system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level solutions and companies with the capabilities to service these markets. We believe this presents an opportunity for us and our capabilities in the design, testing and manufacturing of multi-band, multi-spectral systems integrated with data processing and AI with machine leaning. We believe our unique position supplying the largest systems integrator of these types of solutions domestically offers us an opportunity to develop new capabilities and enter new markets.</w:t>
      </w:r>
    </w:p>
    <w:p>
      <w:pPr>
        <w:spacing w:after="0" w:line="139"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expect that carriers will need to deploy dense networks of mmWave 5G small cells and repeaters in dense urban applications in order to maintain coverage and quality of service. In rural applications, the emphasis is on coverage and efficiency of the infrastructure in energy constrained deployments. We believe these factors present significant opportunities for us. Each small cell and/or repeater will require multiple chips to meet the necessary output power and coverage requirements. Rural cells will require energy efficient designs which utilize AI to meet capacity and coverage while minimizing power consumption. We believe our design capabilities, IP, and products position us to be a strong supplier at both ends of the communications infrastructure market.</w:t>
      </w:r>
    </w:p>
    <w:p>
      <w:pPr>
        <w:spacing w:after="0" w:line="138" w:lineRule="exact"/>
        <w:rPr>
          <w:sz w:val="20"/>
          <w:szCs w:val="20"/>
          <w:color w:val="auto"/>
        </w:rPr>
      </w:pPr>
    </w:p>
    <w:p>
      <w:pPr>
        <w:jc w:val="both"/>
        <w:ind w:firstLine="512"/>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Satellite Communications </w:t>
      </w:r>
      <w:r>
        <w:rPr>
          <w:rFonts w:ascii="Times New Roman" w:cs="Times New Roman" w:eastAsia="Times New Roman" w:hAnsi="Times New Roman"/>
          <w:sz w:val="14"/>
          <w:szCs w:val="14"/>
          <w:color w:val="auto"/>
        </w:rPr>
        <w:t>— With the proliferation of satellite enabled devices there is an industry push to converge broadband low earth orbit satellite communications (“LEO SATCOM”)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terrestrial 5G and other technologies. LEO SATCOM applications can provide lower latency and greater global coverage compared to geosynchronous satellite applications. On the ground terminal side, having a broadband satellite connection as a backup will allow many devices from handsets and laptops to connected cars to have more stable connections. As the world becomes more and more connected, we will seek to provide wireless systems solutions and LEO SATCOM connectivity designed to offer an attractive solution for keeping consumers connected anywhere in the world.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Wireless Systems Solutions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wireless systems solutions products and services address three key markets—communications, sensing and detection, and microelectronics.</w:t>
      </w:r>
    </w:p>
    <w:p>
      <w:pPr>
        <w:spacing w:after="0" w:line="178" w:lineRule="exact"/>
        <w:rPr>
          <w:sz w:val="20"/>
          <w:szCs w:val="20"/>
          <w:color w:val="auto"/>
        </w:rPr>
      </w:pPr>
    </w:p>
    <w:p>
      <w:pPr>
        <w:jc w:val="both"/>
        <w:ind w:firstLine="512"/>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Communications </w:t>
      </w:r>
      <w:r>
        <w:rPr>
          <w:rFonts w:ascii="Times New Roman" w:cs="Times New Roman" w:eastAsia="Times New Roman" w:hAnsi="Times New Roman"/>
          <w:sz w:val="14"/>
          <w:szCs w:val="14"/>
          <w:color w:val="auto"/>
        </w:rPr>
        <w:t>— We provide both products and services for communications applications. Typically, we contract with customers to specify, design, prototype and validate products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markets in which our customers have an established position. We offer a highly skilled, multi-functional, knowledgeable team and we have significant industry know-how that cuts across every system aspect. Once the prototypes or trial units have been fielded, we seek to enter into a supply contract to build, test, ship and maintain products for our customers. In 2024 we launched our SMART™ Edge device—a software-manageable autonomous radio transceiver and an innovative appliance optimized for deployment at the network edge. This device is software programmable for a variety of applications such as RF spectrum analysis, RF broadcast node, transition base station and other custom applications.</w:t>
      </w:r>
    </w:p>
    <w:p>
      <w:pPr>
        <w:spacing w:after="0" w:line="139" w:lineRule="exact"/>
        <w:rPr>
          <w:sz w:val="20"/>
          <w:szCs w:val="20"/>
          <w:color w:val="auto"/>
        </w:rPr>
      </w:pPr>
    </w:p>
    <w:p>
      <w:pPr>
        <w:jc w:val="both"/>
        <w:ind w:firstLine="512"/>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Sensing and Detection </w:t>
      </w:r>
      <w:r>
        <w:rPr>
          <w:rFonts w:ascii="Times New Roman" w:cs="Times New Roman" w:eastAsia="Times New Roman" w:hAnsi="Times New Roman"/>
          <w:sz w:val="14"/>
          <w:szCs w:val="14"/>
          <w:color w:val="auto"/>
        </w:rPr>
        <w:t>— We provide a custom designed product and a variety of services for sensing and detection applications. In security technology systems for airports, ports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borders, we work with a market leader and provide a key mmWave sensing module used in latest generation systems. We also provide design services to help with system improvements, cost reduction, new features and system development. We seek to expand our customer and application space to include non-destructive sensing of critical infrastructure components like wooden timbers, concrete and other building materials.</w:t>
      </w:r>
    </w:p>
    <w:p>
      <w:pPr>
        <w:spacing w:after="0" w:line="137" w:lineRule="exact"/>
        <w:rPr>
          <w:sz w:val="20"/>
          <w:szCs w:val="20"/>
          <w:color w:val="auto"/>
        </w:rPr>
      </w:pPr>
    </w:p>
    <w:p>
      <w:pPr>
        <w:jc w:val="both"/>
        <w:ind w:firstLine="512"/>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Microelectronics </w:t>
      </w:r>
      <w:r>
        <w:rPr>
          <w:rFonts w:ascii="Times New Roman" w:cs="Times New Roman" w:eastAsia="Times New Roman" w:hAnsi="Times New Roman"/>
          <w:sz w:val="14"/>
          <w:szCs w:val="14"/>
          <w:color w:val="auto"/>
        </w:rPr>
        <w:t>— Semiconductor components are the building blocks used in wireless systems and devices. These components are classified as either discrete devices or ICs (also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referred to as “chips” or a “chipset”), in which a number of transistors and other elements are combined to form a more complicated electronic circuit. We expect our chipset IP and technology will feature a design which minimizes the number of semiconductor chips needed to enable mmWave wireless devices, and therefore we expect that our products will reduce the cost of such devices. Although we have not yet sold any ICs, we believe our IP and developed technology positions us to complete development of our chipset as the market for mmWave ICs evolves.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Interconnect Products</w:t>
      </w:r>
    </w:p>
    <w:p>
      <w:pPr>
        <w:spacing w:after="0" w:line="184"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Our interconnect products consist of EMI filter inserts and filtered and non-filtered connectors. EMI filters are crucial components utilized in various electronic systems to mitigate EMI and ensure the integrity and reliability of signal transmission. These filters are designed to selectively attenuate or block unwanted electromagnetic noise while allowing desired signals to pass through unaffected. Our interconnect products are deployed in aerospace, military, defense, medical and healthcare products, and play a pivotal role in maintaining signal clarity, reducing signal distortion, and safeguarding against potential disruptions caused by external electromagnetic sources. By incorporating our interconnect products into electronic circuitry, our customers enhance the performance, efficiency, and overall functionality of their products, thereby meeting stringent regulatory standards and ensuring optimal operational reliability in diverse applications.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180" w:lineRule="exact"/>
        <w:rPr>
          <w:sz w:val="20"/>
          <w:szCs w:val="20"/>
          <w:color w:val="auto"/>
        </w:rPr>
      </w:pPr>
    </w:p>
    <w:p>
      <w:pPr>
        <w:jc w:val="both"/>
        <w:ind w:left="1020" w:hanging="503"/>
        <w:spacing w:after="0" w:line="267" w:lineRule="auto"/>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Experienced management team </w:t>
      </w:r>
      <w:r>
        <w:rPr>
          <w:rFonts w:ascii="Times New Roman" w:cs="Times New Roman" w:eastAsia="Times New Roman" w:hAnsi="Times New Roman"/>
          <w:sz w:val="14"/>
          <w:szCs w:val="14"/>
          <w:color w:val="auto"/>
        </w:rPr>
        <w:t>— Our board of directors and our executive management team possess comprehensive expertise in overseeing entities within the communications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sector, particularly in the semiconductor industry. Several members of our board of directors and our management team have played pivotal roles in the inception and ongoing leadership of the enterprises that today form the backbone of our organization. This depth of knowledge and leadership is anticipated to greatly enhance our ability to implement our strategic objectives efficiently and effectively.</w:t>
      </w:r>
    </w:p>
    <w:p>
      <w:pPr>
        <w:spacing w:after="0" w:line="137" w:lineRule="exact"/>
        <w:rPr>
          <w:rFonts w:ascii="Times New Roman" w:cs="Times New Roman" w:eastAsia="Times New Roman" w:hAnsi="Times New Roman"/>
          <w:sz w:val="14"/>
          <w:szCs w:val="14"/>
          <w:color w:val="auto"/>
        </w:rPr>
      </w:pPr>
    </w:p>
    <w:p>
      <w:pPr>
        <w:jc w:val="both"/>
        <w:ind w:left="1020" w:hanging="503"/>
        <w:spacing w:after="0" w:line="264" w:lineRule="auto"/>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Diversified business model </w:t>
      </w:r>
      <w:r>
        <w:rPr>
          <w:rFonts w:ascii="Times New Roman" w:cs="Times New Roman" w:eastAsia="Times New Roman" w:hAnsi="Times New Roman"/>
          <w:sz w:val="14"/>
          <w:szCs w:val="14"/>
          <w:color w:val="auto"/>
        </w:rPr>
        <w:t>— Our broad portfolio of products serve the connectivity, aerospace, military, defense and healthcare markets, and address the needs of both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commercial and government customers operating in domestic and international markets. In addition to broadening our addressable market, our strategy of serving both the commercial and government markets makes us less dependent upon government funding and commercial business cycles than businesses focused solely on either market. Similarly, by selling our products and services in various industries, we are less susceptible to economic and political uncertainties at any given time. As a result of this diversity, we believe that our future success is not dependent upon a single technology, product, service, customer, government program or geographic market.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53" w:name="page54"/>
    <w:bookmarkEnd w:id="53"/>
    <w:p>
      <w:pPr>
        <w:jc w:val="both"/>
        <w:ind w:left="1020" w:hanging="503"/>
        <w:spacing w:after="0" w:line="267" w:lineRule="auto"/>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Strong acquisition and integration track record </w:t>
      </w:r>
      <w:r>
        <w:rPr>
          <w:rFonts w:ascii="Times New Roman" w:cs="Times New Roman" w:eastAsia="Times New Roman" w:hAnsi="Times New Roman"/>
          <w:sz w:val="14"/>
          <w:szCs w:val="14"/>
          <w:color w:val="auto"/>
        </w:rPr>
        <w:t>— Since our founding in 2020, we have strategically expanded our portfolio through the acquisition and integration of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businesses, including RaGE Systems and EMI Solutions, each of which aimed at broadening our operational capabilities and enhancing our financial metrics. These strategic initiatives have been instrumental in optimizing operational efficiencies across each acquired entity, subsequently bolstering our financial performance. In particular, we believe our acquisitions of RaGE Systems and EMI Solutions have allowed us to access new markets within the defense, military, aerospace and healthcare sectors.</w:t>
      </w:r>
    </w:p>
    <w:p>
      <w:pPr>
        <w:spacing w:after="0" w:line="137" w:lineRule="exact"/>
        <w:rPr>
          <w:rFonts w:ascii="Times New Roman" w:cs="Times New Roman" w:eastAsia="Times New Roman" w:hAnsi="Times New Roman"/>
          <w:sz w:val="14"/>
          <w:szCs w:val="14"/>
          <w:color w:val="auto"/>
        </w:rPr>
      </w:pPr>
    </w:p>
    <w:p>
      <w:pPr>
        <w:jc w:val="both"/>
        <w:ind w:left="1020" w:hanging="503"/>
        <w:spacing w:after="0" w:line="267" w:lineRule="auto"/>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Superior, scalable wireless technology </w:t>
      </w:r>
      <w:r>
        <w:rPr>
          <w:rFonts w:ascii="Times New Roman" w:cs="Times New Roman" w:eastAsia="Times New Roman" w:hAnsi="Times New Roman"/>
          <w:sz w:val="14"/>
          <w:szCs w:val="14"/>
          <w:color w:val="auto"/>
        </w:rPr>
        <w:t>— We expect to base our mmWave ICs on a complementary metal-oxide-semiconductor (“CMOS”) process. We believe designing high-performance RF and mixed-signal/analog ICs in CMOS allows for higher levels of integration, which can lead to more compact products in a cost-effective manufacturing process. Additionally, we will seek to offer our mmWave chipset as a single SKU, scalable chipset that we believe will simplify manufacturers’ designs and accelerate our customers’ time to market.</w:t>
      </w:r>
    </w:p>
    <w:p>
      <w:pPr>
        <w:spacing w:after="0" w:line="137" w:lineRule="exact"/>
        <w:rPr>
          <w:rFonts w:ascii="Times New Roman" w:cs="Times New Roman" w:eastAsia="Times New Roman" w:hAnsi="Times New Roman"/>
          <w:sz w:val="14"/>
          <w:szCs w:val="14"/>
          <w:color w:val="auto"/>
        </w:rPr>
      </w:pPr>
    </w:p>
    <w:p>
      <w:pPr>
        <w:jc w:val="both"/>
        <w:ind w:left="1020" w:hanging="503"/>
        <w:spacing w:after="0" w:line="270" w:lineRule="auto"/>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U.S.-based supplier of interconnect products </w:t>
      </w:r>
      <w:r>
        <w:rPr>
          <w:rFonts w:ascii="Times New Roman" w:cs="Times New Roman" w:eastAsia="Times New Roman" w:hAnsi="Times New Roman"/>
          <w:sz w:val="14"/>
          <w:szCs w:val="14"/>
          <w:color w:val="auto"/>
        </w:rPr>
        <w:t>— We believe certain of our customers, particularly those serving the defense industry, prefer to source interconnect products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U.S.-based suppliers like us. We believe this is important to certain customers with respect to overall quality and pricing due to global economic tensions and tariffs. We believe that being able to provide a high-quality interconnect solutions enables us to serve the evolving needs of mission-critical applications in the aerospace, defense, medical and other markets.</w:t>
      </w:r>
    </w:p>
    <w:p>
      <w:pPr>
        <w:spacing w:after="0" w:line="310" w:lineRule="exact"/>
        <w:rPr>
          <w:rFonts w:ascii="Times New Roman" w:cs="Times New Roman" w:eastAsia="Times New Roman" w:hAnsi="Times New Roman"/>
          <w:sz w:val="14"/>
          <w:szCs w:val="14"/>
          <w:color w:val="auto"/>
        </w:rPr>
      </w:pPr>
    </w:p>
    <w:p>
      <w:pPr>
        <w:jc w:val="both"/>
        <w:ind w:left="1020" w:hanging="503"/>
        <w:spacing w:after="0" w:line="267" w:lineRule="auto"/>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Extensive patent and trade secret portfolio </w:t>
      </w:r>
      <w:r>
        <w:rPr>
          <w:rFonts w:ascii="Times New Roman" w:cs="Times New Roman" w:eastAsia="Times New Roman" w:hAnsi="Times New Roman"/>
          <w:sz w:val="14"/>
          <w:szCs w:val="14"/>
          <w:color w:val="auto"/>
        </w:rPr>
        <w:t>— We believe our intellectual property portfolio, comprising a combination of existing and pending patents and trade secrets, provides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 with a significant competitive advantage in our wireless systems solutions and interconnect products. We expect the intellectual property and expertise we have developed will allow us to meet the difficult system specifications in standard, bulk CMOS processes. We believe that our intellectual property portfolio, as well as our research and development capabilities, enable us to design solutions for our customers’ complex engineering challenges and capitalize on secular growth trends.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Strategy</w:t>
      </w:r>
    </w:p>
    <w:p>
      <w:pPr>
        <w:spacing w:after="0" w:line="180" w:lineRule="exact"/>
        <w:rPr>
          <w:sz w:val="20"/>
          <w:szCs w:val="20"/>
          <w:color w:val="auto"/>
        </w:rPr>
      </w:pPr>
    </w:p>
    <w:p>
      <w:pPr>
        <w:jc w:val="both"/>
        <w:ind w:left="1020" w:hanging="503"/>
        <w:spacing w:after="0" w:line="267" w:lineRule="auto"/>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Acquire and integrate complementary assets</w:t>
      </w:r>
      <w:r>
        <w:rPr>
          <w:rFonts w:ascii="Times New Roman" w:cs="Times New Roman" w:eastAsia="Times New Roman" w:hAnsi="Times New Roman"/>
          <w:sz w:val="14"/>
          <w:szCs w:val="14"/>
          <w:color w:val="auto"/>
        </w:rPr>
        <w:t>— A key component of our growth strategy is to continually explore acquisition opportunities that can be accretive in both the short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long term or fill a potential technology gap. A critical element of our ability to execute on our acquisition strategy is the timely and successful integration of companies that we acquire, with the goal of quickly achieving sustained operational and financial benefits. We begin this integration process during the negotiation and due diligence processes for each acquisition.</w:t>
      </w:r>
    </w:p>
    <w:p>
      <w:pPr>
        <w:spacing w:after="0" w:line="137" w:lineRule="exact"/>
        <w:rPr>
          <w:rFonts w:ascii="Times New Roman" w:cs="Times New Roman" w:eastAsia="Times New Roman" w:hAnsi="Times New Roman"/>
          <w:sz w:val="14"/>
          <w:szCs w:val="14"/>
          <w:color w:val="auto"/>
        </w:rPr>
      </w:pPr>
    </w:p>
    <w:p>
      <w:pPr>
        <w:jc w:val="both"/>
        <w:ind w:left="1020" w:hanging="503"/>
        <w:spacing w:after="0" w:line="270" w:lineRule="auto"/>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Accelerate technology development and innovation </w:t>
      </w:r>
      <w:r>
        <w:rPr>
          <w:rFonts w:ascii="Times New Roman" w:cs="Times New Roman" w:eastAsia="Times New Roman" w:hAnsi="Times New Roman"/>
          <w:sz w:val="14"/>
          <w:szCs w:val="14"/>
          <w:color w:val="auto"/>
        </w:rPr>
        <w:t>— We are dedicated to developing innovative solutions for next generation consumer commercial, industrial, automotive,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medical and aerospace and defense products. In this effort, we have developed our proprietary technology, or may work with our customers’ IP, for mmWave, 2/3/4/5G communications and ICs for a variety of applications. We believe this approach will allow us to develop more efficient, cost-effective and compact products and solutions for our customers.</w:t>
      </w:r>
    </w:p>
    <w:p>
      <w:pPr>
        <w:spacing w:after="0" w:line="310"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Expand into new end markets and geographies </w:t>
      </w:r>
      <w:r>
        <w:rPr>
          <w:rFonts w:ascii="Times New Roman" w:cs="Times New Roman" w:eastAsia="Times New Roman" w:hAnsi="Times New Roman"/>
          <w:sz w:val="14"/>
          <w:szCs w:val="14"/>
          <w:color w:val="auto"/>
        </w:rPr>
        <w:t>— Our products and solutions are designed to:</w:t>
      </w:r>
    </w:p>
    <w:p>
      <w:pPr>
        <w:spacing w:after="0" w:line="182" w:lineRule="exact"/>
        <w:rPr>
          <w:rFonts w:ascii="Times New Roman" w:cs="Times New Roman" w:eastAsia="Times New Roman" w:hAnsi="Times New Roman"/>
          <w:sz w:val="14"/>
          <w:szCs w:val="14"/>
          <w:color w:val="auto"/>
        </w:rPr>
      </w:pPr>
    </w:p>
    <w:p>
      <w:pPr>
        <w:ind w:left="1540" w:hanging="254"/>
        <w:spacing w:after="0" w:line="288" w:lineRule="auto"/>
        <w:tabs>
          <w:tab w:leader="none" w:pos="1540" w:val="left"/>
        </w:tabs>
        <w:numPr>
          <w:ilvl w:val="1"/>
          <w:numId w:val="26"/>
        </w:numPr>
        <w:rPr>
          <w:rFonts w:ascii="Arial" w:cs="Arial" w:eastAsia="Arial" w:hAnsi="Arial"/>
          <w:sz w:val="14"/>
          <w:szCs w:val="14"/>
          <w:color w:val="auto"/>
        </w:rPr>
      </w:pPr>
      <w:r>
        <w:rPr>
          <w:rFonts w:ascii="Times New Roman" w:cs="Times New Roman" w:eastAsia="Times New Roman" w:hAnsi="Times New Roman"/>
          <w:sz w:val="14"/>
          <w:szCs w:val="14"/>
          <w:color w:val="auto"/>
        </w:rPr>
        <w:t>enable mmWave wireless devices to transmit and receive data at extremely high data rates which we believe will surpass those currently available in the consumer market; and</w:t>
      </w:r>
    </w:p>
    <w:p>
      <w:pPr>
        <w:spacing w:after="0" w:line="125" w:lineRule="exact"/>
        <w:rPr>
          <w:rFonts w:ascii="Arial" w:cs="Arial" w:eastAsia="Arial" w:hAnsi="Arial"/>
          <w:sz w:val="14"/>
          <w:szCs w:val="14"/>
          <w:color w:val="auto"/>
        </w:rPr>
      </w:pPr>
    </w:p>
    <w:p>
      <w:pPr>
        <w:ind w:left="1540" w:hanging="254"/>
        <w:spacing w:after="0"/>
        <w:tabs>
          <w:tab w:leader="none" w:pos="1540" w:val="left"/>
        </w:tabs>
        <w:numPr>
          <w:ilvl w:val="1"/>
          <w:numId w:val="26"/>
        </w:numPr>
        <w:rPr>
          <w:rFonts w:ascii="Arial" w:cs="Arial" w:eastAsia="Arial" w:hAnsi="Arial"/>
          <w:sz w:val="14"/>
          <w:szCs w:val="14"/>
          <w:color w:val="auto"/>
        </w:rPr>
      </w:pPr>
      <w:r>
        <w:rPr>
          <w:rFonts w:ascii="Times New Roman" w:cs="Times New Roman" w:eastAsia="Times New Roman" w:hAnsi="Times New Roman"/>
          <w:sz w:val="14"/>
          <w:szCs w:val="14"/>
          <w:color w:val="auto"/>
        </w:rPr>
        <w:t>minimize EMI in mission critical applications, including aerospace, military, defense and healthcare.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54" w:name="page55"/>
    <w:bookmarkEnd w:id="54"/>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believe our diverse product offerings, our intellectual property and the global distribution and sales channels we have established provide additional opportunities to address several new markets from data centers to emerging wireless applications worldwide.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and Operations</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currently manufacture a majority of our interconnect products and wireless systems solutions at our own facilities. We also rely on contract manufacturers for certain production processes. This strategy is intended to allow us to efficiently manage both our supply competitiveness and manufacturing utilization in order to minimize the risk associated with market fluctuations and maximize our cash flow. Due to the application of our interconnect products in national security and defense applications, our interconnect products must be manufactured in the United States, with limited exceptions.</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For mmWave wireless IC products, we expect to outsource wafer fabrication to third party wafer manufacturers, as is common in the semiconductor industry. We believe the manufacturing processes we will require are available from multiple wafer fabrication providers. We believe that the raw materials, parts and supplies used in wafer fabrication are generally available at present and will remain available in the foreseeable future. Semiconductor wafers are usually shipped to third-party contractors for device assembly and packaging, where the wafers are cut into individual die, packaged and tested before final shipment to customers. We will also rely on third parties for device assembly and packaging services.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sell our products and services directly to original equipment manufacturers (“OEMs”) or original design manufacturers (“ODMs”) and contract manufacturers through our global network of representatives and distributors. Our go-to-market strategy provides comprehensive customer coverage. We seek to collaborate with customers through the technology selection and design processes to gain design wins. We are customer and standard agnostic, allowing our solutions to be used globally and across multiple platforms and customers. We target innovative product suppliers and focus on communications technology used in mission critical and HiRel applications.</w:t>
      </w:r>
    </w:p>
    <w:p>
      <w:pPr>
        <w:spacing w:after="0" w:line="14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often work with customers that have a leading market share in a given application or solution. Given military, aerospace and healthcare product lifecycles, our products may remain in production with a customer for more than seven years with a single design.</w:t>
      </w:r>
    </w:p>
    <w:p>
      <w:pPr>
        <w:spacing w:after="0" w:line="12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strive to implement our go-to-market strategy, which is intended to provide comprehensive customer coverage through electronic component distributors and independent sales representative organizations. We also maintain a network of distributors and independent sales representative organizations, primarily in Europe and the Asia-Pacific region. As is customary in the electronic components industry, our distributors and independent sales representative organizations may also market other products that compete with ours.</w:t>
      </w:r>
    </w:p>
    <w:p>
      <w:pPr>
        <w:spacing w:after="0" w:line="135"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 sales process of electronic components and solutions typically commences with identifying and qualifying prospective customers and programs. Component suppliers like Mobix Labs must collaborate with prospective customers to work through the design funnel until production of the customers’ products. During this process, component suppliers often provide technical support directly or through the independent sales representative organizations that are concurrently providing pre-sales, post-sales and account management services to bring the customers’ products to market in a timely manner.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Our primary customers are organizations that sell product solutions for aerospace, military, defense and healthcare applications. We have also engaged with several OEMs and ODMs in an effort to secure them as customers for our mmWave ICs when those products are available for sale. If they do purchase our mmWave ICs, we expect them to purchase these products on a purchase order basis when we complete development and commence sales, which is customary in the semiconductor industry.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55" w:name="page56"/>
    <w:bookmarkEnd w:id="55"/>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For the year ended September 30, 2025, sales to Leidos Holdings, Inc. accounted for approximately 50% of our net revenues. No other customer accounted for 10% or more of our net 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80" w:lineRule="exact"/>
        <w:rPr>
          <w:sz w:val="20"/>
          <w:szCs w:val="20"/>
          <w:color w:val="auto"/>
        </w:rPr>
      </w:pPr>
    </w:p>
    <w:p>
      <w:pPr>
        <w:jc w:val="both"/>
        <w:ind w:firstLine="512"/>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Wireless Systems Solutions — </w:t>
      </w:r>
      <w:r>
        <w:rPr>
          <w:rFonts w:ascii="Times New Roman" w:cs="Times New Roman" w:eastAsia="Times New Roman" w:hAnsi="Times New Roman"/>
          <w:sz w:val="14"/>
          <w:szCs w:val="14"/>
          <w:color w:val="auto"/>
        </w:rPr>
        <w:t>The mmWave wireless market presents a significant opportunity for many existing and emerging semiconductor companies. Large companies such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Qualcomm Incorporated, NXP Semiconductors, N.V., Qorvo, Inc., Skyworks Solutions, Inc., and Analog Devices Inc. have all offered products to address the RF and mixed-signal portion of 5G radios for connected devices. There are also a number of smaller companies looking to capitalize on the mmWave market as well. We typically design our sensing and detection solutions under contracts and we primarily compete with our customers’ internal resources for design activity and with external contract manufacturers for the manufacture of products or equipment.</w:t>
      </w:r>
    </w:p>
    <w:p>
      <w:pPr>
        <w:spacing w:after="0" w:line="137" w:lineRule="exact"/>
        <w:rPr>
          <w:sz w:val="20"/>
          <w:szCs w:val="20"/>
          <w:color w:val="auto"/>
        </w:rPr>
      </w:pPr>
    </w:p>
    <w:p>
      <w:pPr>
        <w:jc w:val="both"/>
        <w:ind w:firstLine="512"/>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Interconnect Products — </w:t>
      </w:r>
      <w:r>
        <w:rPr>
          <w:rFonts w:ascii="Times New Roman" w:cs="Times New Roman" w:eastAsia="Times New Roman" w:hAnsi="Times New Roman"/>
          <w:sz w:val="14"/>
          <w:szCs w:val="14"/>
          <w:color w:val="auto"/>
        </w:rPr>
        <w:t>Multiple companies vie to provide effective solutions for mitigating electromagnetic interference. Principal companies with whom we compete include Amphenol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Corporation, Glenair, Inc., ITT Inc., and TE Connectivity Corporation. However, we believe that only a limited number of companies, including us, are approved vendors for products incorporated into certain military, defense, aerospace, and healthcare solutions.</w:t>
      </w:r>
    </w:p>
    <w:p>
      <w:pPr>
        <w:spacing w:after="0" w:line="13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Many of our competitors have greater financial, manufacturing, technical, sales and marketing resources to develop and market products that compete with our products. Some of our competitors may also have more advantageous supply or development relationships with our current and potential customers or suppliers.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At our core, we are a technology innovation company. We have invested a significant amount of time and expense into the design and development of technology for our current and anticipated future products, including mmWave wireless technology. We view our intellectual property, whether internally developed or obtained by way of an acquisition of a business, as a competitive advantage. We expect to continue to devote substantial resources to the development and acquisition of technology to be incorporated within our products and to product innovation and development.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A key strength of business is our intellectual property portfolio and engineering experience, both of which guide product development activities and our approach to maintaining, protecting and enforcing our intellectual property. We rely on our proprietary technologies, trade secrets and know-how to give us a competitive advantage. We also have a number of intellectual property registrations (including issued patents and trademark registrations), but we do not rely on any particular patent or patents for our success and have instead relied on our know-how and trade secrets.</w:t>
      </w:r>
    </w:p>
    <w:p>
      <w:pPr>
        <w:spacing w:after="0" w:line="135"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Our future success and competitive position depend in part upon our ability to obtain and maintain, protect and enforce our intellectual property and proprietary information. We rely primarily on patent, trademark, trade secret and similar laws, as well as nondisclosure and confidentiality, agreements, international treaties and other methods, to protect our intellectual property and proprietary information. In order to maintain, protect and enforce our intellectual property and proprietary information, we may be required to litigate or arbitrate to enforce our contract and intellectual property rights or to determine the validity and scope of proprietary rights of others.</w:t>
      </w:r>
    </w:p>
    <w:p>
      <w:pPr>
        <w:spacing w:after="0" w:line="14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Due to the competition in the industry in which we operate, there is frequent litigation related to allegations of infringement, misappropriation or other violations of intellectual property rights. From time to time we may receive inquiries from third parties related to their intellectual property rights and may become subject to litigation matters or disputes related to claims that we have infringed, misappropriated or violated their intellectual property rights, particularly as we expand our presence in the market and face increasing competition.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are subject to import/export controls, tariffs and other trade-related regulations and restrictions in the countries in which we do business. These controls, tariffs, regulations and restrictions (including those related to, or affected by, United States-China relations, as discussed in “</w:t>
      </w:r>
      <w:r>
        <w:rPr>
          <w:rFonts w:ascii="Times New Roman" w:cs="Times New Roman" w:eastAsia="Times New Roman" w:hAnsi="Times New Roman"/>
          <w:sz w:val="14"/>
          <w:szCs w:val="14"/>
          <w:i w:val="1"/>
          <w:iCs w:val="1"/>
          <w:color w:val="auto"/>
        </w:rPr>
        <w:t>Risk Factors — Risks Related to Our Business and Industry</w:t>
      </w:r>
      <w:r>
        <w:rPr>
          <w:rFonts w:ascii="Times New Roman" w:cs="Times New Roman" w:eastAsia="Times New Roman" w:hAnsi="Times New Roman"/>
          <w:sz w:val="14"/>
          <w:szCs w:val="14"/>
          <w:color w:val="auto"/>
        </w:rPr>
        <w:t>”) have had, and we believe may continue to have, a material impact on our business, including our ability to manufacture or sell products or source components.</w:t>
      </w:r>
    </w:p>
    <w:p>
      <w:pPr>
        <w:spacing w:after="0" w:line="13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Government regulations are subject to change in the future, and accordingly we are unable to assess the possible effect of compliance with future requirements or whether our compliance with such regulations will materially impact our business, results of operations or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Our people are critical to success and the pursuit of our goals and growth strategy. We strive to attract and retain team members who are driven to innovate and who bring diverse perspectives and skills. As of September 30, 2025, we had a total of 46 employees in the United States, of whom eleven were primarily engaged in research and development, two were primarily engaged in sales and marketing, fifteen were primarily engaged in manufacturing, and eighteen were primarily engaged in general and administrative functions. None of our employees are covered by a collective bargaining agreement or represented by a labor union. Additionally, from time to time we utilize third-party contractors to supplement our workforce.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Our headquarters, consisting of approximately 2,713 square feet of office space in Irvine, California, is leased through March 2027. We also lease a 6,149 square foot facility in Irvine, California which we use principally for the design and production of our electromagnetic interference filtering products. We believe that our current facilities are sufficient to support our operations and growth plans and that additional space, if needed, will be available on commercially reasonable terms.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On June 16, 2023, the law firm Rutan &amp; Tucker, LLP (“Rutan”) filed a lawsuit in Orange County Superior Court against us to recover approximately $700,000 in legal fees allegedly owed to Rutan by Cosemi, its former client, which fees were incurred in connection with our acquisition of Cosemi in 2021. On January 18, 2024, Rutan filed a First Amended Complaint that also names James Peterson as a defendant, based on his former role at Cosemi. We are vigorously defending this lawsuit. We are unable to predict the final outcome of this matter, but we do not believe that it will have a material impact on our results of operations or financial position.</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On June 25, 2024, Creditors Adjustment Bureau, Inc. (“CAB”) filed a lawsuit against us in Orange County Superior Court to recover a purported debt of approximately $132,000, which CAB received per assignment from Electro Rent Corporation. On September 24, 2024, default was entered against us. On November 7, 2024, we filed a Motion to Set Aside Entry of Default, which is set for hearing on February 21, 2025. On November 15, 2024, the Court issued a minute order declining to sign CAB’s request for a default judgment. We are vigorously defending this lawsuit. We are unable to predict the final outcome of this matter, but we do not believe that it will have a material impact on our results of operations or financial position.</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On March 13, 2026, Ydens Holdings, LLC and related individual plaintiffs filed a lawsuit in Orange County Superior Court against us and our subsidiary EMI Solutions, asserting breach of contract and related claims arising from the September 2022 Agreement and Plan of Merger under which we acquired EMI Solutions. The plaintiffs seek damages. The Merger Agreement contains a mandatory arbitration provision, and we intend to move to compel arbitration and to defend the matter vigorously. We are unable to predict final outcome of this matter, but we do not currently believe that it will have a material adverse effect on our results of operation or financial position.</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From time to time, we have been, and may continue to be, subject to various claims, lawsuits and other legal and administrative proceedings that arise in the ordinary course of business. Some of these claims, lawsuits and other proceedings may range in complexity and result in substantial uncertainty, damages, fines, penalties, non-monetary sanctions or other relief. However, we do not believe any such claims, lawsuits, or proceedings currently pending, individually or in the aggregate, would be material to our business or likely to result in a material adverse effect on our future operating results, financial condition or cash flows.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sets forth certain information, as of the date of this prospectus, concerning each of our executive officers and directors.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6"/>
                <w:szCs w:val="16"/>
                <w:color w:val="auto"/>
              </w:rPr>
            </w:pPr>
          </w:p>
        </w:tc>
        <w:tc>
          <w:tcPr>
            <w:tcW w:w="63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47"/>
        </w:trPr>
        <w:tc>
          <w:tcPr>
            <w:tcW w:w="362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Executive Officers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300" w:type="dxa"/>
            <w:vAlign w:val="bottom"/>
          </w:tcPr>
          <w:p>
            <w:pPr>
              <w:spacing w:after="0"/>
              <w:rPr>
                <w:sz w:val="12"/>
                <w:szCs w:val="12"/>
                <w:color w:val="auto"/>
              </w:rPr>
            </w:pP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Philip Sansone</w:t>
            </w:r>
          </w:p>
        </w:tc>
        <w:tc>
          <w:tcPr>
            <w:tcW w:w="1140" w:type="dxa"/>
            <w:vAlign w:val="bottom"/>
            <w:gridSpan w:val="2"/>
          </w:tcPr>
          <w:p>
            <w:pPr>
              <w:jc w:val="right"/>
              <w:ind w:right="689"/>
              <w:spacing w:after="0"/>
              <w:rPr>
                <w:sz w:val="20"/>
                <w:szCs w:val="20"/>
                <w:color w:val="auto"/>
              </w:rPr>
            </w:pPr>
            <w:r>
              <w:rPr>
                <w:rFonts w:ascii="Times New Roman" w:cs="Times New Roman" w:eastAsia="Times New Roman" w:hAnsi="Times New Roman"/>
                <w:sz w:val="14"/>
                <w:szCs w:val="14"/>
                <w:color w:val="auto"/>
              </w:rPr>
              <w:t>66</w:t>
            </w:r>
          </w:p>
        </w:tc>
        <w:tc>
          <w:tcPr>
            <w:tcW w:w="2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Keyvan Samini</w:t>
            </w:r>
          </w:p>
        </w:tc>
        <w:tc>
          <w:tcPr>
            <w:tcW w:w="1140" w:type="dxa"/>
            <w:vAlign w:val="bottom"/>
            <w:gridSpan w:val="2"/>
          </w:tcPr>
          <w:p>
            <w:pPr>
              <w:jc w:val="right"/>
              <w:ind w:right="689"/>
              <w:spacing w:after="0"/>
              <w:rPr>
                <w:sz w:val="20"/>
                <w:szCs w:val="20"/>
                <w:color w:val="auto"/>
              </w:rPr>
            </w:pPr>
            <w:r>
              <w:rPr>
                <w:rFonts w:ascii="Times New Roman" w:cs="Times New Roman" w:eastAsia="Times New Roman" w:hAnsi="Times New Roman"/>
                <w:sz w:val="14"/>
                <w:szCs w:val="14"/>
                <w:color w:val="auto"/>
              </w:rPr>
              <w:t>59</w:t>
            </w:r>
          </w:p>
        </w:tc>
        <w:tc>
          <w:tcPr>
            <w:tcW w:w="2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Co-founder, President, Chief Financial Officer and Director</w:t>
            </w:r>
          </w:p>
        </w:tc>
      </w:tr>
      <w:tr>
        <w:trPr>
          <w:trHeight w:val="18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James Aralis</w:t>
            </w:r>
          </w:p>
        </w:tc>
        <w:tc>
          <w:tcPr>
            <w:tcW w:w="1140" w:type="dxa"/>
            <w:vAlign w:val="bottom"/>
            <w:gridSpan w:val="2"/>
          </w:tcPr>
          <w:p>
            <w:pPr>
              <w:jc w:val="right"/>
              <w:ind w:right="689"/>
              <w:spacing w:after="0"/>
              <w:rPr>
                <w:sz w:val="20"/>
                <w:szCs w:val="20"/>
                <w:color w:val="auto"/>
              </w:rPr>
            </w:pPr>
            <w:r>
              <w:rPr>
                <w:rFonts w:ascii="Times New Roman" w:cs="Times New Roman" w:eastAsia="Times New Roman" w:hAnsi="Times New Roman"/>
                <w:sz w:val="14"/>
                <w:szCs w:val="14"/>
                <w:color w:val="auto"/>
              </w:rPr>
              <w:t>71</w:t>
            </w:r>
          </w:p>
        </w:tc>
        <w:tc>
          <w:tcPr>
            <w:tcW w:w="2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Chief Technology Officer</w:t>
            </w:r>
          </w:p>
        </w:tc>
      </w:tr>
      <w:tr>
        <w:trPr>
          <w:trHeight w:val="327"/>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00" w:type="dxa"/>
            <w:vAlign w:val="bottom"/>
          </w:tcPr>
          <w:p>
            <w:pPr>
              <w:spacing w:after="0"/>
              <w:rPr>
                <w:sz w:val="24"/>
                <w:szCs w:val="24"/>
                <w:color w:val="auto"/>
              </w:rPr>
            </w:pP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James Peterson</w:t>
            </w:r>
          </w:p>
        </w:tc>
        <w:tc>
          <w:tcPr>
            <w:tcW w:w="1140" w:type="dxa"/>
            <w:vAlign w:val="bottom"/>
            <w:gridSpan w:val="2"/>
          </w:tcPr>
          <w:p>
            <w:pPr>
              <w:jc w:val="right"/>
              <w:ind w:right="689"/>
              <w:spacing w:after="0"/>
              <w:rPr>
                <w:sz w:val="20"/>
                <w:szCs w:val="20"/>
                <w:color w:val="auto"/>
              </w:rPr>
            </w:pPr>
            <w:r>
              <w:rPr>
                <w:rFonts w:ascii="Times New Roman" w:cs="Times New Roman" w:eastAsia="Times New Roman" w:hAnsi="Times New Roman"/>
                <w:sz w:val="14"/>
                <w:szCs w:val="14"/>
                <w:color w:val="auto"/>
              </w:rPr>
              <w:t>71</w:t>
            </w:r>
          </w:p>
        </w:tc>
        <w:tc>
          <w:tcPr>
            <w:tcW w:w="2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Co-founder, Director</w:t>
            </w: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David Aldrich</w:t>
            </w:r>
          </w:p>
        </w:tc>
        <w:tc>
          <w:tcPr>
            <w:tcW w:w="1140" w:type="dxa"/>
            <w:vAlign w:val="bottom"/>
            <w:gridSpan w:val="2"/>
          </w:tcPr>
          <w:p>
            <w:pPr>
              <w:jc w:val="right"/>
              <w:ind w:right="689"/>
              <w:spacing w:after="0"/>
              <w:rPr>
                <w:sz w:val="20"/>
                <w:szCs w:val="20"/>
                <w:color w:val="auto"/>
              </w:rPr>
            </w:pPr>
            <w:r>
              <w:rPr>
                <w:rFonts w:ascii="Times New Roman" w:cs="Times New Roman" w:eastAsia="Times New Roman" w:hAnsi="Times New Roman"/>
                <w:sz w:val="14"/>
                <w:szCs w:val="14"/>
                <w:color w:val="auto"/>
              </w:rPr>
              <w:t>69</w:t>
            </w:r>
          </w:p>
        </w:tc>
        <w:tc>
          <w:tcPr>
            <w:tcW w:w="2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Kurt Busch</w:t>
            </w:r>
          </w:p>
        </w:tc>
        <w:tc>
          <w:tcPr>
            <w:tcW w:w="1140" w:type="dxa"/>
            <w:vAlign w:val="bottom"/>
            <w:gridSpan w:val="2"/>
          </w:tcPr>
          <w:p>
            <w:pPr>
              <w:jc w:val="right"/>
              <w:ind w:right="689"/>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William Carpou</w:t>
            </w:r>
          </w:p>
        </w:tc>
        <w:tc>
          <w:tcPr>
            <w:tcW w:w="1140" w:type="dxa"/>
            <w:vAlign w:val="bottom"/>
            <w:gridSpan w:val="2"/>
          </w:tcPr>
          <w:p>
            <w:pPr>
              <w:jc w:val="right"/>
              <w:ind w:right="689"/>
              <w:spacing w:after="0"/>
              <w:rPr>
                <w:sz w:val="20"/>
                <w:szCs w:val="20"/>
                <w:color w:val="auto"/>
              </w:rPr>
            </w:pPr>
            <w:r>
              <w:rPr>
                <w:rFonts w:ascii="Times New Roman" w:cs="Times New Roman" w:eastAsia="Times New Roman" w:hAnsi="Times New Roman"/>
                <w:sz w:val="14"/>
                <w:szCs w:val="14"/>
                <w:color w:val="auto"/>
              </w:rPr>
              <w:t>72</w:t>
            </w:r>
          </w:p>
        </w:tc>
        <w:tc>
          <w:tcPr>
            <w:tcW w:w="2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Frederick Goerner</w:t>
            </w:r>
          </w:p>
        </w:tc>
        <w:tc>
          <w:tcPr>
            <w:tcW w:w="1140" w:type="dxa"/>
            <w:vAlign w:val="bottom"/>
            <w:gridSpan w:val="2"/>
          </w:tcPr>
          <w:p>
            <w:pPr>
              <w:jc w:val="right"/>
              <w:ind w:right="689"/>
              <w:spacing w:after="0"/>
              <w:rPr>
                <w:sz w:val="20"/>
                <w:szCs w:val="20"/>
                <w:color w:val="auto"/>
              </w:rPr>
            </w:pPr>
            <w:r>
              <w:rPr>
                <w:rFonts w:ascii="Times New Roman" w:cs="Times New Roman" w:eastAsia="Times New Roman" w:hAnsi="Times New Roman"/>
                <w:sz w:val="14"/>
                <w:szCs w:val="14"/>
                <w:color w:val="auto"/>
              </w:rPr>
              <w:t>78</w:t>
            </w:r>
          </w:p>
        </w:tc>
        <w:tc>
          <w:tcPr>
            <w:tcW w:w="2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Co-founder, Director</w:t>
            </w:r>
          </w:p>
        </w:tc>
      </w:tr>
      <w:tr>
        <w:trPr>
          <w:trHeight w:val="18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Michael Long</w:t>
            </w:r>
          </w:p>
        </w:tc>
        <w:tc>
          <w:tcPr>
            <w:tcW w:w="1140" w:type="dxa"/>
            <w:vAlign w:val="bottom"/>
            <w:gridSpan w:val="2"/>
          </w:tcPr>
          <w:p>
            <w:pPr>
              <w:jc w:val="right"/>
              <w:ind w:right="689"/>
              <w:spacing w:after="0"/>
              <w:rPr>
                <w:sz w:val="20"/>
                <w:szCs w:val="20"/>
                <w:color w:val="auto"/>
              </w:rPr>
            </w:pPr>
            <w:r>
              <w:rPr>
                <w:rFonts w:ascii="Times New Roman" w:cs="Times New Roman" w:eastAsia="Times New Roman" w:hAnsi="Times New Roman"/>
                <w:sz w:val="14"/>
                <w:szCs w:val="14"/>
                <w:color w:val="auto"/>
              </w:rPr>
              <w:t>67</w:t>
            </w:r>
          </w:p>
        </w:tc>
        <w:tc>
          <w:tcPr>
            <w:tcW w:w="2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153" w:lineRule="exact"/>
        <w:rPr>
          <w:sz w:val="20"/>
          <w:szCs w:val="20"/>
          <w:color w:val="auto"/>
        </w:rPr>
      </w:pPr>
    </w:p>
    <w:p>
      <w:pPr>
        <w:jc w:val="both"/>
        <w:ind w:firstLine="512"/>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Philip Sansone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Philip Sansone was appointed as Chief Executive Officer and as a director in July 2025. Mr. Sansone, served as Interim Chief Executive Officer from April 2025 to July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2025 and as Vice President of Worldwide Sales at the Company from September 2021 to April 2025. Prior to his service at the Company, Mr. Sansone served as Vice President of Global Distribution at MaxLinear, a provider of radio frequency, analog, digital and mixed-signal integrated circuits, from April 2019 to September 2021. Mr. Sansone received his bachelor’s degree in business administration from the New York Institute of Technology and brings decades of worldwide sales and distribution experience to the Company. We believe that Mr. Sansone is qualified to serve as a member of the Board because of his experience and familiarity with the industry.</w:t>
      </w:r>
    </w:p>
    <w:p>
      <w:pPr>
        <w:spacing w:after="0" w:line="139"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Keyvan Samini</w:t>
      </w:r>
      <w:r>
        <w:rPr>
          <w:rFonts w:ascii="Times New Roman" w:cs="Times New Roman" w:eastAsia="Times New Roman" w:hAnsi="Times New Roman"/>
          <w:sz w:val="14"/>
          <w:szCs w:val="14"/>
          <w:color w:val="auto"/>
        </w:rPr>
        <w:t>. Keyvan Samini is a co-founder of the Company and has served as our President since August 2022 and as a director since December 2023. He has also served as our Chief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Financial Officer since September 2020 and as our General Counsel since August 2022. From June 2014 to March 2022, Mr. Samini served as Director of Pitchtime, Inc., a software development company dedicated to developing wireless communications technology to help businesses better communicate with customers from a single platform. He also served as Chief Executive Officer of Pitchtime, Inc. from 2016 to July 2020. Mr. Samini has also served in leadership positions at RFaxis, Inc., a company that developed disruptive semiconductor technology, from 2008 to 2016. Mr. Samini studied at the University of Wisconsin — Madison, graduating with a Bachelor of Science degree in economics and mathematics. He later earned his Master of Liberal Arts, Finance at Harvard University, Masters of Business Administration from University of Southern California Marshall School of Business and Juris Doctor from Ohio State University Moritz College of Law. We believe that Mr. Samini is qualified to serve as a member of the Board because of his extensive experience in the semiconductor and software industries, as well as his experience scaling growth in technology organizations and working with institutional investors in portfolio companies.</w:t>
      </w:r>
    </w:p>
    <w:p>
      <w:pPr>
        <w:spacing w:after="0" w:line="141"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James Aralis</w:t>
      </w:r>
      <w:r>
        <w:rPr>
          <w:rFonts w:ascii="Times New Roman" w:cs="Times New Roman" w:eastAsia="Times New Roman" w:hAnsi="Times New Roman"/>
          <w:sz w:val="14"/>
          <w:szCs w:val="14"/>
          <w:color w:val="auto"/>
        </w:rPr>
        <w:t>. James Aralis has served as our Chief Technology Officer since May 2022. Mr. Aralis has spent more than 40 years in the development of analog, digital, and mixed signal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integrated circuits, systems, and software/firmware. Mr. Aralis has also contributed to the development of custom analog device and process technologies and CAD systems. From January 2007 to June 2018, he also served as Chief Technology Officer, as well as senior vice president of advanced development, of Microsemi, now Microchip Technology Inc., a technology company specializing in semiconductor and systems solutions for communications, defense and security, aerospace and industrial markets. Since retiring in June 2018, Mr. Aralis has spent his time consulting, advising and serving on boards of various companies and philanthropic organizations. Mr. Aralis studied at University of California, Los Angeles, graduating with a Bachelor of Science in Math Applied Science and Physics and a Master of Science in Electrical Engineering. Mr. Aralis holds numerous patents and publications and has given technical and keynote presentations in many conferences across the world. We believe that Mr. Aralis is qualified to serve as a member of the Board because of his experience in the industry, specifically with regard to the development of analog, digital and mixed signal integrated circuits, systems and software/firmware.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p>
      <w:pPr>
        <w:spacing w:after="0" w:line="180" w:lineRule="exact"/>
        <w:rPr>
          <w:sz w:val="20"/>
          <w:szCs w:val="20"/>
          <w:color w:val="auto"/>
        </w:rPr>
      </w:pPr>
    </w:p>
    <w:p>
      <w:pPr>
        <w:jc w:val="both"/>
        <w:ind w:firstLine="512"/>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James Peterson</w:t>
      </w:r>
      <w:r>
        <w:rPr>
          <w:rFonts w:ascii="Times New Roman" w:cs="Times New Roman" w:eastAsia="Times New Roman" w:hAnsi="Times New Roman"/>
          <w:sz w:val="14"/>
          <w:szCs w:val="14"/>
          <w:color w:val="auto"/>
        </w:rPr>
        <w:t>. James Peterson is a co-founder of the Company and has served as a member of our Board since February 2021 and as the Executive Chairman of the Board since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November 2021. From 2000 to 2018, Mr. Peterson served as Chief Executive Officer and Chairman of Microsemi Corporation, now Microchip Technology Inc., a technology company specializing in semiconductor and systems solutions for communications, defense and security, aerospace and industrial markets. We believe that Mr. Peterson is qualified to serve as a member of the Board because of his experience as a former president and chief executive officer of a previously publicly-traded company prominent in the semiconductor industry.</w:t>
      </w:r>
    </w:p>
    <w:p>
      <w:pPr>
        <w:spacing w:after="0" w:line="134" w:lineRule="exact"/>
        <w:rPr>
          <w:sz w:val="20"/>
          <w:szCs w:val="20"/>
          <w:color w:val="auto"/>
        </w:rPr>
      </w:pPr>
    </w:p>
    <w:p>
      <w:pPr>
        <w:jc w:val="both"/>
        <w:ind w:firstLine="512"/>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David Aldrich</w:t>
      </w:r>
      <w:r>
        <w:rPr>
          <w:rFonts w:ascii="Times New Roman" w:cs="Times New Roman" w:eastAsia="Times New Roman" w:hAnsi="Times New Roman"/>
          <w:sz w:val="14"/>
          <w:szCs w:val="14"/>
          <w:color w:val="auto"/>
        </w:rPr>
        <w:t>. David Aldrich has served as a member of our Board since February 2021. Mr. Aldrich also currently serves on the Boards of Allegro MicroSystems Inc., indie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Semiconductor and Belden. From 2002 to 2016, Mr. Aldrich was the Chief Executive Officer of Skyworks, a developer of high-performance mobile communications solutions. He later served as Chairman of Skyworks from 2018 to 2021. Mr. Aldrich studied at Providence College, graduating with a Bachelor of Arts degree in political science. He later earned his Masters of Business Administration from the University of Rhode Island. He is a past recipient of the Ernst &amp; Young New England Entrepreneur of the Year Award in the semiconductor category and was named CEO of the Year by the Massachusetts Technology Leadership Council. We believe that Mr. Aldrich is qualified to serve as a member of the Board because of his various high-level positions at companies within the semiconductor and communications industry.</w:t>
      </w:r>
    </w:p>
    <w:p>
      <w:pPr>
        <w:spacing w:after="0" w:line="140"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Kurt Busch</w:t>
      </w:r>
      <w:r>
        <w:rPr>
          <w:rFonts w:ascii="Times New Roman" w:cs="Times New Roman" w:eastAsia="Times New Roman" w:hAnsi="Times New Roman"/>
          <w:sz w:val="14"/>
          <w:szCs w:val="14"/>
          <w:color w:val="auto"/>
        </w:rPr>
        <w:t>. Kurt Busch has served as a member of our Board since February 2021. Mr. Busch is also the co-Founder and Chief Executive Officer of Syntiant Corp., an AI company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specializing in delivering end-to-end deep learning solutions for always-on applications. From November 2015 until April 2017, Mr. Busch served as the Chief Executive Officer at Busch Toschi, LLC, advising technology companies regarding sales, marketing, business development and strategic options. From August 2011 to 2015, Mr. Busch served as President, Chief Executive Officer and member of the Board at Lantronix, a global provider of secure data access and management solutions for Internet of Things and information technology. Mr. Busch has also served in leadership positions at Mindspeed Technologies, Inc. from October 2006 to August 2011. Mr. Busch studied at the University of California at Irvine, graduating with a Bachelor of Science degree in electrical and computer engineering and a Bachelor of Science degree in biological science. He later earned his Masters of Business Administration from Santa Clara University in 1998. In 2021, Mr. Busch was named Ernst &amp; Young’s Entrepreneur of the Year 2021 Pacific Southwest — Orange County. We believe that Mr. Busch is qualified to serve as a member of the Board because of his extensive industry experience, coupled with his previous high-level positions in the industry.</w:t>
      </w:r>
    </w:p>
    <w:p>
      <w:pPr>
        <w:spacing w:after="0" w:line="141" w:lineRule="exact"/>
        <w:rPr>
          <w:sz w:val="20"/>
          <w:szCs w:val="20"/>
          <w:color w:val="auto"/>
        </w:rPr>
      </w:pPr>
    </w:p>
    <w:p>
      <w:pPr>
        <w:jc w:val="both"/>
        <w:ind w:firstLine="512"/>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William Carpou</w:t>
      </w:r>
      <w:r>
        <w:rPr>
          <w:rFonts w:ascii="Times New Roman" w:cs="Times New Roman" w:eastAsia="Times New Roman" w:hAnsi="Times New Roman"/>
          <w:sz w:val="14"/>
          <w:szCs w:val="14"/>
          <w:color w:val="auto"/>
        </w:rPr>
        <w:t>. William Carpou has been a Board member since June 2021. He has served as the CEO of Octane, a technology accelerator in California focused on fostering technology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industry growth and creating new companies and jobs in Orange County, since May 2015. Prior to Octane, Mr. Carpou was the managing partner of TheGreyGroup where Kaplan Performance Solutions was their top client, RGIS (a Blackstone portfolio company), and Profit Recovery Partners. He also serves on the Board of Directors of Priveterra Acquisition Corp II, is Chairman of Octane Enterprise Solutions, the President’s Advisory Council of Villanova University, and a member of the Chief Executive Roundtable at the University of California, Irvine. Additionally, he is the founding general partner of Visionary Ventures and Elevation Ventures. Mr. Carpou holds a Bachelor of Science degree in marketing from Villanova University. His extensive experience in sales, private equity, and various senior executive positions, along with his philanthropic efforts, make him a valuable member of the Board.</w:t>
      </w:r>
    </w:p>
    <w:p>
      <w:pPr>
        <w:spacing w:after="0" w:line="140" w:lineRule="exact"/>
        <w:rPr>
          <w:sz w:val="20"/>
          <w:szCs w:val="20"/>
          <w:color w:val="auto"/>
        </w:rPr>
      </w:pPr>
    </w:p>
    <w:p>
      <w:pPr>
        <w:jc w:val="both"/>
        <w:ind w:firstLine="512"/>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Frederick Goerner</w:t>
      </w:r>
      <w:r>
        <w:rPr>
          <w:rFonts w:ascii="Times New Roman" w:cs="Times New Roman" w:eastAsia="Times New Roman" w:hAnsi="Times New Roman"/>
          <w:sz w:val="14"/>
          <w:szCs w:val="14"/>
          <w:color w:val="auto"/>
        </w:rPr>
        <w:t>. Frederick Goerner is a co-founder of the Company and has served as a member of our Board since February 2021. From April 2011 to March 2018, Mr. Goerner served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Senior Vice President of Worldwide Sales of Microsemi Corporation, now Microchip Technology Inc., a technology company specializing in semiconductor and systems solutions for communications, defense and security, aerospace and industrial markets. Mr. Goerner also had leadership roles at Texas Instruments, Transdimension Inc. and Oxford Semiconductor Inc. Mr. Goerner studied at the University of Buffalo, graduating with a Bachelor of Science degree in electrical engineering. We believe that Mr. Goerner is qualified to serve as a member of the Board because of his experience in the industry, as well as his various leadership roles at different companies.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59" w:name="page60"/>
    <w:bookmarkEnd w:id="59"/>
    <w:p>
      <w:pPr>
        <w:jc w:val="both"/>
        <w:ind w:firstLine="512"/>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Michael Long</w:t>
      </w:r>
      <w:r>
        <w:rPr>
          <w:rFonts w:ascii="Times New Roman" w:cs="Times New Roman" w:eastAsia="Times New Roman" w:hAnsi="Times New Roman"/>
          <w:sz w:val="14"/>
          <w:szCs w:val="14"/>
          <w:color w:val="auto"/>
        </w:rPr>
        <w:t>. Michael Long has served as a member of our Board since January 22, 2024. From May 2009 until May 2022 was the former chairman, president and chief executive officer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Arrow Electronics, Inc. (“Arrow”). Prior to being named chief executive officer in May 2009, Mr. Long served as president and chief operating officer of Arrow, with responsibility for all of the company’s operations and business units. Before that, Mr. Long served as senior vice president of Arrow and president of the company’s Global Components business with responsibility for overseeing Arrow’s semiconductor, passive, electromechanical and connector products and services businesses worldwide. Mr. Long had been employed by Arrow since 1991 when Arrow merged with Schweber Electronics, a company where he held various leadership roles from 1983 to 1990. In 1994, Mr. Long was president, Capstone Electronics, an Arrow company, and from 1995 to 1999, he was president of Gates/Arrow Distributing. From 1998 to 2005, Mr. Long was president and chief operating officer of Arrow North American Computer Products (now Arrow Enterprise Computing Solutions). Mr. Long also served as president of North America and Asia/Pacific components. Mr. Long holds a bachelor’s degree in business administration from the University of Wisconsin and attended the Milwaukee School of Engineering. He is active in the Young Presidents’ Organization, a global peer networking group. Mr. Long served on the board of directors of AmerisourceBergen from May 2006 until March 2023 and currently serves on the boards of the following nonprofit organizations: UC Health and the National Western Stock Show.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18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In accordance with our Charter, the Board is divided into three classes with only one class of directors being elected in each year and each class serving a three-year term. 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an equal number of directors.</w:t>
      </w:r>
    </w:p>
    <w:p>
      <w:pPr>
        <w:spacing w:after="0" w:line="140"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On March 3, 2025, Fabrizio Battaglia, Kurt Busch and William Carpou were elected to serve as Class I directors with a term expiring at the Company’s 2028 annual meeting of stockholders. On December 18, 2023, (i) David Aldrich, Frederick Goerner and Keyvan Samini were elected to serve as Class II directors with a term expiring at the Company’s 2026 annual meeting of stockholders and (ii) Dr. Jiong Ma and James Peterson were elected to serve as Class III directors with a term expiring at the Company’s 2027 annual meeting of stockholders. On January 22, 2024, we and Dr. Ma entered into a Resignation and Release Agreement, pursuant to which Dr. Ma resigned from the Board as a director, effective January 22, 2024. We appointed Mr. Michael Long to serve as a Class III director of the Board for a term expiring at the 2027 annual meeting of stockholders. On July 25, 2025, Fabrizio Battaglia stepped down from his role as Director, and Philip Sansone was appointed to serve as a Director.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are no family relationships among any of the executive officers or directors of the Board.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8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The Board has determined, based on information provided by each director concerning his background, employment and affiliations, that Messrs. Aldrich, Busch, Carpou, Goerner and Long do not have relationships that would interfere with the exercise of independent judgment in carrying out the responsibilities of a director and that each of these directors is “independent” as that term is defined under the Nasdaq listing standards. In making these determinations, the Board considered the current and prior relationships that each non-employee director has with the Company and all other facts and circumstances the Board deemed relevant in determining their independence, including the beneficial ownership of our securities by each non-employee director and the transactions described in the section titled “</w:t>
      </w:r>
      <w:r>
        <w:rPr>
          <w:rFonts w:ascii="Times New Roman" w:cs="Times New Roman" w:eastAsia="Times New Roman" w:hAnsi="Times New Roman"/>
          <w:sz w:val="14"/>
          <w:szCs w:val="14"/>
          <w:i w:val="1"/>
          <w:iCs w:val="1"/>
          <w:color w:val="auto"/>
        </w:rPr>
        <w:t>Certain Mobix Labs Relationships and Related Person Transactions</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i w:val="1"/>
          <w:iCs w:val="1"/>
          <w:color w:val="auto"/>
        </w:rPr>
        <w:t>Committees of the Board of Directors</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Board currently has three standing committees: the audit committee, the compensation committee and a nominating committee. The Board has adopted a charter for each committee, each of which is available on the investor relations portion of our website. Members will serve on these committees until their resignation or until otherwise determined by the Board. The Board may establish other committees as it deems necessary or appropriate from time to time.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Director</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tc>
        <w:tc>
          <w:tcPr>
            <w:tcW w:w="2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Nominating Committee</w:t>
            </w:r>
          </w:p>
        </w:tc>
      </w:tr>
      <w:tr>
        <w:trPr>
          <w:trHeight w:val="143"/>
        </w:trPr>
        <w:tc>
          <w:tcPr>
            <w:tcW w:w="362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b w:val="1"/>
                <w:bCs w:val="1"/>
                <w:i w:val="1"/>
                <w:iCs w:val="1"/>
                <w:color w:val="auto"/>
              </w:rPr>
              <w:t>David Aldrich</w:t>
            </w:r>
          </w:p>
        </w:tc>
        <w:tc>
          <w:tcPr>
            <w:tcW w:w="240" w:type="dxa"/>
            <w:vAlign w:val="bottom"/>
          </w:tcPr>
          <w:p>
            <w:pPr>
              <w:spacing w:after="0"/>
              <w:rPr>
                <w:sz w:val="12"/>
                <w:szCs w:val="12"/>
                <w:color w:val="auto"/>
              </w:rPr>
            </w:pPr>
          </w:p>
        </w:tc>
        <w:tc>
          <w:tcPr>
            <w:tcW w:w="248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224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Member</w:t>
            </w:r>
          </w:p>
        </w:tc>
        <w:tc>
          <w:tcPr>
            <w:tcW w:w="240" w:type="dxa"/>
            <w:vAlign w:val="bottom"/>
          </w:tcPr>
          <w:p>
            <w:pPr>
              <w:spacing w:after="0"/>
              <w:rPr>
                <w:sz w:val="12"/>
                <w:szCs w:val="12"/>
                <w:color w:val="auto"/>
              </w:rPr>
            </w:pPr>
          </w:p>
        </w:tc>
        <w:tc>
          <w:tcPr>
            <w:tcW w:w="224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Chair</w:t>
            </w:r>
          </w:p>
        </w:tc>
      </w:tr>
      <w:tr>
        <w:trPr>
          <w:trHeight w:val="171"/>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Kurt Busch</w:t>
            </w:r>
          </w:p>
        </w:tc>
        <w:tc>
          <w:tcPr>
            <w:tcW w:w="2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71"/>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William Carpou</w:t>
            </w:r>
          </w:p>
        </w:tc>
        <w:tc>
          <w:tcPr>
            <w:tcW w:w="2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Chair and Financial Expert</w:t>
            </w:r>
          </w:p>
        </w:tc>
        <w:tc>
          <w:tcPr>
            <w:tcW w:w="2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Member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Member</w:t>
            </w:r>
          </w:p>
        </w:tc>
      </w:tr>
      <w:tr>
        <w:trPr>
          <w:trHeight w:val="189"/>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Frederick Goerner</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Co-founder, Member</w:t>
            </w:r>
          </w:p>
        </w:tc>
        <w:tc>
          <w:tcPr>
            <w:tcW w:w="2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Chair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Audit Committee</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audit committee consists of William Carpou and Frederick Goerner, with William Carpou serving as chair and as the “audit committee financial expert” within the meaning of the SEC regulations. The Board determined that each of Messrs. William Carpou and Frederick Goerner meet the definition of “independent director” for purposes of serving on the audit committee under Rule 10A-3 of the Exchange Act and the Nasdaq listing standards and also meets the financial literacy requirements of the Nasdaq listing standards.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primary functions of the audit committee include:</w:t>
      </w:r>
    </w:p>
    <w:p>
      <w:pPr>
        <w:spacing w:after="0" w:line="180"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helping the Board oversee our corporate accounting and financial reporting processes;</w:t>
      </w:r>
    </w:p>
    <w:p>
      <w:pPr>
        <w:spacing w:after="0" w:line="23"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the selection, engagement, qualifications, independence, and performance of a qualified firm to serve as the independent registered public accounting firm to audit our financial statements;</w:t>
      </w:r>
    </w:p>
    <w:p>
      <w:pPr>
        <w:ind w:left="1020" w:hanging="503"/>
        <w:spacing w:after="0" w:line="254" w:lineRule="auto"/>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the scope and results of the audit with the independent registered public accounting firm, and reviewing, with management and the independent accountants, our interim and year-end operating results;</w:t>
      </w:r>
    </w:p>
    <w:p>
      <w:pPr>
        <w:ind w:left="1020" w:hanging="503"/>
        <w:spacing w:after="0" w:line="254" w:lineRule="auto"/>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p>
      <w:pPr>
        <w:ind w:left="1020" w:hanging="503"/>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procedures for employees to submit concerns anonymously about questionable accounting or audit matters;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our policies on risk assessment and risk management;</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compliance with our code of business conduct and ethics;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related person transactions; and</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or, as required, pre-approving audit and permissible non-audit services to be performed by the independent registered public accounting firm.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Committee</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compensation committee consists of Frederick Goerner, David Aldrich and William Carpou, with Frederick Goerner serving as chair. The Board determined that Frederick Goerner, David Aldrich and William Carpou each meet the definition of “independent director” for purposes of serving on the compensation committee under the Nasdaq listing standards, including the heightened independence standards for members of a compensation committee.</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primary purpose of our compensation committee is to discharge the responsibilities of the Board in overseeing our compensation policies, plans and programs and to review and determine the compensation to be paid to our executive officers, directors and other senior management, as appropriate. The principal functions of the compensation committee are expected to include, among other things:</w:t>
      </w:r>
    </w:p>
    <w:p>
      <w:pPr>
        <w:spacing w:after="0" w:line="135" w:lineRule="exact"/>
        <w:rPr>
          <w:sz w:val="20"/>
          <w:szCs w:val="20"/>
          <w:color w:val="auto"/>
        </w:rPr>
      </w:pPr>
    </w:p>
    <w:p>
      <w:pPr>
        <w:ind w:left="1020" w:hanging="503"/>
        <w:spacing w:after="0" w:line="289"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approving and determining, or making recommendations to the Board regarding, the compensation of our chief executive officer, other executive officers and senior management;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61" w:name="page62"/>
    <w:bookmarkEnd w:id="61"/>
    <w:p>
      <w:pPr>
        <w:ind w:left="1020" w:hanging="503"/>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evaluating and recommending to the Board succession plans for our executive officers;</w:t>
      </w:r>
    </w:p>
    <w:p>
      <w:pPr>
        <w:spacing w:after="0" w:line="2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to the Board the compensation paid to our non-employee directors;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administering our equity incentive plans and other benefit programs;</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ind w:left="1020" w:hanging="503"/>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establishing general policies relating to compensation and benefits of our employees, including our overall compensation philosophy.</w:t>
      </w:r>
    </w:p>
    <w:p>
      <w:pPr>
        <w:spacing w:after="0" w:line="166" w:lineRule="exact"/>
        <w:rPr>
          <w:sz w:val="20"/>
          <w:szCs w:val="20"/>
          <w:color w:val="auto"/>
        </w:rPr>
      </w:pPr>
    </w:p>
    <w:p>
      <w:pPr>
        <w:ind w:firstLine="512"/>
        <w:spacing w:after="0" w:line="289" w:lineRule="auto"/>
        <w:rPr>
          <w:sz w:val="20"/>
          <w:szCs w:val="20"/>
          <w:color w:val="auto"/>
        </w:rPr>
      </w:pPr>
      <w:r>
        <w:rPr>
          <w:rFonts w:ascii="Times New Roman" w:cs="Times New Roman" w:eastAsia="Times New Roman" w:hAnsi="Times New Roman"/>
          <w:sz w:val="14"/>
          <w:szCs w:val="14"/>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Nominating Committee</w:t>
      </w:r>
    </w:p>
    <w:p>
      <w:pPr>
        <w:spacing w:after="0" w:line="182" w:lineRule="exact"/>
        <w:rPr>
          <w:sz w:val="20"/>
          <w:szCs w:val="20"/>
          <w:color w:val="auto"/>
        </w:rPr>
      </w:pPr>
    </w:p>
    <w:p>
      <w:pPr>
        <w:ind w:firstLine="512"/>
        <w:spacing w:after="0" w:line="289" w:lineRule="auto"/>
        <w:rPr>
          <w:sz w:val="20"/>
          <w:szCs w:val="20"/>
          <w:color w:val="auto"/>
        </w:rPr>
      </w:pPr>
      <w:r>
        <w:rPr>
          <w:rFonts w:ascii="Times New Roman" w:cs="Times New Roman" w:eastAsia="Times New Roman" w:hAnsi="Times New Roman"/>
          <w:sz w:val="14"/>
          <w:szCs w:val="14"/>
          <w:color w:val="auto"/>
        </w:rPr>
        <w:t>The nominating committee consists of David Aldrich and William Carpou, with David Aldrich serving as chair. The Board determined that David Aldrich and William Carpou each meet the definition of “independent director” under the Nasdaq listing standards.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nominating committee is responsible for, among other things:</w:t>
      </w:r>
    </w:p>
    <w:p>
      <w:pPr>
        <w:spacing w:after="0" w:line="180"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evaluating candidates, including the nomination of incumbent directors for reelection and nominees recommended by stockholders, to serve on the Board;</w:t>
      </w:r>
    </w:p>
    <w:p>
      <w:pPr>
        <w:spacing w:after="0" w:line="2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considering and making recommendations to the Board regarding the composition and chairmanship of the committees of the Board;</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instituting plans or programs for the continuing education of the Board and the orientation of new directors;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making recommendations to the Board regarding corporate governance guidelines and matters;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our corporate governance practices;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periodic evaluations of the Board’s performance, including committees of the Board; and</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contributing to succession planning.</w:t>
      </w:r>
    </w:p>
    <w:p>
      <w:pPr>
        <w:spacing w:after="0" w:line="166"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 nominating and corporate governance committee is governed by a charter that complies with the rules of Nasdaq. In selecting director nominees for election by the stockholders or appointment by the Board consistent with the Board’s criteria for new directors, the Nominating Committee considers, among other criterion, knowledge, experience, skills, diversity and expertise so as to enhance the Board’s ability to manage and direct the affairs and business of the Company, including, when applicable, to enhance the ability of committees of the Board to fulfill their duties and/or to satisfy any independence requirements imposed by law, regulation, Nasdaq listing standards or the Company’s Bylaws.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Leadership Structure</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 Board is responsible for selecting the Chief Executive Officer and the Chairman of the Board; both of these positions may be held by the same person or by two separate individuals. Currently, Philip Sansone serves as the Chief Executive Officer and a director and James Peterson serves as the Chairman of the Board. The Board believes separating the positions of Chairman of the Board and Chief Executive Officer allows the Chief Executive Officer to focus on the Company’s day-to-day business and operations, while allowing our Chairman to lead the Board in its fundamental role of providing advice to and oversight of management.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color w:val="auto"/>
        </w:rPr>
        <w:t>Role of Board of Directors in Risk Oversight Process</w:t>
      </w:r>
    </w:p>
    <w:p>
      <w:pPr>
        <w:spacing w:after="0" w:line="18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cybersecurity, strategic and reputational risk. While each committee is responsible for evaluating certain risks and overseeing the management of such risks, our full Board is regularly informed of such risks through committee reports and otherwise. While the Board oversees our risk management, management is responsible for day-to-day risk management processes.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 Interlocks and Insider Participation</w:t>
      </w:r>
    </w:p>
    <w:p>
      <w:pPr>
        <w:spacing w:after="0" w:line="18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None of the Company’s executive officers currently serve, or in the past year have served, as members of the Board or compensation committee of any entity that has one or more executive officers serving on the Board.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Code of Business Conduct and Ethics</w:t>
      </w:r>
    </w:p>
    <w:p>
      <w:pPr>
        <w:spacing w:after="0" w:line="184" w:lineRule="exact"/>
        <w:rPr>
          <w:sz w:val="20"/>
          <w:szCs w:val="20"/>
          <w:color w:val="auto"/>
        </w:rPr>
      </w:pPr>
    </w:p>
    <w:p>
      <w:pPr>
        <w:jc w:val="both"/>
        <w:ind w:firstLine="512"/>
        <w:spacing w:after="0" w:line="269" w:lineRule="auto"/>
        <w:rPr>
          <w:sz w:val="20"/>
          <w:szCs w:val="20"/>
          <w:color w:val="auto"/>
        </w:rPr>
      </w:pPr>
      <w:r>
        <w:rPr>
          <w:rFonts w:ascii="Times New Roman" w:cs="Times New Roman" w:eastAsia="Times New Roman" w:hAnsi="Times New Roman"/>
          <w:sz w:val="14"/>
          <w:szCs w:val="14"/>
          <w:color w:val="auto"/>
        </w:rPr>
        <w:t>We have a code of business conduct and ethics that applies to all of our executive officers, directors and employees, including our principal executive officer, principal financial officer, principal accounting officer or controller or persons performing similar functions. The code of business conduct and ethics is available on the investor relations portion of our website. We intend to make any legally required disclosures regarding amendments to, or waivers of, provisions of our code of business conduct and ethics on our website rather than by filing a Current Report on Form 8-K.</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Insider Trading Policy</w:t>
      </w:r>
    </w:p>
    <w:p>
      <w:pPr>
        <w:spacing w:after="0" w:line="18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have an insider trading policy and procedures that govern the purchase, sale and/or other dispositions of our securities by directors, officers, and employees, together with their immediate family members and other persons living in their households. We believe our insider trading policy and procedures are reasonably designed to promote compliance with insider trading laws, rules and regulations, and any applicable Nasdaq standards. In addition, it is the policy of the Company to comply with applicable U.S. securities laws, including laws, rules and regulations related to trading in our securities. A copy of our Insider Trading Policy was filed as an exhibit to our Form 10-K for the year ended September 30,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Liability and Indemnification of Officers and Directors</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Bylaws provide that our directors and officers will be indemnified and advanced expenses by the Company to the fullest extent permitted by applicable law. In addition, the Charter provides that our directors and officers will not be liable to the Company or its stockholders for monetary damages for breaches of their fiduciary duty as directors and officers, except to the extent such exemption from liability or limitation thereof is not permitted under the DGCL.</w:t>
      </w:r>
    </w:p>
    <w:p>
      <w:pPr>
        <w:spacing w:after="0" w:line="13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Bylaws also permit the Company to purchase and maintain insurance on behalf of any director, officer, employee or agent of the Company for any liability arising out of his or her status as such, regardless of whether the DGCL would permit indemnification.</w:t>
      </w:r>
    </w:p>
    <w:p>
      <w:pPr>
        <w:spacing w:after="0" w:line="12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These provisions may discourage stockholders from bringing a lawsuit against the Company’s directors or officers for breach of their fiduciary duty. These provisions also may have the effect of reducing the likelihood of derivative litigation against directors and officers, even though such an action, if successful, might otherwise benefit the Company and its stockholders. Furthermore, a stockholder’s investment may be adversely affected to the extent the Company pays the costs of settlement and damage awards against directors and officers pursuant to these indemnification and advancement provisions.</w:t>
      </w:r>
    </w:p>
    <w:p>
      <w:pPr>
        <w:spacing w:after="0" w:line="14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the Company’s directors, officers and controlling persons pursuant to the foregoing provisions, or otherwise, in the opinion of the SEC, such indemnification is against public policy as expressed in the Securities Act and is, therefore, unenforceable.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EXECUTIVE AND DIRECTOR COMPENSATION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spacing w:after="0" w:line="135"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 following table contains compensation data for our named executive officers for the fiscal years ended September 30, 2025 and 2024. In this section, “Named Executive Officer” or “NEO” means the principal executive officer and each of the two most highly compensated executive officers, other than the principal executive officer, who were serving as executive officers for the year ended September 30, 2025 and whose total compensation exceeds $100,000, as well as any additional individuals for whom disclosure would have been provided except that the individual was not serving as an executive officer of us at September 30, 2025.</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These individuals, and who are referred to in this section as “named executive officers,” and their positions are as follows:</w:t>
      </w:r>
    </w:p>
    <w:p>
      <w:pPr>
        <w:spacing w:after="0" w:line="178" w:lineRule="exact"/>
        <w:rPr>
          <w:sz w:val="20"/>
          <w:szCs w:val="20"/>
          <w:color w:val="auto"/>
        </w:rPr>
      </w:pPr>
    </w:p>
    <w:p>
      <w:pPr>
        <w:ind w:left="520" w:hanging="259"/>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Philip Sansone: </w:t>
      </w:r>
      <w:r>
        <w:rPr>
          <w:rFonts w:ascii="Times New Roman" w:cs="Times New Roman" w:eastAsia="Times New Roman" w:hAnsi="Times New Roman"/>
          <w:sz w:val="14"/>
          <w:szCs w:val="14"/>
          <w:i w:val="1"/>
          <w:iCs w:val="1"/>
          <w:color w:val="auto"/>
        </w:rPr>
        <w:t>Chief Executive Officer and Director</w:t>
      </w:r>
    </w:p>
    <w:p>
      <w:pPr>
        <w:spacing w:after="0" w:line="25"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Fabrizio Battaglia: </w:t>
      </w:r>
      <w:r>
        <w:rPr>
          <w:rFonts w:ascii="Times New Roman" w:cs="Times New Roman" w:eastAsia="Times New Roman" w:hAnsi="Times New Roman"/>
          <w:sz w:val="14"/>
          <w:szCs w:val="14"/>
          <w:i w:val="1"/>
          <w:iCs w:val="1"/>
          <w:color w:val="auto"/>
        </w:rPr>
        <w:t>Former Chief Executive Officer and Former Director</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Keyvan Samini: </w:t>
      </w:r>
      <w:r>
        <w:rPr>
          <w:rFonts w:ascii="Times New Roman" w:cs="Times New Roman" w:eastAsia="Times New Roman" w:hAnsi="Times New Roman"/>
          <w:sz w:val="14"/>
          <w:szCs w:val="14"/>
          <w:i w:val="1"/>
          <w:iCs w:val="1"/>
          <w:color w:val="auto"/>
        </w:rPr>
        <w:t>Co-founder, President, Chief Financial Officer and Director</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James Aralis: </w:t>
      </w:r>
      <w:r>
        <w:rPr>
          <w:rFonts w:ascii="Times New Roman" w:cs="Times New Roman" w:eastAsia="Times New Roman" w:hAnsi="Times New Roman"/>
          <w:sz w:val="14"/>
          <w:szCs w:val="14"/>
          <w:i w:val="1"/>
          <w:iCs w:val="1"/>
          <w:color w:val="auto"/>
        </w:rPr>
        <w:t>Chief Technology Officer</w:t>
      </w:r>
    </w:p>
    <w:p>
      <w:pPr>
        <w:spacing w:after="0" w:line="166"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discussion may contain forward-looking statements that are based on our current plans, considerations, expectations and determinations regarding future compensation programs.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information concerning the compensation of the named executive officers for the fiscal years ended September 30, 2025 and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7"/>
        </w:trPr>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3"/>
        </w:trPr>
        <w:tc>
          <w:tcPr>
            <w:tcW w:w="4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80" w:type="dxa"/>
            <w:vAlign w:val="bottom"/>
          </w:tcPr>
          <w:p>
            <w:pPr>
              <w:jc w:val="right"/>
              <w:ind w:right="169"/>
              <w:spacing w:after="0" w:line="21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(1)</w:t>
            </w:r>
          </w:p>
        </w:tc>
        <w:tc>
          <w:tcPr>
            <w:tcW w:w="340" w:type="dxa"/>
            <w:vAlign w:val="bottom"/>
          </w:tcPr>
          <w:p>
            <w:pPr>
              <w:spacing w:after="0"/>
              <w:rPr>
                <w:sz w:val="18"/>
                <w:szCs w:val="18"/>
                <w:color w:val="auto"/>
              </w:rPr>
            </w:pPr>
          </w:p>
        </w:tc>
        <w:tc>
          <w:tcPr>
            <w:tcW w:w="7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8"/>
                <w:szCs w:val="18"/>
                <w:color w:val="auto"/>
              </w:rPr>
            </w:pPr>
          </w:p>
        </w:tc>
        <w:tc>
          <w:tcPr>
            <w:tcW w:w="780" w:type="dxa"/>
            <w:vAlign w:val="bottom"/>
          </w:tcPr>
          <w:p>
            <w:pPr>
              <w:jc w:val="center"/>
              <w:spacing w:after="0" w:line="21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60" w:type="dxa"/>
            <w:vAlign w:val="bottom"/>
          </w:tcPr>
          <w:p>
            <w:pPr>
              <w:spacing w:after="0"/>
              <w:rPr>
                <w:sz w:val="18"/>
                <w:szCs w:val="18"/>
                <w:color w:val="auto"/>
              </w:rPr>
            </w:pPr>
          </w:p>
        </w:tc>
        <w:tc>
          <w:tcPr>
            <w:tcW w:w="1040" w:type="dxa"/>
            <w:vAlign w:val="bottom"/>
            <w:gridSpan w:val="2"/>
          </w:tcPr>
          <w:p>
            <w:pPr>
              <w:jc w:val="center"/>
              <w:ind w:left="109"/>
              <w:spacing w:after="0" w:line="21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340" w:type="dxa"/>
            <w:vAlign w:val="bottom"/>
          </w:tcPr>
          <w:p>
            <w:pPr>
              <w:spacing w:after="0"/>
              <w:rPr>
                <w:sz w:val="18"/>
                <w:szCs w:val="18"/>
                <w:color w:val="auto"/>
              </w:rPr>
            </w:pPr>
          </w:p>
        </w:tc>
        <w:tc>
          <w:tcPr>
            <w:tcW w:w="7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r>
      <w:tr>
        <w:trPr>
          <w:trHeight w:val="161"/>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Philip Sansone</w:t>
            </w:r>
          </w:p>
        </w:tc>
        <w:tc>
          <w:tcPr>
            <w:tcW w:w="2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266,917</w:t>
            </w: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1,760,000</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2,026,917</w:t>
            </w:r>
          </w:p>
        </w:tc>
        <w:tc>
          <w:tcPr>
            <w:tcW w:w="100" w:type="dxa"/>
            <w:vAlign w:val="bottom"/>
            <w:tcBorders>
              <w:top w:val="single" w:sz="8" w:color="CCEEFF"/>
            </w:tcBorders>
            <w:shd w:val="clear" w:color="auto" w:fill="CCEEFF"/>
          </w:tcPr>
          <w:p>
            <w:pPr>
              <w:spacing w:after="0"/>
              <w:rPr>
                <w:sz w:val="14"/>
                <w:szCs w:val="14"/>
                <w:color w:val="auto"/>
              </w:rPr>
            </w:pPr>
          </w:p>
        </w:tc>
      </w:tr>
      <w:tr>
        <w:trPr>
          <w:trHeight w:val="17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Fabrizio Battaglia</w:t>
            </w:r>
          </w:p>
        </w:tc>
        <w:tc>
          <w:tcPr>
            <w:tcW w:w="11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202,386</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5,274,997</w:t>
            </w: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50,273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5,527,656</w:t>
            </w:r>
          </w:p>
        </w:tc>
      </w:tr>
      <w:tr>
        <w:trPr>
          <w:trHeight w:val="17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Co-Founder, Former Chief Executive Officer and Former Director</w:t>
            </w:r>
          </w:p>
        </w:tc>
        <w:tc>
          <w:tcPr>
            <w:tcW w:w="11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509,012</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450,000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321,203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1,280,215</w:t>
            </w:r>
          </w:p>
        </w:tc>
      </w:tr>
      <w:tr>
        <w:trPr>
          <w:trHeight w:val="171"/>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Keyvan Samini</w:t>
            </w:r>
          </w:p>
        </w:tc>
        <w:tc>
          <w:tcPr>
            <w:tcW w:w="11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309,000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5,274,997</w:t>
            </w: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66,115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5,650,112</w:t>
            </w:r>
          </w:p>
        </w:tc>
      </w:tr>
      <w:tr>
        <w:trPr>
          <w:trHeight w:val="17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Co-Founder, President and Chief Financial Officer, and Director</w:t>
            </w:r>
          </w:p>
        </w:tc>
        <w:tc>
          <w:tcPr>
            <w:tcW w:w="11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469,857</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450,000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321,188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1,241,045</w:t>
            </w:r>
          </w:p>
        </w:tc>
      </w:tr>
      <w:tr>
        <w:trPr>
          <w:trHeight w:val="171"/>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James Aralis</w:t>
            </w:r>
          </w:p>
        </w:tc>
        <w:tc>
          <w:tcPr>
            <w:tcW w:w="11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74,000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80,000</w:t>
            </w: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154,000</w:t>
            </w:r>
          </w:p>
        </w:tc>
      </w:tr>
      <w:tr>
        <w:trPr>
          <w:trHeight w:val="17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Technology Officer</w:t>
            </w:r>
          </w:p>
        </w:tc>
        <w:tc>
          <w:tcPr>
            <w:tcW w:w="11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161,000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11,250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172,250</w:t>
            </w:r>
          </w:p>
        </w:tc>
      </w:tr>
    </w:tbl>
    <w:p>
      <w:pPr>
        <w:spacing w:after="0" w:line="156" w:lineRule="exact"/>
        <w:rPr>
          <w:sz w:val="20"/>
          <w:szCs w:val="20"/>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2024 include $119,012 for Mr. Battaglia and $109,857 for Mr. Samini for cash paid in lieu of accrued vacation.</w:t>
      </w:r>
    </w:p>
    <w:p>
      <w:pPr>
        <w:spacing w:after="0" w:line="23" w:lineRule="exact"/>
        <w:rPr>
          <w:rFonts w:ascii="Times New Roman" w:cs="Times New Roman" w:eastAsia="Times New Roman" w:hAnsi="Times New Roman"/>
          <w:sz w:val="14"/>
          <w:szCs w:val="14"/>
          <w:color w:val="auto"/>
        </w:rPr>
      </w:pPr>
    </w:p>
    <w:p>
      <w:pPr>
        <w:jc w:val="both"/>
        <w:ind w:left="260" w:hanging="255"/>
        <w:spacing w:after="0" w:line="254" w:lineRule="auto"/>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in this column for co-founders Messrs. Battaglia and Samini represents the aggregate grant date fair value of the stock awards in accordance with ASC Topic 718, which is based on the stock price on the date of the Closing of $104.70. However, the value received at issuance of the Post-Closing RSUs on April 15, 2025 was approximately $283,333, which is based on the issuance date stock price of $85.00.</w:t>
      </w: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2024 and 2025, for Messrs. Battaglia and Samini, includes reimbursement for the payment of taxes owed.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Narrative Disclosure to Summary Compensation Table</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For the fiscal years ended September 30, 2025 and 2024, the compensation program for our named executive officers consisted of base salary, cash bonus, equity awards, and certain standard employee benefits.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Employment Agreements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Philip Sansone</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As of the date of this prospectus, we have not finalized the compensation arrangements in connection with Mr. Sansone’s appointment as Chief Executive Officer. We plan to disclose the material terms of such arrangements once they have been determined and finalized.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Fabrizio Battaglia</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Mr. Battaglia is a co-founder of the Company. Mr. Battaglia served as our Chief Executive Officer beginning November 15, 2022. He stepped down due to sick leave in April 2025 and retired as Chief Executive Officer and a member of the Board as of July 25, 2025. Pursuant to the Severance Agreement entered into on July 25, 2025, Mr. Battaglia will receive for himself and his spouse health benefits (COBRA) for 36 months. He will also retain the equity awards already granted to him, which will vest in accordance with their terms.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Keyvan Samini</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Mr. Samini is a co-founder of the Company. We are a party to an Employment Term Sheet with Mr. Samini, pursuant to which he serves as our President, and Chief Financial Officer with an initial term of two years, effective November 15, 2022, which will automatically renew for additional consecutive one-year terms unless either party provides the other party with 180 days’ notice of the intent not to renew prior to the expiration of the applicable terms.</w:t>
      </w:r>
    </w:p>
    <w:p>
      <w:pPr>
        <w:spacing w:after="0" w:line="135"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Under his Employment Term Sheet, Mr. Samini is entitled to receive a base salary of $360,000 per year and is also eligible to receive performance-based cash bonuses up to 100% of his base salary, the amount and terms of which shall be in the discretion of the Board. In addition, Mr. Samini will be granted, on the first, second and third anniversaries of December 21, 2023, Post-Closing RSUs with respect to 33,333 shares of Class A Common Stock, which will vest on the first anniversary of the applicable grant date, subject to his continuous service to us through the applicable grant dates and vesting dates. The Post-Closing RSUs will become fully vested in the event of a change of control, or if Mr. Samini’s employment is terminated either without cause or by him for Good Reason (as defined in the Employment Term Sheet).</w:t>
      </w:r>
    </w:p>
    <w:p>
      <w:pPr>
        <w:spacing w:after="0" w:line="14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If we terminate Mr. Samini’s employment without cause, or Mr. Samini resigns for Good Reason, Mr. Samini is entitled to (i) two times the amount of Mr. Samini’s base compensation and two times the amount of the target bonus amount in which termination occurs, payable in equal installments over 24 months, and (ii) subject to Mr. Samini’s election of COBRA continuation coverage, reimbursement for up to 24 months of subsidized COBRA benefits or if earlier, on the date on which Mr. Samini becomes covered under another group health plan. However, if we terminate Mr. Samini’s employment without cause, or Mr. Samini resigns for Good Reason during the period commencing 60 days prior to and ending 12 months following a change in control, the severance amount described immediately above shall be increased to three times (and paid in a lump sum payment), and the COBRA reimbursement will increase to 36 months.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James Aralis</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Mr. Aralis entered into an employment agreement with Mobix Labs to serve as its Chief Technology Officer, effective as of May 18, 2022 (the “Aralis Employment Agreement”). Pursuant to his employment agreement, Mr. Aralis was entitled to receive a base salary of $120,000 per year, which was based on one day per week, and any month which exceeded more than four days was compensated at a secondary rate of $2,000 per day.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65" w:name="page66"/>
    <w:bookmarkEnd w:id="65"/>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narrative below summarizes the payments and benefits that each named executive officer was eligible to receive for the fiscal years ended September 30, 2025 and 2024 based on the Employment Term Sheets with Messrs. Battaglia and Samini and the Aralis Employment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Base Salary</w:t>
      </w:r>
    </w:p>
    <w:p>
      <w:pPr>
        <w:spacing w:after="0" w:line="18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 base salary for each named executive officer was set at a level that is commensurate with the executive’s duties and authorities, contributions, prior experience and sustained performance. The annual base salary earned by the named executive officers for each of the fiscal years ended September 30, 2025 and 2024 is set forth in the summary compensation table above under the column heading “Salary.” Amounts in the “Salary” column for the fiscal year ended September 30, 2024 also include $119,012 and $109,857 for each of co-founders Messrs Battaglia and Samini, respectively, for cash paid in lieu of accrued vacation, which payments did not occur for the fiscal year ended September 30,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Bonus</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In fiscal 2024, the Compensation Committee approved a bonus to each of co-founders Messrs. Battaglia and Samini in recognition of their efforts in connection with the completion of the merger between Chavant Acquisition Corp. and Legacy Mobix, which amount is set forth in the summary compensation table above under the column heading “Bonus.” In fiscal 2025, the Compensation Committee did not approve a bonus to any of our NEOs.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Compensation</w:t>
      </w:r>
    </w:p>
    <w:p>
      <w:pPr>
        <w:spacing w:after="0" w:line="184"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executive officers to remain in our employment during the vesting period. Accordingly, our Board periodically reviews the equity incentive compensation of our NEOs and grant equity incentive awards to them from time to time. On May 5, 2022, the following restricted stock units (“RSUs”) were granted to the following directors and executive officers: (i) co-founder James Peterson in the amount of 100,000 RSUs; (ii) co-founder Frederick Goerner in the amount of 100,000 RSUs; (iii) co-founder Fabrizio Battaglia in the amount of 200,000 RSUs; and (iv) co-founder Keyvan Samini in the amount of 200,000 RSUs. These RSUs originally vested upon the satisfaction of both time-based vesting requirements and performance conditions. These RSUs were amended on November 15, 2022 to provide for a three-year vesting schedule, with one-third of the total RSUs vesting on each anniversary of the Closing. These RSUs were subsequently cancelled, effective March 26, 2023</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 exchange, Messrs. Peterson, Goerner, Battaglia and Samini, each a co-founder, received a commitment from us to issue one-half of that number of RSUs over three years, beginning on the first anniversary of the Closing, referred to as “Post-Closing RSUs.”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fiscal 2025, our NEOs received the following equity incentive awards.</w:t>
      </w:r>
    </w:p>
    <w:p>
      <w:pPr>
        <w:spacing w:after="0" w:line="18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January 22, 2024, the Compensation Committee approved, subject to stockholder approval of Mobix Labs stockholders, which was obtained on January 3, 2025, a grant of 255,000 restricted stock awards to each of the co-founders Messrs. Battaglia and Samini in consideration of their efforts in connection with the public listing of our shares on Nasdaq.</w:t>
      </w:r>
    </w:p>
    <w:p>
      <w:pPr>
        <w:spacing w:after="0" w:line="12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restricted stock awards for the co-founder Mr. Battaglia have the following vesting terms: (1) 10,000 shares will vest on each of (i) July 15, 2025, (ii) October 15, 2025, (iii) January 15, 2026, and (iv) April 15, 2026; (2) 20,000 shares will vest on each of (i) July 15, 2026, (ii) October 15, 2026, (iii) January 15, 2027, and (iv) April 15, 2027; (3) 30,000 shares will vest on each of (i) July 15, 2027, (ii) October 15, 2027, and (iii) January 15, 2028; and (4) 45,000 shares will vest on July 15, 2028.</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66" w:name="page67"/>
    <w:bookmarkEnd w:id="66"/>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The restricted stock awards for the co-founder Mr. Samini have the following vesting terms: (1) 5% will vest on the earlier of (i) the Company’s Class A Common Stock closing at or above $20.00 for 10 consecutive trading days on Nasdaq or (ii) July 1, 2025; (2) 10% will vest on the earlier of (i) the Company’s Class A Common Stock closing at or above $20.00 for 10 consecutive trading days on Nasdaq, or (ii) November 1, 2025; (3) 10% will vest on the earlier of (i) the Company’s Class A Common Stock closing at or above $20.00 for 10 consecutive trading days on Nasdaq or (ii) January 1, 2026; (4) 25% will vest on the earlier of (i) the Company’s Class A Common Stock closing at or above $30.00 for 10 consecutive trading days on Nasdaq or (ii) April 1, 2026; (5) 25% will vest on the earlier of (i) the Company’s Class A Common Stock closing at or above $35.00 for 10 consecutive trading days on Nasdaq or (ii) July 1, 2026; and (6) 25% will vest on the earlier of (i) the Company’s Class A Common Stock closing at or above $40.00 for 10 consecutive trading days on Nasdaq or (ii) November 1, 2026.</w:t>
      </w:r>
    </w:p>
    <w:p>
      <w:pPr>
        <w:spacing w:after="0" w:line="145"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On April 10, 2025, Mr. Sansone forfeited options to purchase 17,218 shares of Mobix Class A Common Stock. In exchange, the Compensation Committee granted 40,000 RSUs and 60,000 RSUs to Mr. Sansone on April 10, 2025 and April 15, 2025, respectively (collectively, the “Sansone RSUs”). Ninety percent of the Sansone RSUs vested at each respective grant date, and the remaining ten percent vest in equal installments on the last day of each calendar month thereafter until fully vested on January 1, 2026. The delivery of shares underlying the Sansone RSUs will be deferred until the earlier of (i) Mr. Sansone’s separation from service, disability, death; (ii) a change in control of the Company; (iii) the occurrence of an unforeseeable emergency for the participant as defined under Section 409A of the Internal Revenue Code; or (iv) January 1, 2026.</w:t>
      </w:r>
    </w:p>
    <w:p>
      <w:pPr>
        <w:spacing w:after="0" w:line="14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April 15, 2025, the Compensation Committee granted 33,333 Post-Closing RSUs to each of co-founders Messrs. Battaglia and Samini (which grants were originally planned to be issued on the first anniversary of the Closing). The Post-Closing RSUs vest in their entirety on December 21, 2025.</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July 9, 2025, the Compensation Committee granted Mr. Aralis 10,000 RSUs, 5,000 of which vested on August 20, 2025 and the remaining 5,000 vested on November 20, 2025.</w:t>
      </w:r>
    </w:p>
    <w:p>
      <w:pPr>
        <w:spacing w:after="0" w:line="18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September 19, 2025, the Compensation Committee granted Mr. Sansone 100,000 RSUs which vest in equal installments on (i) January 1, 2027, (ii) April 1, 2027, (iii) July 1, 2027 and (iv) October 1, 2027.</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Benefits and Perquisites</w:t>
      </w:r>
    </w:p>
    <w:p>
      <w:pPr>
        <w:spacing w:after="0" w:line="18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In the fiscal years ended September 30, 2025 and 2024, we provided benefits to our NEOs on the same basis as provided to all of its employees, including medical, dental, vision, life and AD&amp;D, and short- and long-term disability insurance, vacation and paid holidays. The NEOs are also eligible to participate in our 401(k) plan.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9"/>
        </w:trPr>
        <w:tc>
          <w:tcPr>
            <w:tcW w:w="3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Outstanding Equity Awards at 2025 Fiscal Year-End</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7980" w:type="dxa"/>
            <w:vAlign w:val="bottom"/>
            <w:gridSpan w:val="16"/>
          </w:tcPr>
          <w:p>
            <w:pPr>
              <w:ind w:left="520"/>
              <w:spacing w:after="0"/>
              <w:rPr>
                <w:sz w:val="20"/>
                <w:szCs w:val="20"/>
                <w:color w:val="auto"/>
              </w:rPr>
            </w:pPr>
            <w:r>
              <w:rPr>
                <w:rFonts w:ascii="Times New Roman" w:cs="Times New Roman" w:eastAsia="Times New Roman" w:hAnsi="Times New Roman"/>
                <w:sz w:val="14"/>
                <w:szCs w:val="14"/>
                <w:color w:val="auto"/>
              </w:rPr>
              <w:t>The following table presents, for each of our NEOs, information regarding outstanding equity awards as of September 30, 2025.</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left="109"/>
              <w:spacing w:after="0" w:line="14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w:t>
            </w:r>
          </w:p>
        </w:tc>
        <w:tc>
          <w:tcPr>
            <w:tcW w:w="30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2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0" w:type="dxa"/>
            <w:vAlign w:val="bottom"/>
          </w:tcPr>
          <w:p>
            <w:pPr>
              <w:spacing w:after="0"/>
              <w:rPr>
                <w:sz w:val="1"/>
                <w:szCs w:val="1"/>
                <w:color w:val="auto"/>
              </w:rPr>
            </w:pPr>
          </w:p>
        </w:tc>
      </w:tr>
      <w:tr>
        <w:trPr>
          <w:trHeight w:val="145"/>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8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40" w:type="dxa"/>
            <w:vAlign w:val="bottom"/>
            <w:gridSpan w:val="3"/>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780" w:type="dxa"/>
            <w:vAlign w:val="bottom"/>
          </w:tcPr>
          <w:p>
            <w:pPr>
              <w:ind w:left="220"/>
              <w:spacing w:after="0" w:line="145"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0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 Stock</w:t>
            </w:r>
          </w:p>
        </w:tc>
        <w:tc>
          <w:tcPr>
            <w:tcW w:w="3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8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30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That</w:t>
            </w:r>
          </w:p>
        </w:tc>
        <w:tc>
          <w:tcPr>
            <w:tcW w:w="3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300" w:type="dxa"/>
            <w:vAlign w:val="bottom"/>
          </w:tcPr>
          <w:p>
            <w:pPr>
              <w:spacing w:after="0"/>
              <w:rPr>
                <w:sz w:val="14"/>
                <w:szCs w:val="14"/>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3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Have</w:t>
            </w:r>
          </w:p>
        </w:tc>
        <w:tc>
          <w:tcPr>
            <w:tcW w:w="3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Not</w:t>
            </w:r>
          </w:p>
        </w:tc>
        <w:tc>
          <w:tcPr>
            <w:tcW w:w="3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78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30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3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3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82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5"/>
                <w:vertAlign w:val="subscript"/>
              </w:rPr>
              <w:t>($)</w:t>
            </w:r>
            <w:r>
              <w:rPr>
                <w:rFonts w:ascii="Times New Roman" w:cs="Times New Roman" w:eastAsia="Times New Roman" w:hAnsi="Times New Roman"/>
                <w:sz w:val="11"/>
                <w:szCs w:val="11"/>
                <w:b w:val="1"/>
                <w:bCs w:val="1"/>
                <w:color w:val="auto"/>
                <w:w w:val="95"/>
              </w:rPr>
              <w:t>(1)</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Philip Sansone</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40,000</w:t>
            </w:r>
          </w:p>
        </w:tc>
        <w:tc>
          <w:tcPr>
            <w:tcW w:w="3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324,000</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486,000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810,000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Fabrizio Battaglia</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20,588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(5)</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1.70</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8/26/2020</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8/11/2030</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245,000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1,984,500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11,764</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(7)</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1.70</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8/26/2020</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8/11/2030</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33,333</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Keyvan Samini</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20,588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(5)</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1.70</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8/26/2020</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8/11/2030</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242,250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1,962,225</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11,764</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(7)</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1.70</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8/26/2020</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8/11/2030</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33,333</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James Aralis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68.40</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5/15/2022</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4/4/2032</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40,500</w:t>
            </w: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(12)</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444</w:t>
            </w:r>
          </w:p>
        </w:tc>
        <w:tc>
          <w:tcPr>
            <w:tcW w:w="3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w w:val="99"/>
              </w:rPr>
              <w:t>(12)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68.40</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5/18/2022</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4/4/2032</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(13)</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68.40</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4/15/2023</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4/4/2032</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20" w:hanging="259"/>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awards set forth in the table above are exercisable for or settled in shares of Class A Common Stock.</w:t>
      </w:r>
    </w:p>
    <w:p>
      <w:pPr>
        <w:spacing w:after="0" w:line="180" w:lineRule="exact"/>
        <w:rPr>
          <w:sz w:val="20"/>
          <w:szCs w:val="20"/>
          <w:color w:val="auto"/>
        </w:rPr>
      </w:pPr>
    </w:p>
    <w:p>
      <w:pPr>
        <w:ind w:left="520" w:hanging="259"/>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the awards that have not vested is based on the closing price of the Class A Common Stock on Nasdaq on September 30, 2025, which was $8.06.</w:t>
      </w:r>
    </w:p>
    <w:p>
      <w:pPr>
        <w:spacing w:after="0" w:line="23"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restricted stock units were granted under the Company’s 2023 Equity Incentive Plan and vest in equal installments on (i) November 15, 2025 and (ii) January 31, 2026.</w:t>
      </w:r>
    </w:p>
    <w:p>
      <w:pPr>
        <w:spacing w:after="0" w:line="9" w:lineRule="exact"/>
        <w:rPr>
          <w:rFonts w:ascii="Times New Roman" w:cs="Times New Roman" w:eastAsia="Times New Roman" w:hAnsi="Times New Roman"/>
          <w:sz w:val="14"/>
          <w:szCs w:val="14"/>
          <w:color w:val="auto"/>
        </w:rPr>
      </w:pPr>
    </w:p>
    <w:p>
      <w:pPr>
        <w:ind w:left="520" w:hanging="259"/>
        <w:spacing w:after="0" w:line="254"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restricted stock units were granted under the Company’s 2023 Equity Incentive Plan and vest in such amounts and on such dates as follows: (i) 25,000 restricted stock units on April 30, 2026, (ii) 25,000 restricted stock units on July 15, 2026, and (iii) 10,000 restricted stock units on October 1, 2026.</w:t>
      </w:r>
    </w:p>
    <w:p>
      <w:pPr>
        <w:ind w:left="520" w:hanging="259"/>
        <w:spacing w:after="0" w:line="254"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restricted stock units were granted under the Company’s 2023 Equity Incentive Plan and vest in equal installments on (i) January 1, 2027, (ii) April 1, 2027, (iii) July 1, 2027, and (iv) October 1, 2027.</w:t>
      </w:r>
    </w:p>
    <w:p>
      <w:pPr>
        <w:ind w:left="520" w:hanging="259"/>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were granted under the Company’s 2020 Key Employee Equity Incentive Plan and are fully vested and exercisable.</w:t>
      </w:r>
    </w:p>
    <w:p>
      <w:pPr>
        <w:spacing w:after="0" w:line="9" w:lineRule="exact"/>
        <w:rPr>
          <w:rFonts w:ascii="Times New Roman" w:cs="Times New Roman" w:eastAsia="Times New Roman" w:hAnsi="Times New Roman"/>
          <w:sz w:val="14"/>
          <w:szCs w:val="14"/>
          <w:color w:val="auto"/>
        </w:rPr>
      </w:pPr>
    </w:p>
    <w:p>
      <w:pPr>
        <w:jc w:val="both"/>
        <w:ind w:left="520" w:hanging="259"/>
        <w:spacing w:after="0" w:line="254"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restricted stock awards were granted subject to stockholder approval, which was obtained on January 3, 2025, and vest in such amounts and on such dates as follows: (i) 10,000 restricted stock awards on each of (a) October 15, 2025, (b) January 15, 2026, and (c) April 15, 2026; (ii) 20,000 restricted stock awards on each of (a) July 15, 2026, (b) October 15, 2026,</w:t>
      </w:r>
    </w:p>
    <w:p>
      <w:pPr>
        <w:ind w:left="520"/>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January 15, 2027, (d) April 15, 2027; (iii) 30,000 restricted stock awards on each of (a) July 15, 2027, (b) October 15, 2027, (c) January 15, 2028; and (iv) 45,000 restricted stock units on July 15, 2028.</w:t>
      </w:r>
    </w:p>
    <w:p>
      <w:pPr>
        <w:ind w:left="520" w:hanging="259"/>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were granted under the Company’s 2020 Equity Incentive Plan and are fully vested and exercisable.</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restricted stock units were granted under the Company’s 2023 Equity Incentive Plan and vested in their entirety on December 21, 2025.</w:t>
      </w:r>
    </w:p>
    <w:p>
      <w:pPr>
        <w:spacing w:after="0" w:line="9" w:lineRule="exact"/>
        <w:rPr>
          <w:rFonts w:ascii="Times New Roman" w:cs="Times New Roman" w:eastAsia="Times New Roman" w:hAnsi="Times New Roman"/>
          <w:sz w:val="14"/>
          <w:szCs w:val="14"/>
          <w:color w:val="auto"/>
        </w:rPr>
      </w:pPr>
    </w:p>
    <w:p>
      <w:pPr>
        <w:jc w:val="both"/>
        <w:ind w:left="520" w:hanging="259"/>
        <w:spacing w:after="0" w:line="254"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restricted stock awards were granted subject to stockholder approval, which was obtained on January 3, 2025, and vest in such percentages and upon such terms as follows: (i) 5% will vest on the earlier of (a) the Company’s Class A Common Stock closing at or above $20.00 for 10 consecutive trading days on Nasdaq or (b) July 1, 2025; (ii) 10% will vest on the earlier of (a) the Company’s Class A Common Stock closing at or above $20.00 for 10 consecutive trading days on Nasdaq, or (b) November 1, 2025; (iii) 10% will vest on the earlier of (a) the Company’s Class A Common Stock closing at or above $20.00 for 10 consecutive trading days on Nasdaq or (b) January 1, 2026; (iv) 25% will vest on the earlier of (a) the Company’s Class A Common Stock closing at or above $30.00 for 10 consecutive trading days on Nasdaq or (b) April 1, 2026; (v) 25% will vest on the earlier of (a) the Company’s Class A Common Stock closing at or above $35.00 for 10 consecutive trading days on Nasdaq or (b) July 1, 2026; and (vi) 25% will vest on the earlier of (a) the Company’s Class A Common Stock closing at or above $40.00 for 10 consecutive trading days on Nasdaq or (b) November 1, 2026.</w:t>
      </w:r>
    </w:p>
    <w:p>
      <w:pPr>
        <w:spacing w:after="0" w:line="2"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were granted under the Company’s 2022 Incentive Compensation Plan and are fully vested and exercisable.</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restricted stock units were granted under the Company’s 2023 Equity Incentive Plan and vested on November 20, 2025.</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were granted under the Company’s 2022 Incentive Compensation Plan and become fully vested and exercisable on May 18, 2026.</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were granted under the Company’s 2022 Incentive Compensation Plan and are fully vested and exercisable.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In 2021, we entered into agreements with our non-employee directors, including co-founder James Peterson, co-founder Frederick Goerner, David Aldrich, Kurt Busch, and William Carpou. Under these agreements, we agreed to issue to each director an option to purchase 2,000 shares of Class A Common Stock. The options are fully vested. We also agreed to reimburse the director for any reasonable costs and expenses incurred in connection with the director’s services requested by us and performed by the director. Each agreement will automatically renew on the date of director’s reelection unless the Board determines not to renew the agreement, or until a director’s earlier resignation, removal or death.</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In connection with the Closing, we amended the Board agreement with each of the co-founders Mr. Peterson and Mr. Goerner. The amendment provides that the director will be granted, on the first, second and third anniversaries of December 21, 2023, Post-Closing RSUs with respect to 16,666 shares of Class A Common Stock, which will vest on the first anniversary of the applicable grant date, subject to his continuous service to Mobix Labs through the applicable grant dates and vesting dates. The Post-Closing RSUs will become fully vested in the event of a change of control, or if the director’s service is terminated either without cause or by him for Good Reason (as defined in the Company’s 2022 Equity Incentive Plan).</w:t>
      </w:r>
    </w:p>
    <w:p>
      <w:pPr>
        <w:spacing w:after="0" w:line="140" w:lineRule="exact"/>
        <w:rPr>
          <w:sz w:val="20"/>
          <w:szCs w:val="20"/>
          <w:color w:val="auto"/>
        </w:rPr>
      </w:pPr>
    </w:p>
    <w:p>
      <w:pPr>
        <w:jc w:val="both"/>
        <w:ind w:firstLine="512"/>
        <w:spacing w:after="0" w:line="269" w:lineRule="auto"/>
        <w:rPr>
          <w:sz w:val="20"/>
          <w:szCs w:val="20"/>
          <w:color w:val="auto"/>
        </w:rPr>
      </w:pPr>
      <w:r>
        <w:rPr>
          <w:rFonts w:ascii="Times New Roman" w:cs="Times New Roman" w:eastAsia="Times New Roman" w:hAnsi="Times New Roman"/>
          <w:sz w:val="14"/>
          <w:szCs w:val="14"/>
          <w:color w:val="auto"/>
        </w:rPr>
        <w:t>On January 22, 2024, the Board approved non-employee director compensation that is designed to retain competent and experienced persons to serve as members of the Board. Non-employee directors will be entitled to receive an annual cash retainer, which will be payable quarterly and pro-rated for partial quarters, of $200,000 and reimbursement for expenses incurred for attending Board meetings. Non-employee Board members will also be entitled to receive awards under the 2023 Equity Incentive Plan annually and upon their initial appointment to the Board as follows:</w:t>
      </w:r>
    </w:p>
    <w:p>
      <w:pPr>
        <w:spacing w:after="0" w:line="312"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awards of 2,000 RSUs at the next Board meeting occurring after December 21, 2024; and</w:t>
      </w:r>
    </w:p>
    <w:p>
      <w:pPr>
        <w:spacing w:after="0" w:line="2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initial election or appointment to the Board, a pro-rated amount of 2,000 RSUs for the partial year.</w:t>
      </w:r>
    </w:p>
    <w:p>
      <w:pPr>
        <w:spacing w:after="0" w:line="166" w:lineRule="exact"/>
        <w:rPr>
          <w:sz w:val="20"/>
          <w:szCs w:val="20"/>
          <w:color w:val="auto"/>
        </w:rPr>
      </w:pPr>
    </w:p>
    <w:p>
      <w:pPr>
        <w:ind w:firstLine="512"/>
        <w:spacing w:after="0" w:line="289" w:lineRule="auto"/>
        <w:rPr>
          <w:sz w:val="20"/>
          <w:szCs w:val="20"/>
          <w:color w:val="auto"/>
        </w:rPr>
      </w:pPr>
      <w:r>
        <w:rPr>
          <w:rFonts w:ascii="Times New Roman" w:cs="Times New Roman" w:eastAsia="Times New Roman" w:hAnsi="Times New Roman"/>
          <w:sz w:val="14"/>
          <w:szCs w:val="14"/>
          <w:color w:val="auto"/>
        </w:rPr>
        <w:t>In addition, the Board approved, and on January 3, 2025 the stockholders approved, the grant of RSUs to the following non-employee directors who were influential in the public listing of our shares on Nasdaq:</w:t>
      </w:r>
    </w:p>
    <w:p>
      <w:pPr>
        <w:spacing w:after="0" w:line="12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James Peterson, Co-Founder 105,000 RSUs</w:t>
      </w:r>
    </w:p>
    <w:p>
      <w:pPr>
        <w:spacing w:after="0" w:line="2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Frederick Goerner, Co-Founder 105,000 RSUs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David Aldrich 5,000 RSUs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Kurt Busch 5,000 RSUs</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William Carpou 5,000 RSUs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Compensation Table for Fiscal Year 2025</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sets forth the non-employee director compensation for the year ended September 30,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or Paid in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78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8"/>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tcPr>
          <w:p>
            <w:pPr>
              <w:jc w:val="center"/>
              <w:ind w:left="389"/>
              <w:spacing w:after="0" w:line="218" w:lineRule="exact"/>
              <w:rPr>
                <w:sz w:val="20"/>
                <w:szCs w:val="20"/>
                <w:color w:val="auto"/>
              </w:rPr>
            </w:pPr>
            <w:r>
              <w:rPr>
                <w:rFonts w:ascii="Times New Roman" w:cs="Times New Roman" w:eastAsia="Times New Roman" w:hAnsi="Times New Roman"/>
                <w:sz w:val="14"/>
                <w:szCs w:val="14"/>
                <w:b w:val="1"/>
                <w:bCs w:val="1"/>
                <w:color w:val="auto"/>
                <w:w w:val="93"/>
              </w:rPr>
              <w:t>Cash ($)</w:t>
            </w:r>
            <w:r>
              <w:rPr>
                <w:rFonts w:ascii="Times New Roman" w:cs="Times New Roman" w:eastAsia="Times New Roman" w:hAnsi="Times New Roman"/>
                <w:sz w:val="23"/>
                <w:szCs w:val="23"/>
                <w:b w:val="1"/>
                <w:bCs w:val="1"/>
                <w:color w:val="auto"/>
                <w:w w:val="93"/>
                <w:vertAlign w:val="superscript"/>
              </w:rPr>
              <w:t>(1)</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right"/>
              <w:ind w:right="571"/>
              <w:spacing w:after="0" w:line="217"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(2)(3)</w:t>
            </w:r>
          </w:p>
        </w:tc>
        <w:tc>
          <w:tcPr>
            <w:tcW w:w="320" w:type="dxa"/>
            <w:vAlign w:val="bottom"/>
          </w:tcPr>
          <w:p>
            <w:pPr>
              <w:spacing w:after="0"/>
              <w:rPr>
                <w:sz w:val="18"/>
                <w:szCs w:val="18"/>
                <w:color w:val="auto"/>
              </w:rPr>
            </w:pPr>
          </w:p>
        </w:tc>
        <w:tc>
          <w:tcPr>
            <w:tcW w:w="1680" w:type="dxa"/>
            <w:vAlign w:val="bottom"/>
          </w:tcPr>
          <w:p>
            <w:pPr>
              <w:jc w:val="right"/>
              <w:ind w:right="611"/>
              <w:spacing w:after="0" w:line="217"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(4)</w:t>
            </w:r>
          </w:p>
        </w:tc>
        <w:tc>
          <w:tcPr>
            <w:tcW w:w="100" w:type="dxa"/>
            <w:vAlign w:val="bottom"/>
          </w:tcPr>
          <w:p>
            <w:pPr>
              <w:spacing w:after="0"/>
              <w:rPr>
                <w:sz w:val="18"/>
                <w:szCs w:val="18"/>
                <w:color w:val="auto"/>
              </w:rPr>
            </w:pPr>
          </w:p>
        </w:tc>
      </w:tr>
      <w:tr>
        <w:trPr>
          <w:trHeight w:val="161"/>
        </w:trPr>
        <w:tc>
          <w:tcPr>
            <w:tcW w:w="5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Peterson, Co-Founder</w:t>
            </w:r>
          </w:p>
        </w:tc>
        <w:tc>
          <w:tcPr>
            <w:tcW w:w="24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112,500</w:t>
            </w:r>
          </w:p>
        </w:tc>
        <w:tc>
          <w:tcPr>
            <w:tcW w:w="34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2,707,341</w:t>
            </w:r>
          </w:p>
        </w:tc>
        <w:tc>
          <w:tcPr>
            <w:tcW w:w="32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2,819,841</w:t>
            </w:r>
          </w:p>
        </w:tc>
        <w:tc>
          <w:tcPr>
            <w:tcW w:w="100" w:type="dxa"/>
            <w:vAlign w:val="bottom"/>
            <w:tcBorders>
              <w:top w:val="single" w:sz="8" w:color="CCEEFF"/>
            </w:tcBorders>
            <w:shd w:val="clear" w:color="auto" w:fill="CCEEFF"/>
          </w:tcPr>
          <w:p>
            <w:pPr>
              <w:spacing w:after="0"/>
              <w:rPr>
                <w:sz w:val="14"/>
                <w:szCs w:val="14"/>
                <w:color w:val="auto"/>
              </w:rPr>
            </w:pPr>
          </w:p>
        </w:tc>
      </w:tr>
      <w:tr>
        <w:trPr>
          <w:trHeight w:val="171"/>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Frederick Goerner, Co-Founder</w:t>
            </w:r>
          </w:p>
        </w:tc>
        <w:tc>
          <w:tcPr>
            <w:tcW w:w="12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112,500</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2,733,663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2,846,163</w:t>
            </w:r>
          </w:p>
        </w:tc>
      </w:tr>
      <w:tr>
        <w:trPr>
          <w:trHeight w:val="171"/>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Aldrich</w:t>
            </w:r>
          </w:p>
        </w:tc>
        <w:tc>
          <w:tcPr>
            <w:tcW w:w="1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12,500</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264,917</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277,417</w:t>
            </w:r>
          </w:p>
        </w:tc>
      </w:tr>
      <w:tr>
        <w:trPr>
          <w:trHeight w:val="171"/>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Kurt Busch</w:t>
            </w:r>
          </w:p>
        </w:tc>
        <w:tc>
          <w:tcPr>
            <w:tcW w:w="12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12,500</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260,995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273,495</w:t>
            </w:r>
          </w:p>
        </w:tc>
      </w:tr>
      <w:tr>
        <w:trPr>
          <w:trHeight w:val="171"/>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Carpou</w:t>
            </w:r>
          </w:p>
        </w:tc>
        <w:tc>
          <w:tcPr>
            <w:tcW w:w="1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12,500</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245,309</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257,809</w:t>
            </w:r>
          </w:p>
        </w:tc>
      </w:tr>
      <w:tr>
        <w:trPr>
          <w:trHeight w:val="185"/>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Long</w:t>
            </w:r>
          </w:p>
        </w:tc>
        <w:tc>
          <w:tcPr>
            <w:tcW w:w="122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12,500</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224,917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237,417</w:t>
            </w:r>
          </w:p>
        </w:tc>
      </w:tr>
    </w:tbl>
    <w:p>
      <w:pPr>
        <w:spacing w:after="0" w:line="142" w:lineRule="exact"/>
        <w:rPr>
          <w:sz w:val="20"/>
          <w:szCs w:val="20"/>
          <w:color w:val="auto"/>
        </w:rPr>
      </w:pPr>
    </w:p>
    <w:p>
      <w:pPr>
        <w:ind w:left="520" w:hanging="259"/>
        <w:spacing w:after="0" w:line="264" w:lineRule="auto"/>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non-employee directors received a portion of their fees in Class A Common Stock in lieu of cash. The amount each of our non-employee directors would have otherwise received in cash was $162,500.</w:t>
      </w:r>
    </w:p>
    <w:p>
      <w:pPr>
        <w:spacing w:after="0" w:line="1" w:lineRule="exact"/>
        <w:rPr>
          <w:rFonts w:ascii="Times New Roman" w:cs="Times New Roman" w:eastAsia="Times New Roman" w:hAnsi="Times New Roman"/>
          <w:sz w:val="14"/>
          <w:szCs w:val="14"/>
          <w:color w:val="auto"/>
        </w:rPr>
      </w:pPr>
    </w:p>
    <w:p>
      <w:pPr>
        <w:jc w:val="both"/>
        <w:ind w:left="520" w:hanging="259"/>
        <w:spacing w:after="0" w:line="254" w:lineRule="auto"/>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in this column for co-founders Messrs. Peterson and Goerner represents the aggregate grant date fair value of the stock awards in accordance with ASC Topic 718, which is based on the stock price on the date of the Closing of $104.70. However, the value received at issuance of the Post-Closing RSUs on April 15, 2025 was approximately $141,667, which is based on the issuance date stock price of $8.50.</w:t>
      </w:r>
    </w:p>
    <w:p>
      <w:pPr>
        <w:ind w:left="520" w:hanging="259"/>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sets forth the aggregate number of restricted stock units outstanding, as of September 30, 2025, for each of our non-employee directors.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Unexercised</w:t>
            </w:r>
          </w:p>
        </w:tc>
      </w:tr>
      <w:tr>
        <w:trPr>
          <w:trHeight w:val="171"/>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Stock Options</w:t>
            </w:r>
          </w:p>
        </w:tc>
      </w:tr>
      <w:tr>
        <w:trPr>
          <w:trHeight w:val="187"/>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r>
      <w:tr>
        <w:trPr>
          <w:trHeight w:val="162"/>
        </w:trPr>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Peterson, Co-Founder</w:t>
            </w:r>
          </w:p>
        </w:tc>
        <w:tc>
          <w:tcPr>
            <w:tcW w:w="24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127,336</w:t>
            </w:r>
          </w:p>
        </w:tc>
        <w:tc>
          <w:tcPr>
            <w:tcW w:w="3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15,341</w:t>
            </w:r>
          </w:p>
        </w:tc>
        <w:tc>
          <w:tcPr>
            <w:tcW w:w="100" w:type="dxa"/>
            <w:vAlign w:val="bottom"/>
            <w:tcBorders>
              <w:top w:val="single" w:sz="8" w:color="CCEEFF"/>
            </w:tcBorders>
            <w:shd w:val="clear" w:color="auto" w:fill="CCEEFF"/>
          </w:tcPr>
          <w:p>
            <w:pPr>
              <w:spacing w:after="0"/>
              <w:rPr>
                <w:sz w:val="14"/>
                <w:szCs w:val="14"/>
                <w:color w:val="auto"/>
              </w:rPr>
            </w:pPr>
          </w:p>
        </w:tc>
      </w:tr>
      <w:tr>
        <w:trPr>
          <w:trHeight w:val="171"/>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Frederick Goerner, Co-Founder</w:t>
            </w:r>
          </w:p>
        </w:tc>
        <w:tc>
          <w:tcPr>
            <w:tcW w:w="1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127,665</w:t>
            </w:r>
          </w:p>
        </w:tc>
        <w:tc>
          <w:tcPr>
            <w:tcW w:w="320" w:type="dxa"/>
            <w:vAlign w:val="bottom"/>
          </w:tcPr>
          <w:p>
            <w:pPr>
              <w:spacing w:after="0"/>
              <w:rPr>
                <w:sz w:val="14"/>
                <w:szCs w:val="14"/>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15,341</w:t>
            </w:r>
          </w:p>
        </w:tc>
      </w:tr>
      <w:tr>
        <w:trPr>
          <w:trHeight w:val="171"/>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Aldrich</w:t>
            </w:r>
          </w:p>
        </w:tc>
        <w:tc>
          <w:tcPr>
            <w:tcW w:w="13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w:t>
            </w:r>
          </w:p>
        </w:tc>
        <w:tc>
          <w:tcPr>
            <w:tcW w:w="32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15,341</w:t>
            </w:r>
          </w:p>
        </w:tc>
      </w:tr>
      <w:tr>
        <w:trPr>
          <w:trHeight w:val="171"/>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Kurt Busch</w:t>
            </w:r>
          </w:p>
        </w:tc>
        <w:tc>
          <w:tcPr>
            <w:tcW w:w="1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6,903</w:t>
            </w:r>
          </w:p>
        </w:tc>
        <w:tc>
          <w:tcPr>
            <w:tcW w:w="320" w:type="dxa"/>
            <w:vAlign w:val="bottom"/>
          </w:tcPr>
          <w:p>
            <w:pPr>
              <w:spacing w:after="0"/>
              <w:rPr>
                <w:sz w:val="14"/>
                <w:szCs w:val="14"/>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15,341</w:t>
            </w:r>
          </w:p>
        </w:tc>
      </w:tr>
      <w:tr>
        <w:trPr>
          <w:trHeight w:val="171"/>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Carpou</w:t>
            </w:r>
          </w:p>
        </w:tc>
        <w:tc>
          <w:tcPr>
            <w:tcW w:w="13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6,707</w:t>
            </w:r>
          </w:p>
        </w:tc>
        <w:tc>
          <w:tcPr>
            <w:tcW w:w="32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Long</w:t>
            </w:r>
          </w:p>
        </w:tc>
        <w:tc>
          <w:tcPr>
            <w:tcW w:w="13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6,952</w:t>
            </w:r>
          </w:p>
        </w:tc>
        <w:tc>
          <w:tcPr>
            <w:tcW w:w="320" w:type="dxa"/>
            <w:vAlign w:val="bottom"/>
          </w:tcPr>
          <w:p>
            <w:pPr>
              <w:spacing w:after="0"/>
              <w:rPr>
                <w:sz w:val="16"/>
                <w:szCs w:val="16"/>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(4) Amounts reported herein may not foot due to rounding.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Policies and Practices Related to the Grant of Certain Equity Awards Close in Time to the Release of Material Nonpublic Information</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response to Item 402(x)(1) of Regulation S-K, we do not grant new awards of stock options, stock appreciation rights, or similar option-like instruments within four business days before or one business day after the release of a Form 10-Q, 10-K, or 8-K that discloses material nonpublic information. Accordingly, we have no specific policy or practice on the timing of awards of such options in relation to the disclosure of material nonpublic information by us. In the event that we determine to grant new awards of such options, the Board will evaluate the appropriate steps to take in relation to the foregoing.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following summary of the material terms of our securities is not intended to be a complete summary of the rights and preferences of such securities. The full text of our Charter and amendment to the Charter, which together are referred to as the Charter, and Bylaws is included as Exhibit 3.1, Exhibit 3.2, and Exhibit 3.3 respectively, to the registration statement of which this prospectus forms a part and is incorporated herein by reference. We urge you to read our Charter and Bylaws in their entirety for a complete description of the rights and preferences of our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and Outstanding Stock</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Our Charter authorizes three hundred million (300,000,000) shares, consisting of three (3) classes: (i) two-hundred and eighty-five million (285,000,000) shares of Class A Common Stock, $0.00001 par value per share, (ii) five million (5,000,000) shares of Class B Common Stock, $0.00001 par value per share, and (iii) ten million (10,000,000) shares of Preferred Stock, $0.00001 par value per share.</w:t>
      </w:r>
    </w:p>
    <w:p>
      <w:pPr>
        <w:spacing w:after="0" w:line="13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As of June 8, 2026, there were 14,998,187 shares of Class A Common Stock outstanding, 200,491 shares of Class B Common Stock outstanding. As of the date of this prospectus, there were 2,000 shares of Series A Preferred Stock outstanding.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Power</w:t>
      </w:r>
    </w:p>
    <w:p>
      <w:pPr>
        <w:spacing w:after="0" w:line="184" w:lineRule="exact"/>
        <w:rPr>
          <w:sz w:val="20"/>
          <w:szCs w:val="20"/>
          <w:color w:val="auto"/>
        </w:rPr>
      </w:pPr>
    </w:p>
    <w:p>
      <w:pPr>
        <w:jc w:val="both"/>
        <w:ind w:firstLine="512"/>
        <w:spacing w:after="0" w:line="262" w:lineRule="auto"/>
        <w:rPr>
          <w:sz w:val="20"/>
          <w:szCs w:val="20"/>
          <w:color w:val="auto"/>
        </w:rPr>
      </w:pPr>
      <w:r>
        <w:rPr>
          <w:rFonts w:ascii="Times New Roman" w:cs="Times New Roman" w:eastAsia="Times New Roman" w:hAnsi="Times New Roman"/>
          <w:sz w:val="14"/>
          <w:szCs w:val="14"/>
          <w:color w:val="auto"/>
        </w:rPr>
        <w:t>Holders of Class A Common Stock and holders of Class B Common Stock vote together as a single class on all matters submitted to a vote of the stockholders except as otherwise required by applicable law or the rules or regulations of any stock exchange applicable to Mobix Labs or by or pursuant to the Charter. Holders of Class A Common Stock are entitled to one (1) vote for each share of Class A Common Stock held of record by such holder on all matters to be voted on by stockholders except as otherwise required by applicable law or the rules or regulations of any stock exchange applicable to Mobix Labs or by or pursuant to the Charter. Holders of Class B Common Stock are entitled to ten (10) votes for each share of Class B Common Stock held of record by such holder on all matters to be voted on by stockholders except as otherwise required by applicable law or the rules or regulations of any stock exchange applicable to Mobix Labs or by or pursuant to the Charter.</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and Distribution Rights</w:t>
      </w:r>
    </w:p>
    <w:p>
      <w:pPr>
        <w:spacing w:after="0" w:line="184"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Subject to applicable law and the rights, if any, of any holders of any outstanding series of Preferred Stock, holders of Common Stock are entitled to receive dividends or distributions when, as and if declared by the Board in its discretion, payable either in cash, in property or in shares of capital stock. Generally, the holders of Common Stock share in such dividends or distributions ratably in proportion to the number of shares held by them; except that if a dividend or distribution is proposed to be declared and paid or set apart for payment to the holders of Class A Common Stock in shares of Class A Common Stock or rights to acquire shares of Class A Common Stock or to the holders of Class B Common Stock shares of Class B Common Stock or rights to acquire Class B Common Stock, a dividend or distribution of an equal number of shares of Class B Common Stock or rights to acquires Class B Common Stock shall be declared and paid or set apart for payment to the holders of Class B Common Stock or a dividend or distribution of an equal number of shares of Class A Common Stock or rights to acquire shares of Class A Common Stock shall be declared and paid or set apart for payment to the holders of Class A Common Stock,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 Dissolution and Winding Up</w:t>
      </w:r>
    </w:p>
    <w:p>
      <w:pPr>
        <w:spacing w:after="0" w:line="184" w:lineRule="exact"/>
        <w:rPr>
          <w:sz w:val="20"/>
          <w:szCs w:val="20"/>
          <w:color w:val="auto"/>
        </w:rPr>
      </w:pPr>
    </w:p>
    <w:p>
      <w:pPr>
        <w:jc w:val="both"/>
        <w:ind w:firstLine="512"/>
        <w:spacing w:after="0" w:line="282" w:lineRule="auto"/>
        <w:rPr>
          <w:sz w:val="20"/>
          <w:szCs w:val="20"/>
          <w:color w:val="auto"/>
        </w:rPr>
      </w:pPr>
      <w:r>
        <w:rPr>
          <w:rFonts w:ascii="Times New Roman" w:cs="Times New Roman" w:eastAsia="Times New Roman" w:hAnsi="Times New Roman"/>
          <w:sz w:val="14"/>
          <w:szCs w:val="14"/>
          <w:color w:val="auto"/>
        </w:rPr>
        <w:t>Subject to applicable law and the rights, if any, of any holders of any outstanding series of Preferred Stock, in the event of any liquidation, dissolution or winding up, the holders of outstanding shares of Common Stock are entitled to receive pro rata Mobix Labs’ remaining assets available for distribution, ratably in proportion to the number of shares of Common Stock held by them.</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184" w:lineRule="exact"/>
        <w:rPr>
          <w:sz w:val="20"/>
          <w:szCs w:val="20"/>
          <w:color w:val="auto"/>
        </w:rPr>
      </w:pPr>
    </w:p>
    <w:p>
      <w:pPr>
        <w:jc w:val="both"/>
        <w:ind w:firstLine="512"/>
        <w:spacing w:after="0" w:line="259" w:lineRule="auto"/>
        <w:rPr>
          <w:sz w:val="20"/>
          <w:szCs w:val="20"/>
          <w:color w:val="auto"/>
        </w:rPr>
      </w:pPr>
      <w:r>
        <w:rPr>
          <w:rFonts w:ascii="Times New Roman" w:cs="Times New Roman" w:eastAsia="Times New Roman" w:hAnsi="Times New Roman"/>
          <w:sz w:val="14"/>
          <w:szCs w:val="14"/>
          <w:color w:val="auto"/>
        </w:rPr>
        <w:t>Each outstanding share of Class B Common Stock may, at the option of the holder thereof at any time upon written notice to Mobix Labs, be converted into one (1) fully-paid and non-assessable share of Class A Common Stock. Each outstanding share of Class B Common Stock will be automatically, without further action by the holder thereof, converted into one (1) fully-paid and non-assessable share of Class A Common Stock upon the transfer of such share of Class B Common Stock other than to a “permitted transferee” or (b) at 5:00 p.m. New York City time on the first trading day (on the primary stock exchange on which Mobix Labs shares are then listed) after the seventh anniversary date of the Closing Date. “Permitted Transferees” for this purpose means</w:t>
      </w:r>
    </w:p>
    <w:p>
      <w:pPr>
        <w:spacing w:after="0" w:line="2" w:lineRule="exact"/>
        <w:rPr>
          <w:sz w:val="20"/>
          <w:szCs w:val="20"/>
          <w:color w:val="auto"/>
        </w:rPr>
      </w:pPr>
    </w:p>
    <w:p>
      <w:pPr>
        <w:jc w:val="both"/>
        <w:ind w:firstLine="5"/>
        <w:spacing w:after="0" w:line="259" w:lineRule="auto"/>
        <w:tabs>
          <w:tab w:leader="none" w:pos="213"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holders of Class B Common Stock immediately following the Closing, (2) their immediate family members, (3) entities controlled directly or indirectly by them or their immediate family members, and (4) individual retirement accounts for their exclusive benefit or the benefit of their immediate family members or any trust forming part of the a stock bonus, pension or profit-sharing plan for the exclusive benefit of the employer’s employees or their beneficiaries under Section 401 of the Code in which they or their immediate family members are participants, subject to them or their immediate family members having sole decision making authority as to the Class B Common Stock in such account or trust, including as to the voting of such Class B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Preemptive or Other Rights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Holders of Common Stock will not be entitled to preemptive rights, and Common Stock is not subject to redemption or sinking fund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Election of Directors</w:t>
      </w:r>
    </w:p>
    <w:p>
      <w:pPr>
        <w:spacing w:after="0" w:line="184"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The Charter and the Bylaws provide, except for those directors, if any, elected by the holders of any series of Preferred Stock then outstanding pursuant to the Charter, establish a classified board of directors that is divided into three (3) classes designated as Class I, Class II and Class III, as nearly equal in number as possible, with staggered three-year terms and with each class containing (for so long as there are three Class B Directors then in office) not more than one Class B Director. Only the directors in one class are elected at each annual meeting of Mobix Labs’ stockholders, with the directors in the other classes continuing for the remainder of their respective three-year terms. For so long as any shares of Class B Common Stock remain outstanding, the holders of a majority of the voting power of the shares of Class B Common Stock then outstanding voting as a separate class are entitled to (i) elect three Class B Directors, (ii) remove from office any Class B Director, and (iii) fill any vacancy caused by the death, resignation, disqualification, removal or other cause of any Class B Director.</w:t>
      </w:r>
    </w:p>
    <w:p>
      <w:pPr>
        <w:spacing w:after="0" w:line="145"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Mobix Labs’ stockholders will not have the ability to cumulate votes for the election of directors. The Bylaws provide that, other than with respect to Class B Directors or the directors elected by any series of Preferred Stock then outstanding pursuant to the Charter, at all meetings of stockholders held for the election of directors at which a quorum is present, a majority of the votes cast will be sufficient to elect directors; provided, however, that where one or more stockholders have (a) nominated one or more individuals to the Board in compliance with the Bylaws, and such</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nominees for election exceeds the number of open seats, and (b) not withdrawn such nomination on or prior to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day preceding the date on which Mobix Labs first gives notice to stockholders of such meeting of stockholders for the election of directors, a plurality of the votes cast will be sufficient to elect.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82"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The Charter expressly authorizes the Board to provide for one or more series of Preferred Stock and pursuant to which the Board is authorized to establish the number of shares to be included in each such series, to fix the designation, powers (including voting powers), preferences and relative, participating, optional or other rights (and the qualifications, limitations or restrictions thereof) of the shares of each such series, in each case without further vote or action by the stockholders. The Charter provides that the number of authorized shares of Preferred Stock may be increased or decreased (but not below the number of shares thereof then outstanding) by the affirmative vote of the holders of a majority of the voting power of the then outstanding shares of capital stock entitled to vote, without the separate vote of the holders of outstanding shares of Preferred Stock voting as a single class. The Charter provides that except as may otherwise be provided by applicable law or the rules or regulations of any stock exchange applicable to Mobix Labs or by or pursuant to the provisions of the Charter, no holder of any series of Preferred Stock is entitled to any voting powers. The Board is able to, without stockholder approval, create and issue series of Preferred Stock with voting and other rights that could adversely affect the voting power and other rights of the holders of the Common Stock and could have anti-takeover effects. The ability of the Board to issue Preferred Stock, while providing flexibility in connection with possible acquisitions and other corporate purposes, could, among other things, have the effect of delaying, deferring or preventing a change of control of Mobix Labs or the removal of existing management.</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the date of this prospectus, 2026, there are 2,000 shares of Series A Preferred Stock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10% Convertible Preferred Stock</w:t>
      </w:r>
    </w:p>
    <w:p>
      <w:pPr>
        <w:spacing w:after="0" w:line="18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 May 19, 2026, we entered into the May 2026 Purchase Agreement, pursuant to which we agreed to sell to Kips (i) 2,000 Preferred Shares for aggregate gross proceeds of $2,400, and (ii) the Preferred Warrant to purchase up to an additional 6,000 Preferred Shares at an exercise price of $1,000 per share. The COD provides that 20,000 shares have been designated as Preferred Shares, subject to increase as set forth in the COD.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Stated Value</w:t>
      </w:r>
      <w:r>
        <w:rPr>
          <w:rFonts w:ascii="Times New Roman" w:cs="Times New Roman" w:eastAsia="Times New Roman" w:hAnsi="Times New Roman"/>
          <w:sz w:val="14"/>
          <w:szCs w:val="14"/>
          <w:color w:val="auto"/>
        </w:rPr>
        <w:t>. Each share of Series A Preferred Stock has a stated value of $1,200 per share (the “Stated Value”).</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Holders of Preferred Shares are entitled to receive cumulative dividends at the rate of 10% per annum of the Stated Value, payable quarterly and on each conversion or redemption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are payable, at our option, in cash or in additional shares of Series A Preferred Stock (the “Dividend Shares”) at the rate of one share of Series A Preferred Stock per $1,000 of the dividend amount payable.</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i w:val="1"/>
          <w:iCs w:val="1"/>
          <w:color w:val="auto"/>
        </w:rPr>
        <w:t>Conversion</w:t>
      </w:r>
      <w:r>
        <w:rPr>
          <w:rFonts w:ascii="Times New Roman" w:cs="Times New Roman" w:eastAsia="Times New Roman" w:hAnsi="Times New Roman"/>
          <w:sz w:val="14"/>
          <w:szCs w:val="14"/>
          <w:color w:val="auto"/>
        </w:rPr>
        <w:t>. Each Preferred Share is convertible at the option of the holder, subject to the beneficial ownership and Nasdaq stockholder approval limitations described below, into a number of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Class A Common Stock equal to the Stated Value (plus any accrued and unpaid dividends and other amounts due) divided by the applicable conversion price. The conversion price is equal to 82% of the lowest VWAP of the Class A Common Stock during the eight (8) trading days immediately prior to and including the applicable conversion date (the “Kips Conversion Price”), subject to adjustment as described below.</w:t>
      </w:r>
    </w:p>
    <w:p>
      <w:pPr>
        <w:spacing w:after="0" w:line="13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i w:val="1"/>
          <w:iCs w:val="1"/>
          <w:color w:val="auto"/>
        </w:rPr>
        <w:t>Anti-Dilution Adjustment</w:t>
      </w:r>
      <w:r>
        <w:rPr>
          <w:rFonts w:ascii="Times New Roman" w:cs="Times New Roman" w:eastAsia="Times New Roman" w:hAnsi="Times New Roman"/>
          <w:sz w:val="14"/>
          <w:szCs w:val="14"/>
          <w:color w:val="auto"/>
        </w:rPr>
        <w:t>. If we issue or sell any shares of Class A Common Stock or common stock equivalents at an effective price per share lower than the then-applicable Kips Conversion Price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“Dilutive Issuance”), the Kips Conversion Price will be reduced to equal such lower effective price per share, subject to customary exceptions.</w:t>
      </w:r>
    </w:p>
    <w:p>
      <w:pPr>
        <w:spacing w:after="0" w:line="1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Market Price Adjustment</w:t>
      </w:r>
      <w:r>
        <w:rPr>
          <w:rFonts w:ascii="Times New Roman" w:cs="Times New Roman" w:eastAsia="Times New Roman" w:hAnsi="Times New Roman"/>
          <w:sz w:val="14"/>
          <w:szCs w:val="14"/>
          <w:color w:val="auto"/>
        </w:rPr>
        <w:t>. If the lowest VWAP of the Class A Common Stock during the ten (10) trading days prior to the applicable conversion date (the “Market Price”) is less than the Kips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Conversion Price, the aggregate Stated Value of the holder’s outstanding shares of Series A Preferred Stock will be automatically increased by an amount equal to the difference between the Kips Conversion Price and the Market Price, multiplied by the number of shares issued upon such conversion.</w:t>
      </w:r>
    </w:p>
    <w:p>
      <w:pPr>
        <w:spacing w:after="0" w:line="13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Beneficial Ownership Limitation</w:t>
      </w:r>
      <w:r>
        <w:rPr>
          <w:rFonts w:ascii="Times New Roman" w:cs="Times New Roman" w:eastAsia="Times New Roman" w:hAnsi="Times New Roman"/>
          <w:sz w:val="14"/>
          <w:szCs w:val="14"/>
          <w:color w:val="auto"/>
        </w:rPr>
        <w:t>. A holder of Preferred Shares will not have the right to convert any portion of the Preferred Shares, to the extent that, after giving effect to such conversion,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 (together with its affiliates) would beneficially own in excess of 4.99% of shares of Class A Common Stock outstanding immediately after giving effect to such conversion. A holder may, upon 61 days’ prior notice to us, increase such limitation to a percentage not in excess of 9.99%.</w:t>
      </w:r>
    </w:p>
    <w:p>
      <w:pPr>
        <w:spacing w:after="0" w:line="13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Optional Redemption by the Company</w:t>
      </w:r>
      <w:r>
        <w:rPr>
          <w:rFonts w:ascii="Times New Roman" w:cs="Times New Roman" w:eastAsia="Times New Roman" w:hAnsi="Times New Roman"/>
          <w:sz w:val="14"/>
          <w:szCs w:val="14"/>
          <w:color w:val="auto"/>
        </w:rPr>
        <w:t>. Beginning thirty business days after the original issue date of the Series A Preferred Stock, we may, subject to the satisfaction of certain “equity conditions”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specified in the COD, redeem some or all of the then-outstanding Preferred Shares for cash at a redemption price equal to 110% of the aggregate Stated Value, plus accrued but unpaid dividends and other amounts due.</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Triggering Events; Holder Redemption Rights</w:t>
      </w:r>
      <w:r>
        <w:rPr>
          <w:rFonts w:ascii="Times New Roman" w:cs="Times New Roman" w:eastAsia="Times New Roman" w:hAnsi="Times New Roman"/>
          <w:sz w:val="14"/>
          <w:szCs w:val="14"/>
          <w:color w:val="auto"/>
        </w:rPr>
        <w:t>. The COD specifies certain “Triggering Events,” including, among other things, (i) failure to maintain an effective registration statement covering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resale of the Class A Common Stock issuable upon conversion of the Preferred Shares, (ii) failure to timely deliver conversion shares, (iii) an Authorized Share Failure (as defined in the COD), (iv) a Bankruptcy Event (as defined in the COD), (v) delisting of the Class A Common Stock for more than five trading days, (vi) an unsatisfied monetary judgment against us in excess of $500,000 that remains unsatisfied for 60 calendar days, (vii) any cessation of operations by us, and (viii) certain other specified events. Upon the occurrence of a Triggering Event, each holder of Series A Preferred Stock may require us to redeem all of such holder’s Preferred Shares for cash at a “Triggering Redemption Amount” equal to the greater of (a) 120% of the aggregate Stated Value and (b) a market-based amount calculated by reference to the VWAP of the Class A Common Stock and the then-applicable Kips Conversion Price, in each case plus all accrued but unpaid dividends and any liquidated damages and other amounts due. In addition, upon the occurrence of a Triggering Event, we are obligated to pay liquidated damages of $250,000 in cash within five trading days, with interest accruing at a rate of 2% per month on any unpaid amount.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June 8, 2026 there were 6,000,000 Public Warrants and 3,000,000 Private Warrants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Warrants</w:t>
      </w:r>
    </w:p>
    <w:p>
      <w:pPr>
        <w:spacing w:after="0" w:line="184"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Each whole Public Warrant and whole Private Warrant entitles the registered holder to purchase one-tenth (1/10) of a share of Class A Common Stock at a price of $57.90 per share, subject to adjustment as discussed below, at any time commencing January 20, 2024, provided that a registration statement under the Securities Act covering shares of Class A Common Stock issuable upon exercise of the Public Warrants is then effective and a current prospectus relating thereto is available (or holders are permitted to exercise their Public Warrants on a cashless basis under the circumstances specified in the Warrant Agreement) and such shares are registered, qualified or exempt from registration under the securities, or blue sky, laws of the state of residence of the holder. The Public Warrants will expire on December 21, 2028, at 5:00 p.m., New York City time, or earlier upon redemption or liquidation.</w:t>
      </w:r>
    </w:p>
    <w:p>
      <w:pPr>
        <w:spacing w:after="0" w:line="142" w:lineRule="exact"/>
        <w:rPr>
          <w:sz w:val="20"/>
          <w:szCs w:val="20"/>
          <w:color w:val="auto"/>
        </w:rPr>
      </w:pPr>
    </w:p>
    <w:p>
      <w:pPr>
        <w:jc w:val="both"/>
        <w:ind w:firstLine="512"/>
        <w:spacing w:after="0" w:line="259" w:lineRule="auto"/>
        <w:rPr>
          <w:sz w:val="20"/>
          <w:szCs w:val="20"/>
          <w:color w:val="auto"/>
        </w:rPr>
      </w:pPr>
      <w:r>
        <w:rPr>
          <w:rFonts w:ascii="Times New Roman" w:cs="Times New Roman" w:eastAsia="Times New Roman" w:hAnsi="Times New Roman"/>
          <w:sz w:val="14"/>
          <w:szCs w:val="14"/>
          <w:color w:val="auto"/>
        </w:rPr>
        <w:t>We will not be obligated to deliver any shares of Class A Common Stock pursuant to the exercise of a Public Warrant and will have no obligation to settle such warrant exercise unless a registration statement under the Securities Act with respect to the shares of Class A Common Stock underlying the Public Warrants is then effective and a prospectus relating thereto is current, subject to us satisfying its obligations described below with respect to registration. No Public Warrant will be exercisable, and we will not be obligated to issue shares of Class A Common Stock upon exercise of a Public Warrant unless the shares of Class A Common Stock issuable upon such warrant exercise has been registered, qualified or deemed to be exempt from registration or qualification under the securities laws of the state of residence of the registered holder of the Public Warrants. In the event that the conditions in the two immediately preceding sentences are not satisfied with respect to a Public Warrant, the holder of such warrant will not be entitled to exercise such warrant and such warrant may have no value and expire worthless, in which case the purchaser of a Unit containing such Public Warrants will have paid the full purchase price for the Unit solely for the shares of Class A Common Stock underlying such Unit. In no event will we be required to net cash settle any Public Warrant.</w:t>
      </w:r>
    </w:p>
    <w:p>
      <w:pPr>
        <w:spacing w:after="0" w:line="147" w:lineRule="exact"/>
        <w:rPr>
          <w:sz w:val="20"/>
          <w:szCs w:val="20"/>
          <w:color w:val="auto"/>
        </w:rPr>
      </w:pPr>
    </w:p>
    <w:p>
      <w:pPr>
        <w:jc w:val="both"/>
        <w:ind w:firstLine="512"/>
        <w:spacing w:after="0"/>
        <w:rPr>
          <w:sz w:val="20"/>
          <w:szCs w:val="20"/>
          <w:color w:val="auto"/>
        </w:rPr>
      </w:pPr>
      <w:r>
        <w:rPr>
          <w:rFonts w:ascii="Times New Roman" w:cs="Times New Roman" w:eastAsia="Times New Roman" w:hAnsi="Times New Roman"/>
          <w:sz w:val="14"/>
          <w:szCs w:val="14"/>
          <w:color w:val="auto"/>
        </w:rPr>
        <w:t>We registered the shares of Class A Common Stock issuable upon exercise of the Public Warrants in the registration statement relating to the Merger. However, because the Public Warrants will be exercisable until their expiration date of December 21, 2028, in order to comply with the requirements of Section 10(a)(3) of the Securities Act following the consummation of an initial business combination, we will use our best efforts to file with the SEC a registration statement registering, under the Securities Act, the issuance of the shares of Class A Common Stock issuable upon exercise of the Public Warrants, and the registration statement of which this prospectus is a part is intended to satisfy this requirement. We will use our best efforts to cause the same to become effective and to maintain the effectiveness of such registration statement, and a current prospectus relating thereto, until the expiration of the Public Warrants in accordance with the provisions of the Warrant Agreement. If any such registration statement has not been declared effective by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business day following the closing of the Merger, holders of the Public Warrants will have the right,</w:t>
      </w:r>
    </w:p>
    <w:p>
      <w:pPr>
        <w:spacing w:after="0" w:line="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during the period beginning on the 61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4"/>
          <w:szCs w:val="14"/>
          <w:color w:val="auto"/>
        </w:rPr>
        <w:t xml:space="preserve"> business day after the Closing and ending upon such registration statement being declared effective by the SEC, and during any other period when we fail to have maintained an effective registration statement covering the shares of Class A Common Stock issuable upon exercise of the Public Warrants, to exercise such warrants on a “cashless basis,” by exchanging the Public Warrants (in accordance with Section 3(a)(9) of the Securities Act (or any successor rule) or another exemption). Notwithstanding the above, if the shares of Class A Common Stock are at the time of any exercise of a Public Warrant not listed on a national securities exchange such that it satisfies the definition of a “covered security” under Section 18(b)(1) of the Securities Act (or any successor rule), we may, at our option, require holders of Public Warrants who exercise their Public Warrants to exercise such Public Warrants on a “cashless basis” in accordance with Section 3(a)(9) of the Securities Act (or any successor rule) and (i) in the event we so elect, we will not be required to file or maintain in effect a registration statement for the registration, under the Securities Act, of the shares of Class A Common Stock issuable upon exercise of the Public Warrants or (ii) if we do not so elect, we agree to use our best efforts to register or qualify for sale the shares of Class A Common Stock issuable upon exercise of the Public Warrants under the applicable blue sky laws of the state of residence of the exercising Public Warrant holder to the extent an exemption is not available.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i w:val="1"/>
          <w:iCs w:val="1"/>
          <w:color w:val="auto"/>
        </w:rPr>
        <w:t>Redemption of Public Warrants for Cash</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may redeem the Public Warrants in whole and not in part;</w:t>
      </w:r>
    </w:p>
    <w:p>
      <w:pPr>
        <w:spacing w:after="0" w:line="180"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$0.01 per warrant;</w:t>
      </w:r>
    </w:p>
    <w:p>
      <w:pPr>
        <w:spacing w:after="0" w:line="180"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after the Public Warrants become exercisable;</w:t>
      </w:r>
    </w:p>
    <w:p>
      <w:pPr>
        <w:spacing w:after="0" w:line="180"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not less than 30 days’ prior written notice of redemption to each warrant holder;</w:t>
      </w:r>
    </w:p>
    <w:p>
      <w:pPr>
        <w:spacing w:after="0" w:line="180" w:lineRule="exact"/>
        <w:rPr>
          <w:rFonts w:ascii="Times New Roman" w:cs="Times New Roman" w:eastAsia="Times New Roman" w:hAnsi="Times New Roman"/>
          <w:sz w:val="14"/>
          <w:szCs w:val="14"/>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reported last sale price of the shares of Class A Common Stock equals or exceeds $90.60 per share (as adjusted for share subdivisions, share capitalizations, reorganizations, recapitalizations and the like and for certain issuances of shares of Class A Common Stock and equity-linked securities for capital raising purposes in connection with the closing of our initial business combination), for any 20 trading days within a 30-day trading period commencing after the Public Warrants become exercisable and ending on the third business day prior to the notice of redemption to warrant holders; and</w:t>
      </w:r>
    </w:p>
    <w:p>
      <w:pPr>
        <w:spacing w:after="0" w:line="139" w:lineRule="exact"/>
        <w:rPr>
          <w:rFonts w:ascii="Times New Roman" w:cs="Times New Roman" w:eastAsia="Times New Roman" w:hAnsi="Times New Roman"/>
          <w:sz w:val="14"/>
          <w:szCs w:val="14"/>
          <w:color w:val="auto"/>
        </w:rPr>
      </w:pPr>
    </w:p>
    <w:p>
      <w:pPr>
        <w:jc w:val="both"/>
        <w:ind w:left="1020" w:hanging="503"/>
        <w:spacing w:after="0" w:line="272" w:lineRule="auto"/>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there is a current registration statement in effect with respect to the shares of Class A Common Stock underlying such Public Warrants at the time of redemption and for the entire 30-day trading period referred to above and continuing each day thereafter until the date of redemption, except if the Public Warrants may be exercised on a cashless basis and such cashless exercise is exempt from registration under the Securities Act.</w:t>
      </w:r>
    </w:p>
    <w:p>
      <w:pPr>
        <w:spacing w:after="0" w:line="135"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 xml:space="preserve">We have established the penultimate item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Any such exercise would not be done on a “cashless” basis and would require the exercising warrant holder to pay the exercise price for each Public Warrant being exercised. However, the price of the Ordinary Share may fall below the $90.60 redemption trigger price (as adjusted for adjustments to the number of shares issuable upon exercise or the exercise price of a Public Warrant as described under the heading “— </w:t>
      </w:r>
      <w:r>
        <w:rPr>
          <w:rFonts w:ascii="Times New Roman" w:cs="Times New Roman" w:eastAsia="Times New Roman" w:hAnsi="Times New Roman"/>
          <w:sz w:val="14"/>
          <w:szCs w:val="14"/>
          <w:i w:val="1"/>
          <w:iCs w:val="1"/>
          <w:color w:val="auto"/>
        </w:rPr>
        <w:t>Anti-dilution Adjustments</w:t>
      </w:r>
      <w:r>
        <w:rPr>
          <w:rFonts w:ascii="Times New Roman" w:cs="Times New Roman" w:eastAsia="Times New Roman" w:hAnsi="Times New Roman"/>
          <w:sz w:val="14"/>
          <w:szCs w:val="14"/>
          <w:color w:val="auto"/>
        </w:rPr>
        <w:t>” below) as well as the $90.60 (for whole shares) warrant exercise price after the redemption notice is issued. As of the date of this prospectus, the trading price of the shares of Class A Common Stock on Nasdaq has not achieved the $90.60 threshold that would allow us to redeem the Public Warrants.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Redemption Procedures and Cashless Exercise</w:t>
      </w:r>
    </w:p>
    <w:p>
      <w:pPr>
        <w:spacing w:after="0" w:line="184"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If we call the Public Warrants for redemption as described above, the Board will have the option to require any holder that wishes to exercise its Public Warrant to do so on a “cashless basis,” by surrendering the Public Warrants for that number of shares of Class A Common Stock equal to the quotient obtained by dividing (x) the product of the number shares of Class A Common Stock underlying the warrants, multiplied by the excess of the “fair market value” (defined below), over the exercise price of the warrants by (y) the fair market value. “Fair market value” means the average reported closing price of the shares of Class A Common Stock as reported during the ten (10) trading days ending on the third trading day prior to the date on which the notice of redemption is sent to the holders of the Public Warrants. If our Board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the Public Warrants for redemption and our Board does not take advantage of this option, the members of the Sponsor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73" w:name="page74"/>
    <w:bookmarkEnd w:id="73"/>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Class A Common Stock outstanding immediately after giving effect to such exercise.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Anti-Dilution Adjustments</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If the number of outstanding shares of Class A Common Stock is increased by a share capitalization payable in shares of Class A Common Stock, or by a split-up of shares of Class A Common Stock or other similar event, then, on the effective date of such share capitalization, split-up or similar event, the number of shares of Class A Common Stock issuable on exercise of each Public Warrant will be increased in proportion to such increase in the outstanding shares of Class A Common Stock.</w:t>
      </w:r>
    </w:p>
    <w:p>
      <w:pPr>
        <w:spacing w:after="0" w:line="135"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shares of our share capital into which the warrants are convertible), other than (a) as described above, (b) any cash dividend or cash distribution which, when combined on a per share basis with the per share amounts of all other cash dividends and cash distributions paid on the shares of Class A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of Class A Common Stock issuable on exercise of each Public Warrant), but only with respect to the amount of the aggregate cash dividends or cash distributions equal to or less than $5.00 per share (c) to satisfy the redemption rights of the holders of the shares of Class A Common Stock in connection with a proposed initial business combination, (d) to satisfy the redemption rights of the holders of the shares of Class A Common Stock in connection with a shareholder vote to amend the Existing Charter to modify the substance or timing of our obligation to redeem 100% of the Class A Common Stock if the Company does not complete the initial business combination within the period set forth in the Existing Charter or with respect to any other provisions relating to shareholders’ rights or pre-initial business combination activity or (e) in connection with the redemption of the Public Shares upon our failure to complete an initial business combination, then the Public Warrant exercise price will be decreased, effective immediately after the effective date of such event, by the amount of cash and/or the fair market value (as determined by our Board in good faith) of any securities or other assets paid on each Ordinary Share in respect of such event.</w:t>
      </w:r>
    </w:p>
    <w:p>
      <w:pPr>
        <w:spacing w:after="0" w:line="14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outstanding shares of Class A Common Stock.</w:t>
      </w:r>
    </w:p>
    <w:p>
      <w:pPr>
        <w:spacing w:after="0" w:line="135"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Whenever the number of shares of Class A Common Stock purchasable upon the exercise of the Public Warrants is adjusted, as described above, the Public Warrant exercise price will be adjusted (to the nearest cent) by multiplying such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40"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In addition, if (x) we issued additional shares of Class A Common Stock or equity-linked securities for capital raising purposes in connection with the Closing at an issue price or effective issue price of less than $92.00 per share (with such issue price or effective issue price to be determined in good faith by our Board and, in the case of any such issuance to the Sponsor and the officers and directors of Chavant (collectively, the “Initial Shareholders”) or their affiliates, without taking into account any shares issued to the Sponsor prior to the consummation of the Chavant IPO (the “Founder Shares”) held by such shareholders or their affiliates, as applicable, prior to such issuance) (the “Newly Issued Price”), (y) the aggregate gross proceeds from such issuances represented more than 60% of the total equity proceeds, and interest thereon, available for funding the initial business combination on the date of Closing (net of redemptions), and (z) the volume weighted average trading price of the shares of Class A Common Stock during the ten (10) trading day period starting on the trading day prior to the Closing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74" w:name="page75"/>
    <w:bookmarkEnd w:id="74"/>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Date (such price, the “Market Value”) was below $92.00 per share, the exercise price of the Public Warrants will be adjusted (to the nearest cent) to be equal to 115% of the higher of the Market Value and the Newly Issued Price, the $180.00 per share redemption trigger described under “</w:t>
      </w:r>
      <w:r>
        <w:rPr>
          <w:rFonts w:ascii="Times New Roman" w:cs="Times New Roman" w:eastAsia="Times New Roman" w:hAnsi="Times New Roman"/>
          <w:sz w:val="14"/>
          <w:szCs w:val="14"/>
          <w:i w:val="1"/>
          <w:iCs w:val="1"/>
          <w:color w:val="auto"/>
        </w:rPr>
        <w:t>— Redemption of Warrants for Cash</w:t>
      </w:r>
      <w:r>
        <w:rPr>
          <w:rFonts w:ascii="Times New Roman" w:cs="Times New Roman" w:eastAsia="Times New Roman" w:hAnsi="Times New Roman"/>
          <w:sz w:val="14"/>
          <w:szCs w:val="14"/>
          <w:color w:val="auto"/>
        </w:rPr>
        <w:t>” will be adjusted (to the nearest cent) to be equal to 180% of the higher of the Market Value and the Newly Issued Price. As a result of the issuances of shares under the PIPE Subscription Agreements and other agreements in connection with the Closing, we adjusted the exercise price of the Warrants from $115.00 to $57.90 per share and adjusted the redemption trigger price from $180.00 to $90.60 per share.</w:t>
      </w:r>
    </w:p>
    <w:p>
      <w:pPr>
        <w:spacing w:after="0" w:line="140" w:lineRule="exact"/>
        <w:rPr>
          <w:sz w:val="20"/>
          <w:szCs w:val="20"/>
          <w:color w:val="auto"/>
        </w:rPr>
      </w:pPr>
    </w:p>
    <w:p>
      <w:pPr>
        <w:jc w:val="both"/>
        <w:ind w:firstLine="512"/>
        <w:spacing w:after="0" w:line="259" w:lineRule="auto"/>
        <w:rPr>
          <w:sz w:val="20"/>
          <w:szCs w:val="20"/>
          <w:color w:val="auto"/>
        </w:rPr>
      </w:pPr>
      <w:r>
        <w:rPr>
          <w:rFonts w:ascii="Times New Roman" w:cs="Times New Roman" w:eastAsia="Times New Roman" w:hAnsi="Times New Roman"/>
          <w:sz w:val="14"/>
          <w:szCs w:val="14"/>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the outstanding shares of Class A Common Stock), or in the case of any sale or conveyance to another corporation or entity of the assets or other property of Mobix Labs as an entirety or substantially as an entirety in connection with which we are dissolved, the holders of the Public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Matters</w:t>
      </w:r>
    </w:p>
    <w:p>
      <w:pPr>
        <w:spacing w:after="0" w:line="184"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The Public Warrants were issued in registered form under the Warrant Agreement between Continental Stock Transfer &amp; Trust Company, as warrant agent, and the Company. You should review a copy of the Warrant Agreement, which is filed as an exhibit to the registration statement, for a complete description of the terms and conditions applicable to the Public Warrants. The Warrant Agreement provides that the terms of the Public Warrants may be amended without the consent of any holder to cure any ambiguity or correct any defective provision or mistake, and that all other modifications or amendments will require the vote or written consent of the holders of at least 50% of the then-outstanding Public Warrants, and, solely with respect to any amendment to the terms of the Private Placement Warrants, a majority of the then-outstanding Private Placement Warrants.</w:t>
      </w:r>
    </w:p>
    <w:p>
      <w:pPr>
        <w:spacing w:after="0" w:line="14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Public Warrant holders do not have the rights or privileges of holders of shares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spacing w:after="0" w:line="14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Public Warrant holder.</w:t>
      </w:r>
    </w:p>
    <w:p>
      <w:pPr>
        <w:spacing w:after="0" w:line="12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Warrant Agreement provides that any dispute, controversy, or claim, whether in contract of tort, arising or relating to the Warrant Agreement or the enforcement, breach, termination, or validity thereof, shall be submitted to final and binding arbitration in Orange County, California before one neutral and impartial arbitrator, in accordance with the laws of the state of New York. As a result, warrant holders will not be able to pursue litigation in federal or state court against us and instead will be required to pursue such claims through a final and binding arbitration proceeding.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i w:val="1"/>
          <w:iCs w:val="1"/>
          <w:color w:val="auto"/>
        </w:rPr>
        <w:t>PIPE Warrants</w:t>
      </w:r>
    </w:p>
    <w:p>
      <w:pPr>
        <w:spacing w:after="0" w:line="17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On December 20, 2023, Chavant entered into a subscription agreement with Joseph J. Gebbia (“Gebbia”) (the “Gebbia PIPE Subscription Agreement”) pursuant to which Gebbia purchased 7,500 shares of our Class A Common Stock in cash at a price of $100.00 per share for an aggregate purchase price of $750,000, on the terms and subject to the conditions set forth in the Gebbia PIPE Subscription Agreement. In connection with the execution of the Gebbia PIPE Subscription Agreement, Legacy Mobix issued to Gebbia a warrant to purchase 15,000 shares of common stock of Legacy Mobix at an exercise price of $0.10 per share (the “Gebbia Warrant”). We assumed the Gebbia Warrant in the Merger.</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On December 20, 2023, Chavant entered into a subscription agreement with Steven Wright Owens, Jr. (“Owens”) (the “Owens PIPE Subscription Agreement”) pursuant to which Owens purchased 5,000 shares of our Class A Common Stock in cash at a price of $100.00 per share for an aggregate purchase price of $500,000, on the terms and subject to the conditions set forth in the Owens PIPE Subscription Agreement. In connection with the execution of the Owens PIPE Subscription Agreement, Legacy Mobix issued to Owens a warrant to purchase 15,000 shares of common stock of Legacy Mobix at an exercise price of $0.10 per share.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Warrants and Series B Warrants (“Existing Warrants”)</w:t>
      </w:r>
    </w:p>
    <w:p>
      <w:pPr>
        <w:spacing w:after="0" w:line="18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Pursuant to the July 2024 Purchase Agreement, on July 22, 2024 we issued the Existing Warrants as part of the July 2024 Private Placement, each to purchase up to 287,769 shares of Class A Common Stock, to an accredited investor at an exercise price of $13.90 per share. Pursuant to the April 2025 Purchase Agreement, the Company agreed to reduce the exercise price of the Existing Warrants to $8.20 per share. The Existing Warrants became exercisable beginning on the effective date of stockholder approval, which was obtained on May 30, 2025, at an exercise price of $8.20. The Series A Warrants will expire on January 3, 2030 and the Series B Warrants will expire on April 3, 2030.</w:t>
      </w:r>
    </w:p>
    <w:p>
      <w:pPr>
        <w:spacing w:after="0" w:line="14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Pursuant to the Inducement Letter, the holder of the Existing Warrants agreed to exercise for cash the Existing Warrants to purchase 148,495 shares of Class A Common Stock underlying the Series A Warrants and 148,495 shares Class A Common Stock underlying the Series B Warrants at the current exercise price of $8.20 per share.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Warrants and Pre-Funded Warrants</w:t>
      </w:r>
    </w:p>
    <w:p>
      <w:pPr>
        <w:spacing w:after="0" w:line="184" w:lineRule="exact"/>
        <w:rPr>
          <w:sz w:val="20"/>
          <w:szCs w:val="20"/>
          <w:color w:val="auto"/>
        </w:rPr>
      </w:pPr>
    </w:p>
    <w:p>
      <w:pPr>
        <w:jc w:val="both"/>
        <w:ind w:firstLine="512"/>
        <w:spacing w:after="0" w:line="262" w:lineRule="auto"/>
        <w:rPr>
          <w:sz w:val="20"/>
          <w:szCs w:val="20"/>
          <w:color w:val="auto"/>
        </w:rPr>
      </w:pPr>
      <w:r>
        <w:rPr>
          <w:rFonts w:ascii="Times New Roman" w:cs="Times New Roman" w:eastAsia="Times New Roman" w:hAnsi="Times New Roman"/>
          <w:sz w:val="14"/>
          <w:szCs w:val="14"/>
          <w:color w:val="auto"/>
        </w:rPr>
        <w:t>On April 4, 2025, we entered into the April 2025 Purchase Agreement with an investor. Pursuant to the April 2025 Purchase Agreement, on April 7, 2025, we issued 385,000 shares of Class A Common Stock and the Pre-Funded Warrant in a Registered Direct Offering (constituting part of the 2025 Offering). The public offering price for each share was $8.20 and the public offering price for each Pre-Funded Warrant was $8.20. Simultaneous with the Registered Direct Offering, the Company conducted a private placement as part of the 2025 Offering and issued the Common Warrants to purchase up to 487,686 shares of our Class A Common Stock. The Pre-Funded Warrant had an exercise price of $0.001 per share and was partially exercised on May 28, 2025, with the balance exercised on June 4, 2025. The Common Warrants became exercisable beginning on the effective date of stockholder approval, which occurred on May 30, 2025 and will expire on May 30, 2030.</w:t>
      </w:r>
    </w:p>
    <w:p>
      <w:pPr>
        <w:spacing w:after="0" w:line="316"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September 3, 2025, we entered into the Inducement Letter with the holder. Pursuant to the Inducement Letter, the holder of the Common Warrants agreed to exercise for cash the Common Warrants to purchase 251,656 shares of Class A Common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Placement Agent Warrants</w:t>
      </w:r>
    </w:p>
    <w:p>
      <w:pPr>
        <w:spacing w:after="0" w:line="184"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As compensation in connection with the 2024 Private Placement, we issued to HCW, acting as our exclusive placement agent or its designees upon closing of the 2024 Private Placement warrants to purchase up to 20,143 shares of Class A Common Stock at an exercise price of $17.375 per share. These warrants became exercisable on January 3, 2025 and are set to expire on January 3, 2030. Upon any exercise for cash of the Existing Warrants, we are obligated to pay HCW a cash fee of 8.0% of the aggregate gross proceeds received from the exercise of any of the Existing Warrants (which includes a management fee of 1.0%) and will also be obligated to issue the Private Placement Warrants to HCW (or its designees) to purchase up to 20,143 shares of our Class A Common Stock (representing 7.0% of the aggregate number of such shares of our common stock underlying the Existing Warrants).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76" w:name="page77"/>
    <w:bookmarkEnd w:id="76"/>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As compensation for the 2025 Offering, we paid to Roth a cash placement fee equal to 7.0% of the aggregate gross proceeds raised in the 2025 Offering. In addition, we also issued to Roth (or its designees) to purchase up to 68,276 shares of Class A Common Stock equal to 7% of aggregate number of Class A Common Stock issued in the 2025 Offering at an exercise price of $8.20. Furthermore, we also paid Roth fees and expenses of $75,000 for expenses in connection with the 2025 Offering. The Placement Agent Warrants issued to Roth became exercisable beginning on the effective date of stockholder approval, which was obtained on May 30, 2025, and will expire on April 4, 2030, and are not transferable for 180 days beginning April 4, 2025 (the date of entering into the April 2025 Purchase Agreement).</w:t>
      </w:r>
    </w:p>
    <w:p>
      <w:pPr>
        <w:spacing w:after="0" w:line="14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As compensation for the placing of the Inducement Warrants, we paid Roth a cash placement fee equal to 7.0% of the aggregate gross proceeds from the exercise of the warrants exercised pursuant to the Inducement Letter and issued warrants to purchase up to 38,405 shares of our Class A Common Stock (representing 7.0% of the sum of the warrants exercised) at an exercise price of $10.80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Inducement Warrants</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On September 3, 2025, we entered into the Inducement Letter. In consideration for the Holder’s agreement to exercise the warrants for cash, we agreed to issue to the Holder Inducement Warrants to purchase up to an aggregate of 822,970 shares of Class A Common Stock at an exercise price of $10.80 per share. The Inducement Warrants will become exercisable upon stockholder approval and will expire five years from the initial exercise date.</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exercise price and number of shares of Class A Common Stock issuable upon exercise are subject to adjustment in the event of stock splits, stock dividends, reorganizations, or similar events. The Inducement Warrants are subject to customary limitations on beneficial ownership and may be exercised on a cashless basis if a registration statement is not available. In connection with certain fundamental transactions, the Holder may have the right to alternative consideration or to redeem the unexercised portion of the Inducement Warrants at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Modification of Warrants</w:t>
      </w:r>
    </w:p>
    <w:p>
      <w:pPr>
        <w:spacing w:after="0" w:line="18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xml:space="preserve"> and ASC Topic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three months ended December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 Purchase Warrant</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On May 19, 2026, we entered into the May 2026 Purchase Agreement, pursuant to which we agreed to sell to Kips (i) the Preferred Shares for aggregate gross proceeds of $2,400, and (ii) the Preferred Warrant to purchase up to an additional 6,000 shares of Series A Preferred Stock at an exercise price of $1,000 per share. The Preferred Warrant is exercisable beginning May 19, 2026 and expires no later than twelve months thereafter.</w:t>
      </w:r>
    </w:p>
    <w:p>
      <w:pPr>
        <w:spacing w:after="0" w:line="13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exercise price and number of shares of Class A Common Stock issuable upon exercise of the Preferred Warrant are subject to adjustment in the event of stock splits, stock dividends, reorganizations, or similar events. The Preferred Warrant is subject to customary limitations on beneficial ownership.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 of Securities</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Mobix Labs’ Common Stock is currently listed on The Nasdaq Capital Market, under the symbol “MOBX” and the Public Warrants are currently listed on The Nasdaq Capital Market under the symbol “MOBXW”.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1"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transfer agent and registrar for the Common Stock and warrant agent for the Warrants is Continental Stock Transfer &amp; Trust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Effects of Provisions of the Charter, the Bylaws and the DGCL</w:t>
      </w:r>
    </w:p>
    <w:p>
      <w:pPr>
        <w:spacing w:after="0" w:line="182" w:lineRule="exact"/>
        <w:rPr>
          <w:sz w:val="20"/>
          <w:szCs w:val="20"/>
          <w:color w:val="auto"/>
        </w:rPr>
      </w:pPr>
    </w:p>
    <w:p>
      <w:pPr>
        <w:jc w:val="both"/>
        <w:ind w:firstLine="512"/>
        <w:spacing w:after="0" w:line="259" w:lineRule="auto"/>
        <w:rPr>
          <w:sz w:val="20"/>
          <w:szCs w:val="20"/>
          <w:color w:val="auto"/>
        </w:rPr>
      </w:pPr>
      <w:r>
        <w:rPr>
          <w:rFonts w:ascii="Times New Roman" w:cs="Times New Roman" w:eastAsia="Times New Roman" w:hAnsi="Times New Roman"/>
          <w:sz w:val="14"/>
          <w:szCs w:val="14"/>
          <w:color w:val="auto"/>
        </w:rPr>
        <w:t>Certain provisions of the Charter, the Bylaws, and the DGCL could make it more difficult to acquire Mobix Labs by means of a tender offer, a proxy contest or otherwise, or to remove incumbent officers and directors. These provisions, summarized below, are intended to discourage coercive takeover practices and inadequate takeover bids. These provisions are also designed to encourage persons seeking to acquire control of Mobix Labs to first negotiate with the Board. Mobix Labs believes that the benefits of these provisions outweigh the disadvantages of discouraging certain takeover or acquisition proposals because, among other things, negotiation of these proposals could result in an improvement of their terms and enhance the ability of the Board to maximize stockholder value. However, these provisions may delay, deter or prevent a merger or acquisition of Mobix Labs that a stockholder might consider is in their best interest or in Mobix Labs’ best interests, including transactions that might result in a premium over the prevailing market price of Class A Common Stock. For additional information, see the section titled “</w:t>
      </w:r>
      <w:r>
        <w:rPr>
          <w:rFonts w:ascii="Times New Roman" w:cs="Times New Roman" w:eastAsia="Times New Roman" w:hAnsi="Times New Roman"/>
          <w:sz w:val="14"/>
          <w:szCs w:val="14"/>
          <w:i w:val="1"/>
          <w:iCs w:val="1"/>
          <w:color w:val="auto"/>
        </w:rPr>
        <w:t>Risk Factors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Delaware law and Mobix Labs’ governing documents contain certain provisions, including anti-takeover provisions, that limit the ability of stockholders to take certain actions and that could delay or discourage takeover attempts that stockholders may consider favorable.”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Classified Board of Directors</w:t>
      </w:r>
    </w:p>
    <w:p>
      <w:pPr>
        <w:spacing w:after="0" w:line="18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The Charter and the Bylaws provide that, except for those directors, if any, elected by the holders of any series of Preferred Stock then outstanding pursuant to the Charter, the Board will be divided into three (3) classes of directors, designated as Class I, Class II and Class III, with the classes to be as nearly equal in number as possible, and with each class being elected to a staggered three-year term and with each class containing (for so long as there are three Class B Directors then in office) not more than one Class B Director. As a result, approximately one-third of the Board will be elected each year. The classification of directors will have the effect of making it more difficult and time-consuming for stockholders to change the composition of the Board. The holders of the Class B Common Stock, voting as a separate class, are entitled to elect up to three members of the Board at any given time.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Authorized but Unissued Shares</w:t>
      </w:r>
    </w:p>
    <w:p>
      <w:pPr>
        <w:spacing w:after="0" w:line="18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The authorized but unissued shares of Common Stock and, once created by the Board in accordance with the Charter, authorized but unissued shares of one or more series of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once created by the Board in accordance with the Charter, authorized but unissued shares of one or more series of Preferred Stock could make more difficult or discourage an attempt to obtain control of Mobix Labs by means of a proxy contest, tender offer, merger or otherwise.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Stockholder Action; Special Meetings of Stockholders</w:t>
      </w:r>
    </w:p>
    <w:p>
      <w:pPr>
        <w:spacing w:after="0" w:line="18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The Charter provides that, except as otherwise provided by or pursuant to the Charter (including, without limitation, as to the holders of Class B Common Stock, consenting separately as a single class), Mobix Labs’ stockholders may not take action by written consent, but may only take action at annual or special meetings of stockholders. Any action to be taken at any meeting of the holders of shares of Class B Common Stock may be taken without a meeting, without prior notice and without a vote, if a consent or consents, setting forth the action so taken, is signed by the holders of shares of Class B Common Stock then outstanding having not less than the minimum number of votes that would be necessary to authorize or take such action at a meeting at which all shares of Class B Common Stock then outstanding were present and voted and is delivered to Mobix Labs in accordance with the DGCL.</w:t>
      </w:r>
    </w:p>
    <w:p>
      <w:pPr>
        <w:spacing w:after="0" w:line="14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Further, the Charter provides that solely the Chairperson of the Board, the Chief Executive Officer of Mobix Labs, the President of Mobix Labs, or the Board acting pursuant to a resolution adopted by a majority of the whole board may call special meetings of stockholders, and that the Board will call a special meeting of stockholders upon the written request (made in accordance with the Charter and the Bylaws) of the holders of not less than ten percent of the voting power of the outstanding shares of capital stock of Mobix Labs generally entitled to vote on the nomination, question or business for which such special meeting is requested to be called. These provisions might delay the ability of stockholders to force consideration of a proposal or for stockholders controlling a majority of Mobix Labs capital stock to take any action, including the removal of directors.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color w:val="auto"/>
        </w:rPr>
        <w:t>Advance Notice Requirements for Stockholder Proposals and Director Nominations</w:t>
      </w:r>
    </w:p>
    <w:p>
      <w:pPr>
        <w:spacing w:after="0" w:line="182"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The Bylaws provide that stockholders seeking to bring business before Mobix Labs’ annual meeting of stockholders (other than business required by or pursuant to the Charter to be voted on by the holders of a class of capital stock of Mobix Labs, separately as a single class, or by the holders of a series of Preferred Stock, separately as a single class), or to nominate candidates for election as directors at its annual meeting of stockholders, must provide timely notice. To be timely, a stockholder’s notice will need to be delivered to the Secretary of Mobix Labs at Mobix Labs’ principal executive offices not less than 90 days nor more than 120 days prior to the one-year anniversary of the preceding year’s annual meeting, provided, however, that in the event that no annual meeting was held during the preceding year or the date of the annual meeting is more than 30 days before or more than 70 days after such anniversary date, to be timely, a stockholder’s notice must</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be so delivered not earlier than the close of business on the 120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day prior to such annual meeting and not later than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day prior to such annual meeting or, if later,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day following the day on which public announcement of the date of such annual meeting was first made by Mobix Labs. The Bylaws also specify certain requirements as to the form and content of a stockholders’ notice. These provisions may preclude Mobix Labs’ stockholders from bringing matters before its annual meeting of stockholders or from making nominations for directors at its annual meeting of stockholders.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Supermajority Requirements for the Amendment of the Charter and the Bylaws</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 Bylaws provide that the Bylaws may be amended or repealed by the Board or by the affirmative vote of the holders of at least 66⅔% in voting power of the then outstanding shares of capital stock of Mobix Labs entitled to vote, voting together as a single class. In addition, the Charter provides that the affirmative vote of the holders of at least 66⅔% of the voting power of the then outstanding shares of capital stock of Mobix Labs generally entitled to vote, voting together as a single class, will be required to amend certain provisions of the Charter, including provisions relating to the classified board, the size of the board, removal of directors, special meetings of stockholders, actions by written consent, and exculpation of directors and officers.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Directors Removed Only for Cause</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Charter provides that, subject to the rights of the holders of any series of Preferred Stock provided by or pursuant to the Charter, no director may be removed from the Board except for cause and only by the affirmative vote of the holders of at least a majority of the voting power of the then outstanding shares of capital stock of Mobix Labs entitled to vote at an election of directors, voting together as a single class.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Board Vacancies</w:t>
      </w:r>
    </w:p>
    <w:p>
      <w:pPr>
        <w:spacing w:after="0" w:line="18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The Charter provides that, subject to applicable law and the rights, if any, of the holders of any class of capital stock of Mobix Labs then outstanding to elect one or more directors or the holders of any series of Preferred Stock then outstanding to elect one or more preferred directors, newly created directorships resulting from an increase in the authorized number of directors or any vacancies on the board of directors will be filled solely and exclusively by a majority of the directors then in office, even if less than a quorum, or by the sole remaining director. Any director so elected will hold office until the expiration of the term of office of the director whom he or she has replaced and until his or her successor will be elected and qualified, subject to such director’s earlier death, resignation, disqualification or removal. No decrease in the number of directors will shorten the term of any incumbent director.</w:t>
      </w:r>
    </w:p>
    <w:p>
      <w:pPr>
        <w:spacing w:after="0" w:line="14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In addition, for so long as any shares of Class B Common Stock remain outstanding, only the holders of a majority of the voting power of the shares of Class B Common Stock then outstanding, voting or consenting as a single class, will be entitled to remove from office any Class B Director and fill any vacancy of any Class B Director.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79" w:name="page80"/>
    <w:bookmarkEnd w:id="79"/>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These provisions prevent a stockholder from increasing the size of the Board and then gaining control of the board by filling the resulting vacancies with its own nominees. This makes it more difficult to change the composition of the Board, but promotes continuity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Exclusive Forum Selection</w:t>
      </w:r>
    </w:p>
    <w:p>
      <w:pPr>
        <w:spacing w:after="0" w:line="182"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The Charter provides, unless Mobix Labs consents in writing to the selection of an alternative forum and to the fullest extent permitted by law, that the Court of Chancery of the State of Delaware (or, if the Court of Chancery of the State of Delaware lacks jurisdiction, any state or federal court located within the State of Delaware) will be the sole and exclusive forum for: (a) any derivative action or proceeding brought on behalf of Mobix Labs, (b) any action asserting a claim of breach of fiduciary duty owed by any director, officer or employee of Mobix Labs to Mobix Labs or the Mobix Labs stockholders, (c) any civil action to interpret, apply or enforce any provision of the DGCL, (d) any civil action to interpret, apply, enforce or determine the validity of the provisions of the Charter or the Bylaws or (e) any action asserting a claim governed by the internal affairs doctrine, in all cases subject to the court’s having personal jurisdiction over the indispensable parties named as defendants. However, such forum selection provisions will not apply to the resolution of any complaint asserting a cause of action arising under the Securities Act or any action asserting claims arising under the Exchange Act.</w:t>
      </w:r>
    </w:p>
    <w:p>
      <w:pPr>
        <w:spacing w:after="0" w:line="14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Charter also provides that, unless Mobix Labs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2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Charter provides that the federal district courts of the United States will have exclusive jurisdiction over any action asserting a cause of action arising under the Securities Act. Accordingly, there is uncertainty as to whether a court would enforce such provision. Mobix Labs stockholders will not be deemed to have waived Mobix Labs’ compliance with the federal securities laws and the rules and regulations thereunder.</w:t>
      </w:r>
    </w:p>
    <w:p>
      <w:pPr>
        <w:spacing w:after="0" w:line="14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Section 27 of the Exchange Act creates exclusive United States federal jurisdiction over all claims brought to enforce any duty or liability created by the Exchange Act or the rules and regulations thereunder. As noted above, the Charter provides that the choice of forum provision does not apply to any action asserting claims arising under the Exchange Act. Accordingly, actions by Mobix Labs stockholders asserting claims arising under the Exchange Act or the rules and regulations thereunder must be brought in United States federal court. Mobix Labs stockholders will not be deemed to have waived Mobix Labs’ compliance with the federal securities laws and the regulations promulgated thereunder.</w:t>
      </w:r>
    </w:p>
    <w:p>
      <w:pPr>
        <w:spacing w:after="0" w:line="14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Any person or entity purchasing or otherwise acquiring any interest in shares of Mobix Labs’ capital stock will be deemed to have notice of and consented to the forum selection provisions in the Charter.</w:t>
      </w:r>
    </w:p>
    <w:p>
      <w:pPr>
        <w:spacing w:after="0" w:line="12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 choice of forum provisions may limit a stockholder’s ability to bring a claim in a judicial forum that it finds favorable for disputes with Mobix Labs or its directors, officers, or other employees, which may discourage such lawsuits against Mobix Labs and its directors, officers, and other employees. Alternatively, if a court were to find the choice of forum provisions contained in the Charter to be inapplicable or unenforceable in an action, Mobix Labs may incur additional costs associated with resolving such action in other jurisdictions, which could harm its business, results of operations,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Section 203 of the Delaware General Corporation Law</w:t>
      </w:r>
    </w:p>
    <w:p>
      <w:pPr>
        <w:spacing w:after="0" w:line="182"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Mobix Labs is subject to the provisions of Section 203 of the DGCL. In general, Section 203 prohibits a Delaware corporation that is listed on a national securities exchange or held of record by more than 2,000 stockholders from engaging in a “business combination” with an “interested stockholder” for a three-year period following the time that such stockholder becomes an interested stockholder, unless the business combination is approved in a prescribed manner as summarized below. A “business combination” includes, among other things, certain mergers, asset or stock sales or other transactions together resulting in a financial 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of the DGCL, a business combination between a corporation and an interested stockholder is prohibited unless it satisfies one of the following conditions:</w:t>
      </w:r>
    </w:p>
    <w:p>
      <w:pPr>
        <w:spacing w:after="0" w:line="145" w:lineRule="exact"/>
        <w:rPr>
          <w:sz w:val="20"/>
          <w:szCs w:val="20"/>
          <w:color w:val="auto"/>
        </w:rPr>
      </w:pPr>
    </w:p>
    <w:p>
      <w:pPr>
        <w:ind w:left="1020" w:hanging="503"/>
        <w:spacing w:after="0" w:line="289" w:lineRule="auto"/>
        <w:tabs>
          <w:tab w:leader="none" w:pos="10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an interested stockholder, the board of directors of the corporation approved either the business combination or the transaction which resulted in the stockholder becoming an interested stockholder;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1" w:right="319" w:bottom="1440" w:gutter="0" w:footer="0" w:header="0"/>
        </w:sectPr>
      </w:pPr>
    </w:p>
    <w:bookmarkStart w:id="80" w:name="page81"/>
    <w:bookmarkEnd w:id="80"/>
    <w:p>
      <w:pPr>
        <w:jc w:val="both"/>
        <w:ind w:left="1020" w:hanging="503"/>
        <w:spacing w:after="0" w:line="272" w:lineRule="auto"/>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those shares owned by persons who are directors and also officers, and employee stock plans, in some instances; or</w:t>
      </w:r>
    </w:p>
    <w:p>
      <w:pPr>
        <w:spacing w:after="0" w:line="135" w:lineRule="exact"/>
        <w:rPr>
          <w:rFonts w:ascii="Times New Roman" w:cs="Times New Roman" w:eastAsia="Times New Roman" w:hAnsi="Times New Roman"/>
          <w:sz w:val="14"/>
          <w:szCs w:val="14"/>
          <w:color w:val="auto"/>
        </w:rPr>
      </w:pPr>
    </w:p>
    <w:p>
      <w:pPr>
        <w:ind w:left="1020" w:hanging="503"/>
        <w:spacing w:after="0" w:line="289" w:lineRule="auto"/>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an interested stockholder, the business combination was approved by the board of directors of the corporation and authorized at an annual or special meeting of the stockholders by the affirmative vote of at least 66⅔% of the outstanding voting stock which is not owned by the interested stockholder.</w:t>
      </w:r>
    </w:p>
    <w:p>
      <w:pPr>
        <w:spacing w:after="0" w:line="12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Under certain circumstances, Section 203 of the DGCL will make it more difficult for a person who would be an “interested stockholder” to effect various business combinations with a corporation for a three-year period. This provision may encourage companies interested in acquiring Mobix Labs to negotiate in advance with the Board because the stockholder approval requirement would be avoided if the Board approves either the business combination or the transaction which results in the stockholder becoming an interested stockholder. Section 203 of the DGCL also may have the effect of preventing changes in the Board and may make it more difficult to accomplish transactions which stockholders may otherwise deem to be in their best interests.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Limitation on Liability and Indemnification of Directors and Officers</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Bylaws provide that Mobix Labs’ directors and officers will be indemnified and advanced expenses by Mobix Labs to the fullest extent permitted by applicable law. In addition, the Charter provides that Mobix Labs’ directors and officers will not be liable to Mobix Labs or its stockholders for monetary damages for breaches of their fiduciary duty as directors and officers, except to the extent such exemption from liability or limitation thereof is not permitted under the DGCL.</w:t>
      </w:r>
    </w:p>
    <w:p>
      <w:pPr>
        <w:spacing w:after="0" w:line="13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Bylaws will also permit Mobix Labs to purchase and maintain insurance on behalf of any director, officer, employee or agent of Mobix Labs for any liability arising out of his or her status as such, regardless of whether the DGCL would permit indemnification.</w:t>
      </w:r>
    </w:p>
    <w:p>
      <w:pPr>
        <w:spacing w:after="0" w:line="12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These provisions may discourage stockholders from bringing a lawsuit against Mobix Labs directors or officers for breach of their fiduciary duty. These provisions also may have the effect of reducing the likelihood of derivative litigation against directors and officers, even though such an action, if successful, might otherwise benefit Mobix Labs and its stockholders. Furthermore, a stockholder’s investment may be adversely affected to the extent Mobix Labs pays the costs of settlement and damage awards against directors and officers pursuant to these indemnification and advancement provisions.</w:t>
      </w:r>
    </w:p>
    <w:p>
      <w:pPr>
        <w:spacing w:after="0" w:line="14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Mobix Labs’ directors, officers and controlling persons pursuant to the foregoing provisions, or otherwise, in the opinion of the SEC, such indemnification is against public policy as expressed in the Securities Act and is, therefore unenforceable.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SECURITIES ACT RESTRICTIONS ON RESALE OF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A person who has beneficially owned restricted Class A Common Stock or Public Warrants of Mobix Labs for at least six months would be entitled to sell such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Mobix Labs was required to file reports) preceding the sale.</w:t>
      </w:r>
    </w:p>
    <w:p>
      <w:pPr>
        <w:spacing w:after="0" w:line="14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Persons who have beneficially owned restricted Class A Common Stock or Public Warrants of Mobix Labs for at least six months but who are our affiliates at the time of, or any time during the three months preceding, a sale, would be subject to additional restrictions, by which such person would be entitled to sell within any three-month period only a number of securities that does not exceed the greater of either of the following:</w:t>
      </w:r>
    </w:p>
    <w:p>
      <w:pPr>
        <w:spacing w:after="0" w:line="135"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of the then outstanding shares of Class A Common Stock or Public Warrants; or</w:t>
      </w:r>
    </w:p>
    <w:p>
      <w:pPr>
        <w:spacing w:after="0" w:line="23" w:lineRule="exact"/>
        <w:rPr>
          <w:rFonts w:ascii="Times New Roman" w:cs="Times New Roman" w:eastAsia="Times New Roman" w:hAnsi="Times New Roman"/>
          <w:sz w:val="14"/>
          <w:szCs w:val="14"/>
          <w:color w:val="auto"/>
        </w:rPr>
      </w:pPr>
    </w:p>
    <w:p>
      <w:pPr>
        <w:ind w:left="1020" w:hanging="503"/>
        <w:spacing w:after="0" w:line="268" w:lineRule="auto"/>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weekly trading volume of Class A Common Stock or Public Warrants of Mobix Labs, as applicable, during the four calendar weeks preceding the date on which notice of the sale is filed with the SEC.</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Sales by affiliates of Mobix Labs under Rule 144 are also subject to certain requirements relating to manner of sale, notice and the availability of current public information about Mobix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Labs.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Restrictions on the Use of Rule 144 by Shell Companies or Former Shell Companies</w:t>
      </w:r>
    </w:p>
    <w:p>
      <w:pPr>
        <w:spacing w:after="0" w:line="182" w:lineRule="exact"/>
        <w:rPr>
          <w:sz w:val="20"/>
          <w:szCs w:val="20"/>
          <w:color w:val="auto"/>
        </w:rPr>
      </w:pPr>
    </w:p>
    <w:p>
      <w:pPr>
        <w:ind w:firstLine="512"/>
        <w:spacing w:after="0" w:line="289" w:lineRule="auto"/>
        <w:rPr>
          <w:sz w:val="20"/>
          <w:szCs w:val="20"/>
          <w:color w:val="auto"/>
        </w:rPr>
      </w:pPr>
      <w:r>
        <w:rPr>
          <w:rFonts w:ascii="Times New Roman" w:cs="Times New Roman" w:eastAsia="Times New Roman" w:hAnsi="Times New Roman"/>
          <w:sz w:val="14"/>
          <w:szCs w:val="14"/>
          <w:color w:val="auto"/>
        </w:rPr>
        <w:t>Rule 144 is not available for the resale of securities initially issued by shell companies (other than business combination-related shell companies) or issuers that have been at any time previously a shell company. However, Rule 144 also includes an important exception to this prohibition if the following conditions are met:</w:t>
      </w:r>
    </w:p>
    <w:p>
      <w:pPr>
        <w:spacing w:after="0" w:line="124"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securities that was formerly a shell company has ceased to be a shell company;</w:t>
      </w:r>
    </w:p>
    <w:p>
      <w:pPr>
        <w:spacing w:after="0" w:line="2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securities is subject to the reporting requirements of Section 13 or 15(d) of the Exchange Act;</w:t>
      </w:r>
    </w:p>
    <w:p>
      <w:pPr>
        <w:spacing w:after="0" w:line="9" w:lineRule="exact"/>
        <w:rPr>
          <w:rFonts w:ascii="Times New Roman" w:cs="Times New Roman" w:eastAsia="Times New Roman" w:hAnsi="Times New Roman"/>
          <w:sz w:val="14"/>
          <w:szCs w:val="14"/>
          <w:color w:val="auto"/>
        </w:rPr>
      </w:pPr>
    </w:p>
    <w:p>
      <w:pPr>
        <w:ind w:left="1020" w:hanging="503"/>
        <w:spacing w:after="0" w:line="254"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ind w:left="1020" w:hanging="503"/>
        <w:spacing w:after="0" w:line="268"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one year has elapsed from the time that the issuer filed current Form 10 type information with the SEC, which was filed on December 28, 2023, reflecting its status as an entity that is not a shell company.</w:t>
      </w:r>
    </w:p>
    <w:p>
      <w:pPr>
        <w:spacing w:after="0" w:line="139" w:lineRule="exact"/>
        <w:rPr>
          <w:sz w:val="20"/>
          <w:szCs w:val="20"/>
          <w:color w:val="auto"/>
        </w:rPr>
      </w:pPr>
    </w:p>
    <w:p>
      <w:pPr>
        <w:ind w:firstLine="512"/>
        <w:spacing w:after="0" w:line="289" w:lineRule="auto"/>
        <w:rPr>
          <w:sz w:val="20"/>
          <w:szCs w:val="20"/>
          <w:color w:val="auto"/>
        </w:rPr>
      </w:pPr>
      <w:r>
        <w:rPr>
          <w:rFonts w:ascii="Times New Roman" w:cs="Times New Roman" w:eastAsia="Times New Roman" w:hAnsi="Times New Roman"/>
          <w:sz w:val="14"/>
          <w:szCs w:val="14"/>
          <w:color w:val="auto"/>
        </w:rPr>
        <w:t>Upon the Closing, we are no longer a shell company; accordingly, once the conditions listed above are satisfied, Rule 144 will become available for the resale of the above-noted restricted securities.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SECURITY OWNERSHIP OF CERTAIN BENEFICIAL OWNERS AND MANAGEMENT</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information known to us regarding the beneficial ownership of shares of Class A Common Stock and Class B Common Stock by:</w:t>
      </w:r>
    </w:p>
    <w:p>
      <w:pPr>
        <w:spacing w:after="0" w:line="180"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who is the beneficial owner of more than 5% of issued and outstanding shares of Class A Common Stock and Class B Common Stock;</w:t>
      </w:r>
    </w:p>
    <w:p>
      <w:pPr>
        <w:spacing w:after="0" w:line="2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and directors; and</w:t>
      </w:r>
    </w:p>
    <w:p>
      <w:pPr>
        <w:spacing w:after="0" w:line="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executive officers and directors as a group.</w:t>
      </w:r>
    </w:p>
    <w:p>
      <w:pPr>
        <w:spacing w:after="0" w:line="166"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of Class A Common Stock and Class B Common Stock beneficially owned by a person and the percentage ownership, we deemed outstanding shares of Class A Common Stock and Class B Common Stock subject to options and warrants held by that person that are currently exercisable or exercisable within 60 days of the date of June 8, 2026 (the “Determination Date”) and restricted stock units that (i) have vested but are subject to certain delivery conditions that have not yet been met or (ii) are unvested but will vest within 60 days of the Determination Date. We did not deem these shares outstanding, however, for the purpose of computing the percentage ownership of any other person.</w:t>
      </w:r>
    </w:p>
    <w:p>
      <w:pPr>
        <w:spacing w:after="0" w:line="14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Unless otherwise indicated, we believe that all persons named in the table have sole voting and investment power with respect to all shares of Class A Common Stock and Class B Common Stock beneficially owned by them.</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Unless otherwise indicated, the address of each beneficial owner listed in the table below is c/o Mobix Labs, Inc., 1 Venture, Suite 220, Irvine, CA 92618.</w:t>
      </w:r>
    </w:p>
    <w:p>
      <w:pPr>
        <w:spacing w:after="0" w:line="18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percentage ownership of Class A Common Stock and Class B Common Stock is based on 14,998,187 shares of Class A Common Stock and 200,491 shares of Class B Common Stock, respectively, outstanding as of June 8, 2026.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4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 Mobix</w:t>
            </w: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1"/>
        </w:trPr>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Labs Class A</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 Mobix</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Labs Class B</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13"/>
        </w:trPr>
        <w:tc>
          <w:tcPr>
            <w:tcW w:w="476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340" w:type="dxa"/>
            <w:vAlign w:val="bottom"/>
            <w:gridSpan w:val="2"/>
          </w:tcPr>
          <w:p>
            <w:pPr>
              <w:jc w:val="center"/>
              <w:ind w:right="340"/>
              <w:spacing w:after="0" w:line="213" w:lineRule="exact"/>
              <w:rPr>
                <w:sz w:val="20"/>
                <w:szCs w:val="20"/>
                <w:color w:val="auto"/>
              </w:rPr>
            </w:pPr>
            <w:r>
              <w:rPr>
                <w:rFonts w:ascii="Times New Roman" w:cs="Times New Roman" w:eastAsia="Times New Roman" w:hAnsi="Times New Roman"/>
                <w:sz w:val="14"/>
                <w:szCs w:val="14"/>
                <w:b w:val="1"/>
                <w:bCs w:val="1"/>
                <w:color w:val="auto"/>
                <w:w w:val="93"/>
              </w:rPr>
              <w:t>Stock</w:t>
            </w:r>
            <w:r>
              <w:rPr>
                <w:rFonts w:ascii="Times New Roman" w:cs="Times New Roman" w:eastAsia="Times New Roman" w:hAnsi="Times New Roman"/>
                <w:sz w:val="23"/>
                <w:szCs w:val="23"/>
                <w:b w:val="1"/>
                <w:bCs w:val="1"/>
                <w:color w:val="auto"/>
                <w:w w:val="93"/>
                <w:vertAlign w:val="superscript"/>
              </w:rPr>
              <w:t>(1)</w:t>
            </w:r>
          </w:p>
        </w:tc>
        <w:tc>
          <w:tcPr>
            <w:tcW w:w="10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Voting Power</w:t>
            </w:r>
          </w:p>
        </w:tc>
      </w:tr>
      <w:tr>
        <w:trPr>
          <w:trHeight w:val="161"/>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2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Fabrizio Battaglia</w:t>
            </w:r>
            <w:r>
              <w:rPr>
                <w:rFonts w:ascii="Times New Roman" w:cs="Times New Roman" w:eastAsia="Times New Roman" w:hAnsi="Times New Roman"/>
                <w:sz w:val="23"/>
                <w:szCs w:val="23"/>
                <w:color w:val="auto"/>
                <w:vertAlign w:val="superscript"/>
              </w:rPr>
              <w:t>(2)</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227,500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12,500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3"/>
        </w:trPr>
        <w:tc>
          <w:tcPr>
            <w:tcW w:w="476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Keyvan Samini</w:t>
            </w:r>
            <w:r>
              <w:rPr>
                <w:rFonts w:ascii="Times New Roman" w:cs="Times New Roman" w:eastAsia="Times New Roman" w:hAnsi="Times New Roman"/>
                <w:sz w:val="23"/>
                <w:szCs w:val="23"/>
                <w:color w:val="auto"/>
                <w:vertAlign w:val="superscript"/>
              </w:rPr>
              <w:t>(3)</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343,836</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12,500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James Aralis</w:t>
            </w:r>
            <w:r>
              <w:rPr>
                <w:rFonts w:ascii="Times New Roman" w:cs="Times New Roman" w:eastAsia="Times New Roman" w:hAnsi="Times New Roman"/>
                <w:sz w:val="23"/>
                <w:szCs w:val="23"/>
                <w:color w:val="auto"/>
                <w:vertAlign w:val="superscript"/>
              </w:rPr>
              <w:t>(4)</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12,516</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76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James Peterson</w:t>
            </w:r>
            <w:r>
              <w:rPr>
                <w:rFonts w:ascii="Times New Roman" w:cs="Times New Roman" w:eastAsia="Times New Roman" w:hAnsi="Times New Roman"/>
                <w:sz w:val="23"/>
                <w:szCs w:val="23"/>
                <w:color w:val="auto"/>
                <w:vertAlign w:val="superscript"/>
              </w:rPr>
              <w:t>(5)</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485,730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144,928</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David Aldrich</w:t>
            </w:r>
            <w:r>
              <w:rPr>
                <w:rFonts w:ascii="Times New Roman" w:cs="Times New Roman" w:eastAsia="Times New Roman" w:hAnsi="Times New Roman"/>
                <w:sz w:val="23"/>
                <w:szCs w:val="23"/>
                <w:color w:val="auto"/>
                <w:vertAlign w:val="superscript"/>
              </w:rPr>
              <w:t>(6)</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68,034</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76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Kurt Busch</w:t>
            </w:r>
            <w:r>
              <w:rPr>
                <w:rFonts w:ascii="Times New Roman" w:cs="Times New Roman" w:eastAsia="Times New Roman" w:hAnsi="Times New Roman"/>
                <w:sz w:val="23"/>
                <w:szCs w:val="23"/>
                <w:color w:val="auto"/>
                <w:vertAlign w:val="superscript"/>
              </w:rPr>
              <w:t>(7)</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76,302</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William Carpou</w:t>
            </w:r>
            <w:r>
              <w:rPr>
                <w:rFonts w:ascii="Times New Roman" w:cs="Times New Roman" w:eastAsia="Times New Roman" w:hAnsi="Times New Roman"/>
                <w:sz w:val="23"/>
                <w:szCs w:val="23"/>
                <w:color w:val="auto"/>
                <w:vertAlign w:val="superscript"/>
              </w:rPr>
              <w:t>(8)</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68,963</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76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Frederick Goerner</w:t>
            </w:r>
            <w:r>
              <w:rPr>
                <w:rFonts w:ascii="Times New Roman" w:cs="Times New Roman" w:eastAsia="Times New Roman" w:hAnsi="Times New Roman"/>
                <w:sz w:val="23"/>
                <w:szCs w:val="23"/>
                <w:color w:val="auto"/>
                <w:vertAlign w:val="superscript"/>
              </w:rPr>
              <w:t>(9)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209,137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21,739</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1"/>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Long</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124,932</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Philip Sansone</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65,340</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1"/>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 Directors and Executive Officers as a Group (ten individuals)</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1,682,290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11.0%</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191,667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95.6%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171"/>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Five Percent and Greater Holders</w:t>
            </w: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312"/>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Armistice Capital, LLC</w:t>
            </w:r>
            <w:r>
              <w:rPr>
                <w:rFonts w:ascii="Times New Roman" w:cs="Times New Roman" w:eastAsia="Times New Roman" w:hAnsi="Times New Roman"/>
                <w:sz w:val="23"/>
                <w:szCs w:val="23"/>
                <w:color w:val="auto"/>
                <w:vertAlign w:val="superscript"/>
              </w:rPr>
              <w:t>(10)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1,775,299</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10.8%</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w:t>
            </w:r>
          </w:p>
        </w:tc>
      </w:tr>
    </w:tbl>
    <w:p>
      <w:pPr>
        <w:spacing w:after="0" w:line="4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Less than one percent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83" w:name="page84"/>
    <w:bookmarkEnd w:id="83"/>
    <w:p>
      <w:pPr>
        <w:ind w:left="260" w:hanging="255"/>
        <w:spacing w:after="0" w:line="289" w:lineRule="auto"/>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Class A Common Stock beneficially owned by each person or entity includes any shares of Class B Common Stock (which is convertible for Class A Common Stock) beneficially owned by such person or entity.</w:t>
      </w:r>
    </w:p>
    <w:p>
      <w:pPr>
        <w:spacing w:after="0" w:line="124" w:lineRule="exact"/>
        <w:rPr>
          <w:rFonts w:ascii="Times New Roman" w:cs="Times New Roman" w:eastAsia="Times New Roman" w:hAnsi="Times New Roman"/>
          <w:sz w:val="14"/>
          <w:szCs w:val="14"/>
          <w:color w:val="auto"/>
        </w:rPr>
      </w:pPr>
    </w:p>
    <w:p>
      <w:pPr>
        <w:ind w:left="260" w:hanging="255"/>
        <w:spacing w:after="0" w:line="289" w:lineRule="auto"/>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215,000 shares of unvested stock awards and (ii) 12,500 shares of Class B Common Stock held of record by The Battaglia Trust. Fabrizio Battaglia is Trustee of The Battaglia Trust and may be deemed to have voting and investment power over securities held thereby.</w:t>
      </w:r>
    </w:p>
    <w:p>
      <w:pPr>
        <w:spacing w:after="0" w:line="124" w:lineRule="exact"/>
        <w:rPr>
          <w:rFonts w:ascii="Times New Roman" w:cs="Times New Roman" w:eastAsia="Times New Roman" w:hAnsi="Times New Roman"/>
          <w:sz w:val="14"/>
          <w:szCs w:val="14"/>
          <w:color w:val="auto"/>
        </w:rPr>
      </w:pPr>
    </w:p>
    <w:p>
      <w:pPr>
        <w:jc w:val="both"/>
        <w:ind w:left="260" w:hanging="255"/>
        <w:spacing w:after="0" w:line="263" w:lineRule="auto"/>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216,750 shares of unvested stock awards, (ii) 17,114 shares of Class A Common Stock and 12,500 shares of Class B Common Stock held of record by The KSSF Trust, dated November 27, 2012 (the “KSSF Trust”), (iii) 73,529 shares of Class A Common Stock held of record by The KSLI Trust, dated December 7, 2012 (the “KSLI Trust”), and (iv) 7,352 shares of Class A Common Stock held of record by The SSLI Trust dated December 7, 2012 (“SSLI Trust”). Keyvan Samini is Trustee of The KSSF Trust and The SSLI Trust, and may be deemed to have voting and investment power over securities held thereby. Keyvan Samini’s spouse is the Trustee of The KSLI Trust and may be deemed to have voting and investment power over securities held thereby. Includes options to purchase 32,353 shares of Class A Common Stock exercisable within 60 days of the Determination Date.</w:t>
      </w:r>
    </w:p>
    <w:p>
      <w:pPr>
        <w:spacing w:after="0" w:line="14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3,684 shares of Class A Common Stock exercisable within 60 days of the Determination Date.</w:t>
      </w:r>
    </w:p>
    <w:p>
      <w:pPr>
        <w:spacing w:after="0" w:line="180" w:lineRule="exact"/>
        <w:rPr>
          <w:rFonts w:ascii="Times New Roman" w:cs="Times New Roman" w:eastAsia="Times New Roman" w:hAnsi="Times New Roman"/>
          <w:sz w:val="14"/>
          <w:szCs w:val="14"/>
          <w:color w:val="auto"/>
        </w:rPr>
      </w:pPr>
    </w:p>
    <w:p>
      <w:pPr>
        <w:ind w:left="260" w:hanging="255"/>
        <w:spacing w:after="0" w:line="289" w:lineRule="auto"/>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options to purchase 15,341 shares of Class A Common Stock exercisable within 60 days of the Determination Date and (ii) 105,000 restricted stock units that have vested but not yet been delivered.</w:t>
      </w:r>
    </w:p>
    <w:p>
      <w:pPr>
        <w:spacing w:after="0" w:line="124"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15,341 shares of Class A Common Stock exercisable within 60 days of the Determination Date.</w:t>
      </w:r>
    </w:p>
    <w:p>
      <w:pPr>
        <w:spacing w:after="0" w:line="18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15,341 shares of Class A Common Stock exercisable within 60 days of the Determination Date.</w:t>
      </w:r>
    </w:p>
    <w:p>
      <w:pPr>
        <w:spacing w:after="0" w:line="18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15,341 shares of Class A Common Stock exercisable within 60 days of the Determination Date.</w:t>
      </w:r>
    </w:p>
    <w:p>
      <w:pPr>
        <w:spacing w:after="0" w:line="180" w:lineRule="exact"/>
        <w:rPr>
          <w:rFonts w:ascii="Times New Roman" w:cs="Times New Roman" w:eastAsia="Times New Roman" w:hAnsi="Times New Roman"/>
          <w:sz w:val="14"/>
          <w:szCs w:val="14"/>
          <w:color w:val="auto"/>
        </w:rPr>
      </w:pPr>
    </w:p>
    <w:p>
      <w:pPr>
        <w:ind w:left="260" w:hanging="255"/>
        <w:spacing w:after="0" w:line="289" w:lineRule="auto"/>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options to purchase 15,341 shares of Class A Common Stock exercisable within 60 days of the Determination Date and (ii) 105,000 restricted stock units that have vested but not yet been delivered.</w:t>
      </w:r>
    </w:p>
    <w:p>
      <w:pPr>
        <w:spacing w:after="0" w:line="124" w:lineRule="exact"/>
        <w:rPr>
          <w:rFonts w:ascii="Times New Roman" w:cs="Times New Roman" w:eastAsia="Times New Roman" w:hAnsi="Times New Roman"/>
          <w:sz w:val="14"/>
          <w:szCs w:val="14"/>
          <w:color w:val="auto"/>
        </w:rPr>
      </w:pPr>
    </w:p>
    <w:p>
      <w:pPr>
        <w:jc w:val="both"/>
        <w:ind w:left="260" w:hanging="255"/>
        <w:spacing w:after="0" w:line="261" w:lineRule="auto"/>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on February 17, 2026 by Armistice Capital Master Fund Ltd., a Cayman Islands exempted company (the “Master Fund”). The securities are held directly by the Master Fund and may be deemed to be beneficially owned by: (i) Armistice Capital, LLC (“Armistice Capital”), as the investment manager of the Master Fund; (ii) Steven Boyd, as the Managing Member of Armistice Capital. This amount consists of (i) 337,750 shares and (ii) 1,437,549 shares underlying warrants that are exercisable within 60 days of the Determination Date. The warrants are subject to a beneficial ownership limitation of 9.99%, which such limitation restricts the stockholder from exercising that portion of the warrants that would result in the stockholder and its affiliates owning, after exercise, a number of shares of common stock in excess of the beneficial ownership limitation. The address of Armistice Capital Master Fund Ltd. is c/o Armistice Capital, LLC, 510 Madison Avenue, 7th Floor, New York, NY 10022.</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prospectus relates to the offer and sale from time to time by the Selling Stockholders of up to 3,744,161 shares of Class A Common Stock.</w:t>
      </w:r>
    </w:p>
    <w:p>
      <w:pPr>
        <w:spacing w:after="0" w:line="18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Selling Stockholders may from time to time offer and sell any or all of the shares of Class A Common Stock set forth below pursuant to this prospectus and any accompanying prospectus supplement. We cannot advise you as to whether the Selling Stockholders will in fact sell any or all of such shares of Class A Common Stock.</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When we refer to the “Selling Stockholders” in this prospectus, we mean the person listed in the table below, and the pledgees, donees, transferees, assignees, successors, designees and others who later come to hold any of the Selling Stockholders’ interest in the Class A Common Stock other than through a public sale.</w:t>
      </w:r>
    </w:p>
    <w:p>
      <w:pPr>
        <w:spacing w:after="0" w:line="12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 following table sets forth, as of the date of this prospectus, the names of the Selling Stockholders, the number of shares of Class A Common Stock that the Selling Stockholders may offer pursuant to this prospectus, and the number of shares of Class A Common Stock owned by the Selling Stockholders before the offering (as of June 8, 2026) and after the offering, assuming that the Selling Stockholders will sell all of their Offered Securities and will make no other purchases or sales of Class A Common Stock. Information below regarding the Selling Stockholder is based on information provided to us by the Selling Stockholders.</w:t>
      </w:r>
    </w:p>
    <w:p>
      <w:pPr>
        <w:spacing w:after="0" w:line="140" w:lineRule="exact"/>
        <w:rPr>
          <w:sz w:val="20"/>
          <w:szCs w:val="20"/>
          <w:color w:val="auto"/>
        </w:rPr>
      </w:pPr>
    </w:p>
    <w:p>
      <w:pPr>
        <w:jc w:val="both"/>
        <w:ind w:firstLine="512"/>
        <w:spacing w:after="0" w:line="282" w:lineRule="auto"/>
        <w:rPr>
          <w:sz w:val="20"/>
          <w:szCs w:val="20"/>
          <w:color w:val="auto"/>
        </w:rPr>
      </w:pPr>
      <w:r>
        <w:rPr>
          <w:rFonts w:ascii="Times New Roman" w:cs="Times New Roman" w:eastAsia="Times New Roman" w:hAnsi="Times New Roman"/>
          <w:sz w:val="14"/>
          <w:szCs w:val="14"/>
          <w:color w:val="auto"/>
        </w:rPr>
        <w:t>The percentage of beneficial ownership is based on the 14,998,187 shares of Class A Common Stock issued and outstanding as of June 8, 2026 and is determined in accordance with the rules of the SEC, which, among other things, assumes the exercise of convertible securities, warrants and options by a securityholder for shares of Class A Common Stock by such securityholder only.</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of Shares of Class A</w:t>
            </w: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 Beneficially</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 Stock to</w:t>
            </w: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Owned Prior to</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be Offered Pursuant</w:t>
            </w:r>
          </w:p>
        </w:tc>
        <w:tc>
          <w:tcPr>
            <w:tcW w:w="28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 of Class A Common Stock</w:t>
            </w:r>
          </w:p>
        </w:tc>
      </w:tr>
      <w:tr>
        <w:trPr>
          <w:trHeight w:val="187"/>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 this</w:t>
            </w:r>
          </w:p>
        </w:tc>
        <w:tc>
          <w:tcPr>
            <w:tcW w:w="2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Beneficially Owned After Offering</w:t>
            </w:r>
          </w:p>
        </w:tc>
      </w:tr>
      <w:tr>
        <w:trPr>
          <w:trHeight w:val="173"/>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Stockholders</w:t>
            </w:r>
          </w:p>
        </w:tc>
        <w:tc>
          <w:tcPr>
            <w:tcW w:w="24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top w:val="single" w:sz="8" w:color="auto"/>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340" w:type="dxa"/>
            <w:vAlign w:val="bottom"/>
            <w:tcBorders>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bottom w:val="single" w:sz="8" w:color="CCEEFF"/>
            </w:tcBorders>
          </w:tcPr>
          <w:p>
            <w:pPr>
              <w:spacing w:after="0"/>
              <w:rPr>
                <w:sz w:val="15"/>
                <w:szCs w:val="15"/>
                <w:color w:val="auto"/>
              </w:rPr>
            </w:pPr>
          </w:p>
        </w:tc>
      </w:tr>
      <w:tr>
        <w:trPr>
          <w:trHeight w:val="193"/>
        </w:trPr>
        <w:tc>
          <w:tcPr>
            <w:tcW w:w="49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Kips Bay Select, LP</w:t>
            </w:r>
            <w:r>
              <w:rPr>
                <w:rFonts w:ascii="Times New Roman" w:cs="Times New Roman" w:eastAsia="Times New Roman" w:hAnsi="Times New Roman"/>
                <w:sz w:val="22"/>
                <w:szCs w:val="22"/>
                <w:color w:val="auto"/>
                <w:vertAlign w:val="superscript"/>
              </w:rPr>
              <w:t>(1)(2)</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294,117</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2,000,000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22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Rocket Capital NY LLC</w:t>
            </w:r>
            <w:r>
              <w:rPr>
                <w:rFonts w:ascii="Times New Roman" w:cs="Times New Roman" w:eastAsia="Times New Roman" w:hAnsi="Times New Roman"/>
                <w:sz w:val="23"/>
                <w:szCs w:val="23"/>
                <w:color w:val="auto"/>
                <w:vertAlign w:val="superscript"/>
              </w:rPr>
              <w:t>(1)(3)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832,937</w:t>
            </w:r>
          </w:p>
        </w:tc>
        <w:tc>
          <w:tcPr>
            <w:tcW w:w="240" w:type="dxa"/>
            <w:vAlign w:val="bottom"/>
          </w:tcPr>
          <w:p>
            <w:pPr>
              <w:spacing w:after="0"/>
              <w:rPr>
                <w:sz w:val="17"/>
                <w:szCs w:val="17"/>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832,937</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2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Green Flash Media, LLC</w:t>
            </w:r>
            <w:r>
              <w:rPr>
                <w:rFonts w:ascii="Times New Roman" w:cs="Times New Roman" w:eastAsia="Times New Roman" w:hAnsi="Times New Roman"/>
                <w:sz w:val="23"/>
                <w:szCs w:val="23"/>
                <w:color w:val="auto"/>
                <w:vertAlign w:val="superscript"/>
              </w:rPr>
              <w:t>(1)(4)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49,702</w:t>
            </w:r>
          </w:p>
        </w:tc>
        <w:tc>
          <w:tcPr>
            <w:tcW w:w="2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49,702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22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Wolff Moscaro LLP</w:t>
            </w:r>
            <w:r>
              <w:rPr>
                <w:rFonts w:ascii="Times New Roman" w:cs="Times New Roman" w:eastAsia="Times New Roman" w:hAnsi="Times New Roman"/>
                <w:sz w:val="23"/>
                <w:szCs w:val="23"/>
                <w:color w:val="auto"/>
                <w:vertAlign w:val="superscript"/>
              </w:rPr>
              <w:t>(1)(5)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21,565</w:t>
            </w:r>
          </w:p>
        </w:tc>
        <w:tc>
          <w:tcPr>
            <w:tcW w:w="240" w:type="dxa"/>
            <w:vAlign w:val="bottom"/>
          </w:tcPr>
          <w:p>
            <w:pPr>
              <w:spacing w:after="0"/>
              <w:rPr>
                <w:sz w:val="17"/>
                <w:szCs w:val="17"/>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21,565</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2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Russell Cyr</w:t>
            </w:r>
            <w:r>
              <w:rPr>
                <w:rFonts w:ascii="Times New Roman" w:cs="Times New Roman" w:eastAsia="Times New Roman" w:hAnsi="Times New Roman"/>
                <w:sz w:val="23"/>
                <w:szCs w:val="23"/>
                <w:color w:val="auto"/>
                <w:vertAlign w:val="superscript"/>
              </w:rPr>
              <w:t>(1)(6)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232,941</w:t>
            </w:r>
          </w:p>
        </w:tc>
        <w:tc>
          <w:tcPr>
            <w:tcW w:w="2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232,941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22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Geoffrey Dawe</w:t>
            </w:r>
            <w:r>
              <w:rPr>
                <w:rFonts w:ascii="Times New Roman" w:cs="Times New Roman" w:eastAsia="Times New Roman" w:hAnsi="Times New Roman"/>
                <w:sz w:val="23"/>
                <w:szCs w:val="23"/>
                <w:color w:val="auto"/>
                <w:vertAlign w:val="superscript"/>
              </w:rPr>
              <w:t>(1)(6)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232,011</w:t>
            </w:r>
          </w:p>
        </w:tc>
        <w:tc>
          <w:tcPr>
            <w:tcW w:w="240" w:type="dxa"/>
            <w:vAlign w:val="bottom"/>
          </w:tcPr>
          <w:p>
            <w:pPr>
              <w:spacing w:after="0"/>
              <w:rPr>
                <w:sz w:val="17"/>
                <w:szCs w:val="17"/>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232,011</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2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Fuji West Funding, LLC</w:t>
            </w:r>
            <w:r>
              <w:rPr>
                <w:rFonts w:ascii="Times New Roman" w:cs="Times New Roman" w:eastAsia="Times New Roman" w:hAnsi="Times New Roman"/>
                <w:sz w:val="23"/>
                <w:szCs w:val="23"/>
                <w:color w:val="auto"/>
                <w:vertAlign w:val="superscript"/>
              </w:rPr>
              <w:t>(1)(7)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375,005</w:t>
            </w:r>
          </w:p>
        </w:tc>
        <w:tc>
          <w:tcPr>
            <w:tcW w:w="2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375,005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178879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175" w:lineRule="exact"/>
        <w:rPr>
          <w:sz w:val="20"/>
          <w:szCs w:val="20"/>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sale of all shares of our Class A Common Stock being offered for resale pursuant to this prospectus.</w:t>
      </w:r>
    </w:p>
    <w:p>
      <w:pPr>
        <w:spacing w:after="0" w:line="23" w:lineRule="exact"/>
        <w:rPr>
          <w:rFonts w:ascii="Times New Roman" w:cs="Times New Roman" w:eastAsia="Times New Roman" w:hAnsi="Times New Roman"/>
          <w:sz w:val="14"/>
          <w:szCs w:val="14"/>
          <w:color w:val="auto"/>
        </w:rPr>
      </w:pPr>
    </w:p>
    <w:p>
      <w:pPr>
        <w:jc w:val="both"/>
        <w:ind w:left="260" w:hanging="255"/>
        <w:spacing w:after="0" w:line="257" w:lineRule="auto"/>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Class A Common Stock consist of (i) 294,117 shares of Class A Common Stock issuable to Kips within 60 days of the Determination Date at such time and in such amounts as Kips may elect, and (ii) a good faith estimate of shares issuable upon conversion of the Preferred Shares. Pursuant to the terms of the Series A Preferred Stock, the shares are subject to a beneficial ownership limitation of 4.99% (or upon election of the Kips, by providing a 61-day written notice to Mobix Labs, 9.99%), which such limitation restricts the stockholder from converting that portion of the Preferred Shares that would result in the stockholder and its affiliates owning, after conversion, a number of shares of Class A Common Stock in excess of the beneficial ownership limitation. The issuance of the Offered Securities upon conversion of the Preferred Shares is subject to stockholder approval. As a result, as of the date of this prospectus Kips does not beneficially own the shares of Class A Common Stock issuable upon conversion of the Preferred Shares. John Miller holds voting and dispositive power over the Preferred Shares held by Kips.</w:t>
      </w:r>
    </w:p>
    <w:p>
      <w:pPr>
        <w:spacing w:after="0" w:line="160" w:lineRule="exact"/>
        <w:rPr>
          <w:rFonts w:ascii="Times New Roman" w:cs="Times New Roman" w:eastAsia="Times New Roman" w:hAnsi="Times New Roman"/>
          <w:sz w:val="14"/>
          <w:szCs w:val="14"/>
          <w:color w:val="auto"/>
        </w:rPr>
      </w:pPr>
    </w:p>
    <w:p>
      <w:pPr>
        <w:jc w:val="both"/>
        <w:ind w:left="260" w:hanging="255"/>
        <w:spacing w:after="0" w:line="254" w:lineRule="auto"/>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Class A Common Stock issuable to Rocket are subject to a beneficial ownership limitation of 4.99%. Additionally, the shares are subject to a share cap of 19.99% of the outstanding Class A Common Stock on May 13, 2026, or 2,250,353 shares. Any amounts issued in excess of the share cap are subject to stockholder approval. Tzvi Rosenblum, as manager of Rocket, holds voting and dispositive power over the shares of Class A Common Stock held by Kips.</w:t>
      </w: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Jeremy Hyatt, as principal of Green Flash Media, LLC (“Green Flash”), holds voting and dispositive power over the shares of Class A Common Stock held by Green Flash.</w:t>
      </w:r>
    </w:p>
    <w:p>
      <w:pPr>
        <w:spacing w:after="0" w:line="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Joshua M. Wolff, as partner of Wolff Moscaro LLP (“Wolff”), holds voting and dispositive power over the shares of Class A Common Stock held by Wolff.</w:t>
      </w:r>
    </w:p>
    <w:p>
      <w:pPr>
        <w:spacing w:after="0" w:line="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Class A Common Stock are issued as earnout shares in connection with the RaGE transaction.</w:t>
      </w:r>
    </w:p>
    <w:p>
      <w:pPr>
        <w:spacing w:after="0" w:line="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Johnathan Hershberg, as manager of Fuji West Funding, LLC (“Fuji”), holds voting and dispositive power over the shares of Class A Common Stock held by Fuji.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16089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t>CERTAIN RELATIONSHIPS AND RELATED TRANSACTIONS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 Party Transactions Policy</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Board has adopted a written related party transactions policy that requires that related party transactions (as defined below) be reviewed and, if appropriate, approved by the Board’s audit committee, subject to certain exceptions. Our related party transactions policy is designed to minimize potential conflicts of interest arising from any dealings we may have with our affiliates and to provide appropriate procedures for the disclosure of any real or potential conflicts of interest that may exist from time to time.</w:t>
      </w:r>
    </w:p>
    <w:p>
      <w:pPr>
        <w:spacing w:after="0" w:line="13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A “related party transaction” is a transaction, arrangement or relationship in which the Company or any of its subsidiaries was, is or will be a participant, the amount of which involved exceeds $120,000, and in which any related party had, has or will have a direct or indirect material interest. A “related party” means:</w:t>
      </w:r>
    </w:p>
    <w:p>
      <w:pPr>
        <w:spacing w:after="0" w:line="124"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or at any time during the applicable period was, one of the Company’s executive officers or one of the Company’s directors;</w:t>
      </w:r>
    </w:p>
    <w:p>
      <w:pPr>
        <w:spacing w:after="0" w:line="180"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known by the Company to be the beneficial owner of more than 5% of the Company’s voting securities; and</w:t>
      </w:r>
    </w:p>
    <w:p>
      <w:pPr>
        <w:spacing w:after="0" w:line="180" w:lineRule="exact"/>
        <w:rPr>
          <w:rFonts w:ascii="Times New Roman" w:cs="Times New Roman" w:eastAsia="Times New Roman" w:hAnsi="Times New Roman"/>
          <w:sz w:val="14"/>
          <w:szCs w:val="14"/>
          <w:color w:val="auto"/>
        </w:rPr>
      </w:pPr>
    </w:p>
    <w:p>
      <w:pPr>
        <w:jc w:val="both"/>
        <w:ind w:left="1020" w:hanging="503"/>
        <w:spacing w:after="0" w:line="272" w:lineRule="auto"/>
        <w:tabs>
          <w:tab w:leader="none" w:pos="1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the Company’s voting securities, and any person (other than a domestic employee) sharing the household of such director, executive officer or beneficial owner of more than 5% of the Company’s voting securities.</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On August 3, 2023, Legacy Mobix issued a promissory note having a principal balance of $100,000 to Mr. James Peterson, our director. The note, which matured on August 22, 2023, did not bear interest and was unsecured. In connection with the note, Legacy Mobix agreed to issue the purchaser warrants to purchase 292 shares of Legacy Mobix Common Stock at an exercise price of $68.40 per share. The note was assumed in connection with the Closing. We repaid the loan in January 2024.</w:t>
      </w:r>
    </w:p>
    <w:p>
      <w:pPr>
        <w:spacing w:after="0" w:line="135"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also issued four promissory notes in the aggregate principal amount of $1,395,000 to Giuseppe Battaglia, the brother of Fabrizio Battaglia, a former director and our former Chief Executive Officer. The interest rate on the note in the principal amount of $500,000 was 6%, the note in the principal amount of $400,000 was 15%, the note in the principal amount of $165,000 was issued with an original issue discount of 10% and bore interest at 16% per year, and the note in the principal amount of $330,000 was issued with an original issue discount of 10% and bore interest at 16% per year. The proceeds for such loans were used for working capital purposes. We repaid all four notes in full, and no longer remain outstanding.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Mobix Labs entered into indemnification agreements with each of its directors and executive officers. The indemnification agreements provide that Mobix Labs will indemnify each of its directors and executive officers against any and all expenses incurred by that director or executive officer because of his or her status as a director or officer of Mobix Labs, to the fullest extent permitted by Delaware law, the Charter and the Bylaws.</w:t>
      </w:r>
    </w:p>
    <w:p>
      <w:pPr>
        <w:spacing w:after="0" w:line="135"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The Charter of Mobix Labs contains a provision limiting the liability of directors and certain officers of Mobix Labs for monetary damages for breach of fiduciary duty, and the Bylaws provide that Mobix Labs will indemnify each of its present and former directors and officers in those capacities or for serving other business enterprises at its request, to the fullest extent permitted under Delaware law. In addition, the Bylaws provide that, to the fullest extent permitted by Delaware law, Mobix Labs will advance all expenses incurred by its present and former directors and officers in connection with a legal proceeding involving his or her status as a director or officer of Mobix Labs, except that present directors or officers shall undertake to repay such advances if it is ultimately determined that such person is not entitled to indemnification.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 of Loans</w:t>
      </w:r>
    </w:p>
    <w:p>
      <w:pPr>
        <w:spacing w:after="0" w:line="18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October 19, 2023, Legacy Mobix borrowed $150,000 from an unrelated finance company, which loan is secured by substantially all assets of Legacy Mobix and is guaranteed by Keyvan Samini, the President, Chief Financial Officer and a director of Mobix Labs. The loan matured in November 2024 and was repaid in full.</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December 2, 2024, a subsidiary of Mobix borrowed $200,000 from an unrelated finance company, which loan is guaranteed by Keyvan Samini, the President, Chief Financial Officer and a director of Mobix Labs. The loan matures in June 2026.</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Additionally, on August 15, 2025, Philip Sansone, our Chief Executive Officer and director, and Keyvan Samini, the President, Chief Financial Officer and a director, both personally guaranteed the Maxim loan to us with a principal amount of $600,000.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Subscription Agreement</w:t>
      </w:r>
    </w:p>
    <w:p>
      <w:pPr>
        <w:spacing w:after="0" w:line="184" w:lineRule="exact"/>
        <w:rPr>
          <w:sz w:val="20"/>
          <w:szCs w:val="20"/>
          <w:color w:val="auto"/>
        </w:rPr>
      </w:pPr>
    </w:p>
    <w:p>
      <w:pPr>
        <w:jc w:val="both"/>
        <w:ind w:firstLine="512"/>
        <w:spacing w:after="0" w:line="257" w:lineRule="auto"/>
        <w:rPr>
          <w:sz w:val="20"/>
          <w:szCs w:val="20"/>
          <w:color w:val="auto"/>
        </w:rPr>
      </w:pPr>
      <w:r>
        <w:rPr>
          <w:rFonts w:ascii="Times New Roman" w:cs="Times New Roman" w:eastAsia="Times New Roman" w:hAnsi="Times New Roman"/>
          <w:sz w:val="14"/>
          <w:szCs w:val="14"/>
          <w:color w:val="auto"/>
        </w:rPr>
        <w:t>On December 19, 2023, Chavant entered into a subscription agreement with Michael Long, who was appointed as a director of Mobix Labs on January 22, 2024, pursuant to which Mr. Long agreed to purchase, in a private placement that closed substantially concurrently with the Closing, 30,000 shares of Class A Common Stock at a price of $100.00 per share for an aggregate purchase price of $3,000,000, on the terms and subject to the conditions set forth in the subscription agreement. Mobix Labs registered for resale the shares received by Mr. Long pursuant to the subscription agreement and upon exercise of the warrant. Pursuant to the subscription agreement, Mobix Labs agreed to issue additional shares of Class A Common Stock to Mr. Long in the event that the Adjustment Period VWAP during the Adjustment Period is less than $100.00 per share. In such case, Mr. Long was entitled to receive a number of shares of Make-Whole Shares equal to the product of (x) the number of shares of Class A Common Stock issued to him at the closing of the subscription and held by him through the end of the Adjustment Period multiplied by (y) a fraction,</w:t>
      </w:r>
    </w:p>
    <w:p>
      <w:pPr>
        <w:spacing w:after="0" w:line="4" w:lineRule="exact"/>
        <w:rPr>
          <w:sz w:val="20"/>
          <w:szCs w:val="20"/>
          <w:color w:val="auto"/>
        </w:rPr>
      </w:pPr>
    </w:p>
    <w:p>
      <w:pPr>
        <w:ind w:firstLine="5"/>
        <w:spacing w:after="0" w:line="268" w:lineRule="auto"/>
        <w:tabs>
          <w:tab w:leader="none" w:pos="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numerator of which is $100.00 minus the Adjustment Period VWAP and (B) the denominator of which is the Adjustment Period VWAP. In the event that the Adjustment Period VWAP is less than $70.00, the Adjustment Period VWAP will be deemed to be $70.00. On November 4, 2024, Mr. Long received 12,857 Make-Whole Shares.</w:t>
      </w:r>
    </w:p>
    <w:p>
      <w:pPr>
        <w:spacing w:after="0" w:line="139"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In connection with the execution of the subscription agreement, Legacy Mobix issued to Mr. Long a warrant to purchase 10,000 shares of Mobix Labs Stock at an exercise price of $0.10 per share, exercisable upon the closing of the subscription agreement. The warrant was exercised at the closing of the subscription agreement and, following net settlement into 9,990 shares of Mobix Labs Stock, converted into 9,990 shares of Class A Common Stock in connection with the Closing.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Pre-Merger Related Party Transactions of Chavant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w:t>
      </w:r>
    </w:p>
    <w:p>
      <w:pPr>
        <w:spacing w:after="0" w:line="184" w:lineRule="exact"/>
        <w:rPr>
          <w:sz w:val="20"/>
          <w:szCs w:val="20"/>
          <w:color w:val="auto"/>
        </w:rPr>
      </w:pPr>
    </w:p>
    <w:p>
      <w:pPr>
        <w:jc w:val="both"/>
        <w:ind w:firstLine="512"/>
        <w:spacing w:after="0" w:line="262" w:lineRule="auto"/>
        <w:rPr>
          <w:sz w:val="20"/>
          <w:szCs w:val="20"/>
          <w:color w:val="auto"/>
        </w:rPr>
      </w:pPr>
      <w:r>
        <w:rPr>
          <w:rFonts w:ascii="Times New Roman" w:cs="Times New Roman" w:eastAsia="Times New Roman" w:hAnsi="Times New Roman"/>
          <w:sz w:val="14"/>
          <w:szCs w:val="14"/>
          <w:color w:val="auto"/>
        </w:rPr>
        <w:t>In connection with the Closing and as contemplated by the Business Combination Agreement, the Company and certain holders entered into the Amended and Restated Registration Rights and Lock-Up Agreement, dated December 21, 2023 (the “Amended and Restated Registration Rights and Lock-Up Agreement”), pursuant to which, among other things, the Company is obligated to file a registration statement to register the resale of certain securities of Mobix Labs held by certain holders, including all the members of the Board other than Michael Long, and to use reasonable best efforts to cause the registration statement to become effective as soon as reasonably practical after the initial filing of the registration statement. This registration statement was filed on June 6, 2024. The Amended and Restated Registration Rights and Lock-Up Agreement also provides certain holders with “piggy-back” registration rights, subject to certain requirements and customary conditions.</w:t>
      </w:r>
    </w:p>
    <w:p>
      <w:pPr>
        <w:spacing w:after="0" w:line="316"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Subject to certain exceptions, the Amended and Restated Registration Rights and Lock-Up Agreement further provides the Founder Equityholders and Legacy Mobix Holders shall not transfer their Common Stock until (a) with respect to 50% of such shares, for a period ending on the earlier of the one-year anniversary of the Closing and the date on which the VWAP of the Class A Common Stock equals or exceeds $120.00 per share (as adjusted for stock splits, stock capitalizations, reorganizations, recapitalizations and the like) for any 20 trading days within a 30-trading day period following the Closing or (b) with respect to the remaining 50% of such shares, for a period ending on the earlier of the one-year anniversary of the Closing and the date on which the VWAP of the Class A Common Stock equals or exceeds $150.00 per share (as adjusted for stock splits, stock capitalizations, reorganizations, recapitalizations and the like) for any 20 trading days within a 30-trading day period following the Closing. The restriction on transfers contained in the Amended and Restated Registration Rights and Lock-Up Agreement expired on December 23, 2024.</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7"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w:t>
      </w:r>
    </w:p>
    <w:p>
      <w:pPr>
        <w:spacing w:after="0" w:line="18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Company paid Chavant Capital Partners LLC (the “Sponsor”) $10,000 per month for office space, and secretarial and administrative services provided to members of the Company’s management team prior to the Closing. Upon completion of the Merger, the Company ceased paying these monthly fees.</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For the nine months ended September 30, 2023 and 2022, the Company incurred expenses of $90,000 and $90,000 under the administrative services agreement, respectively, of which $150,000 and $80,000 were included in accrued expenses as of September 30, 2023 and December 31, 2022,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Related Party Notes</w:t>
      </w:r>
    </w:p>
    <w:p>
      <w:pPr>
        <w:spacing w:after="0" w:line="184" w:lineRule="exact"/>
        <w:rPr>
          <w:sz w:val="20"/>
          <w:szCs w:val="20"/>
          <w:color w:val="auto"/>
        </w:rPr>
      </w:pPr>
    </w:p>
    <w:p>
      <w:pPr>
        <w:jc w:val="both"/>
        <w:ind w:firstLine="512"/>
        <w:spacing w:after="0" w:line="256" w:lineRule="auto"/>
        <w:rPr>
          <w:sz w:val="20"/>
          <w:szCs w:val="20"/>
          <w:color w:val="auto"/>
        </w:rPr>
      </w:pPr>
      <w:r>
        <w:rPr>
          <w:rFonts w:ascii="Times New Roman" w:cs="Times New Roman" w:eastAsia="Times New Roman" w:hAnsi="Times New Roman"/>
          <w:sz w:val="14"/>
          <w:szCs w:val="14"/>
          <w:color w:val="auto"/>
        </w:rPr>
        <w:t>On January 6, 2023, the Company issued an unsecured convertible promissory note in the aggregate principal amount of $300,000 to the Sponsor, under which the Company was permitted to draw down non-interest bearing loans which are made by the Sponsor or an affiliate of the Sponsor, or certain of the Company’s officers and directors to Chavant (the “Working Capital Loans”) from time to time prior to the maturity date up to such aggregate principal amount. The Company drew down the full amount of the Working Capital Loans under such promissory note. As of September 30, 2023, the Company had drawn down $1,150,000 under the Working Capital Loans. The Chairman of the Board of Chavant, Dr. Auberton-Hervé, and/or STAR SCI, an entity affiliated with him, and another existing investor in the Sponsor and/or persons affiliated with such investor provided the funds to the Sponsor for the foregoing Working Capital Loans. On June 22, 2023, the Company issued an unsecured non-convertible promissory note in the aggregate principal amount of up to $500,000 to its Sponsor under which the Company was permitted to draw down Working Capital Loans from time to time prior to the maturity date up to such aggregate principal amount. As of the Closing, the Company had drawn down the full amount of the Working Capital Loans under such promissory note. The Chairman of the Board of Chavant and/or STAR SCI and the Chief Executive Officer of Chavant, Dr. Ma, and/or Chavant Family Office, an entity affiliated with her, provided the funds to the Sponsor for the Working Capital Loans under this unsecured non-convertible promissory note. On November 30, 2023, the Company issued an unsecured non-convertible promissory note in the aggregate principal amount of up to $325,000 to its Sponsor under which the Company was permitted to draw down Working Capital Loans from time to time prior to the maturity date up to such aggregate principal amount. As of the Closing, the Company had drawn down approximately $150,000 of Working Capital Loans under such promissory note. The Chairman of the Board of Chavant and/or STAR SCI, the Chief Executive Officer of Chavant and/or Chavant Family Office and another investor in the Sponsor and/or persons affiliated with such investor provided the funds to the Sponsor for the foregoing Working Capital Loans under such promissory note. As of the Closing, the Company had drawn down an aggregate of approximately $1,800,000 of Working Capital Loans under the promissory notes issued to the Sponsor, of which an aggregate amount of $1,418,000 was provided to the Sponsor by Dr. Auberton-Hervé and/or STAR SCI and an aggregate amount of $140,000 was provided to the Sponsor by Dr. Ma and/or Chavant Family Office. The outstanding Working Capital Loans were paid to the Sponsor through the issuance of shares of Class A Common Stock to the Sponsor pursuant to the Sponsor PIPE Subscription Agreement described below.</w:t>
      </w:r>
    </w:p>
    <w:p>
      <w:pPr>
        <w:spacing w:after="0" w:line="155"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During the years ended September 30, 2024, and 2023, the Company, as borrower, issued two promissory notes in the aggregate principal amount of $565,000 to Giuseppe Battaglia, the brother of Fabrizio Battaglia, a former director and the former Chief Executive Officer of the Company. The interest rate on the note in the principal amount of $400,000 was 15%, and the note in the principal amount of $165,000 was issued with an original issue discount of 10% and bore interest at 16% per year. The proceeds for such loans were used for working capital purposes. The Company repaid in full both notes in December 2023 and July 2024, and neither of the notes remains outstanding.</w:t>
      </w:r>
    </w:p>
    <w:p>
      <w:pPr>
        <w:spacing w:after="0" w:line="14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During the year ended September 30, 2024, the Company, as borrower, issued a third promissory note in a principal amount of $330,000 to Giuseppe Battaglia. The note was issued with an original issue discount of 10% and has a maturity date of November 16, 2024. The note bore interest at a rate of 16% per year. The Company repaid the note in full in April 2025 and the note is no longer outstanding.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7"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i w:val="1"/>
          <w:iCs w:val="1"/>
          <w:color w:val="auto"/>
        </w:rPr>
        <w:t>Sage Hill PIPE Subscription Agreement and Sage Hill Warrant</w:t>
      </w:r>
    </w:p>
    <w:p>
      <w:pPr>
        <w:spacing w:after="0" w:line="184"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On December 18, 2023, Chavant entered into a subscription agreement with Sage Hill Investors, LLC (“Sage Hill”) (the “Sage Hill PIPE Subscription Agreement”), pursuant to which Sage Hill agreed to purchase, in a private placement that closed substantially concurrently with the Closing, 150,000 shares of Class A Common Stock in cash at a price of $100.00 per share for an aggregate purchase price of $15,000,000, on the terms and subject to the conditions set forth in the Sage Hill PIPE Subscription Agreement. Pursuant to the Sage Hill Subscription Agreement, Chavant agreed to issue additional shares of Class A Common Stock to Sage Hill in the event that the volume weighted average price per share of the Class A Common Stock during the 30-day period (the “Adjustment Period”) commencing on the date that is 30 days after the date on which the resale registration statement was declared effective (the “Adjustment Period VWAP”) is less than $100.00 per share. In such case, Sage Hill will be entitled to receive a number of shares of Class A Common Stock equal to the product of (x) the number of shares of Class A Common Stock issued to Sage Hill at the closing of the subscription and held by Sage Hill through the end of the Adjustment Period multiplied by (y) a fraction, (A) the numerator of which is $100.00 minus the Adjustment Period VWAP and (B) the denominator of which is the Adjustment Period VWAP (the “Make-Whole Shares”). Such condition was satisfied on August 30, 2024 and 64,285 Make-Whole Shares were delivered on November 4, 2024.</w:t>
      </w:r>
    </w:p>
    <w:p>
      <w:pPr>
        <w:spacing w:after="0" w:line="15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In connection with the execution of the Sage Hill PIPE Subscription Agreement, Mobix Labs issued to Sage Hill a warrant to purchase 150,000 shares of Mobix Labs Stock at an exercise price of $0.10 per share, exercisable upon the closing of the Sage Hill PIPE Subscription Agreement and stockholder approval (the “Sage Hill Warrant”). Stockholders approved the exercise of the Sage Hill Warrant at the special meeting held on January 3, 2025 and was exercised on February 25,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Sponsor PIPE Subscription Agreement, Sponsor Warrant and Sponsor Letter Agreement</w:t>
      </w:r>
    </w:p>
    <w:p>
      <w:pPr>
        <w:spacing w:after="0" w:line="184" w:lineRule="exact"/>
        <w:rPr>
          <w:sz w:val="20"/>
          <w:szCs w:val="20"/>
          <w:color w:val="auto"/>
        </w:rPr>
      </w:pPr>
    </w:p>
    <w:p>
      <w:pPr>
        <w:jc w:val="both"/>
        <w:ind w:firstLine="512"/>
        <w:spacing w:after="0" w:line="259" w:lineRule="auto"/>
        <w:rPr>
          <w:sz w:val="20"/>
          <w:szCs w:val="20"/>
          <w:color w:val="auto"/>
        </w:rPr>
      </w:pPr>
      <w:r>
        <w:rPr>
          <w:rFonts w:ascii="Times New Roman" w:cs="Times New Roman" w:eastAsia="Times New Roman" w:hAnsi="Times New Roman"/>
          <w:sz w:val="14"/>
          <w:szCs w:val="14"/>
          <w:color w:val="auto"/>
        </w:rPr>
        <w:t>On December 19, 2023, Chavant entered into the subscription agreement (the “Sponsor PIPE Subscription Agreement”) with the Sponsor pursuant to which the Sponsor agreed to purchase, in a private placement that closed substantially concurrently with the Closing, 19,973 shares of Class A Common Stock at a price of $100.00 per share for an aggregate purchase price of $1,997,370 paid through the forgiveness of the Forgiven Chavant Obligations (as defined below), on the terms and subject to the conditions set forth in the Sponsor PIPE Subscription Agreement and the Sponsor Letter Agreement described below. Pursuant to the Sponsor PIPE Subscription Agreement, Chavant agreed to issue additional shares of Class A Common Stock to the Sponsor or its permitted transferees in the event that the Adjustment Period VWAP during the Adjustment Period is less than $100.00 per share. In such case, the Sponsor or its permitted transferees will be entitled to receive a number of shares of Class A Common Stock equal to the product of (x) the number of shares of Class A Common Stock issued to the Sponsor at the closing of the subscription and held by the Sponsor or its permitted transferees through the end of the Adjustment Period multiplied by (y) a fraction, (A) the numerator of which is $100.00 minus the Adjustment Period VWAP and (B) the denominator of which is the Adjustment Period VWAP (the “Make-Whole Shares”). Such condition was satisfied on August 30, 2024 and 1,294 Make-Whole Shares were delivered on November 4, 2024.</w:t>
      </w:r>
    </w:p>
    <w:p>
      <w:pPr>
        <w:spacing w:after="0" w:line="317" w:lineRule="exact"/>
        <w:rPr>
          <w:sz w:val="20"/>
          <w:szCs w:val="20"/>
          <w:color w:val="auto"/>
        </w:rPr>
      </w:pPr>
    </w:p>
    <w:p>
      <w:pPr>
        <w:jc w:val="both"/>
        <w:ind w:firstLine="512"/>
        <w:spacing w:after="0" w:line="269" w:lineRule="auto"/>
        <w:rPr>
          <w:sz w:val="20"/>
          <w:szCs w:val="20"/>
          <w:color w:val="auto"/>
        </w:rPr>
      </w:pPr>
      <w:r>
        <w:rPr>
          <w:rFonts w:ascii="Times New Roman" w:cs="Times New Roman" w:eastAsia="Times New Roman" w:hAnsi="Times New Roman"/>
          <w:sz w:val="14"/>
          <w:szCs w:val="14"/>
          <w:color w:val="auto"/>
        </w:rPr>
        <w:t>In connection with the execution of the Sponsor PIPE Subscription Agreement, Legacy Mobix issued to the Sponsor a warrant to purchase 27,245 shares of Mobix Labs Stock at an exercise price of $0.10 per share, exercisable upon the closing of the Sponsor PIPE Subscription Agreement (the “Sponsor Warrant”). The Sponsor Warrant was exercised at the closing of the Sponsor PIPE Subscription Agreement and, following net settlement into 27,218 shares of Mobix Labs Stock, converted into 27,218 shares of Class A Common Stock of the Company in connection with the Closing.</w:t>
      </w:r>
    </w:p>
    <w:p>
      <w:pPr>
        <w:spacing w:after="0" w:line="312"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On December 20, 2023, Chavant also entered into a Sponsor Letter Agreement with the Sponsor (the “Sponsor Letter Agreement”). Pursuant to the Sponsor Letter Agreement, as consideration for the 19,973 shares issued pursuant to the Sponsor PIPE Subscription Agreement, the Sponsor agreed to forgive, effective upon the Closing, approximately $1,997,370 of aggregate outstanding obligations of Chavant owed to the Sponsor, consisting of (i) $1,150,000 aggregate principal amount of working capital loans outstanding under Chavant’s convertible promissory notes issued to the Sponsor, (ii) $610,000 aggregate principal amount of working capital loans outstanding under Chavant’s non-convertible promissory notes issued to the Sponsor (the accrued interest under which was forgiven), (iii) an estimated additional $40,000 in aggregate principal amount of working capital loans incurred to pay additional expenses in connection with the Closing, (iv) approximately $165,000 of outstanding reimbursement obligations owed to the Sponsor by Chavant for administrative services, as described above and (v) approximately $32,370 of reimbursement obligations owed to Dr. Jiong Ma, the Chief Executive Officer of Chavant, by Chavant for certain operating expenses of Chavant paid by Dr. Ma (collectively, the “Forgiven Chavant Obligations”).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89" w:name="page90"/>
    <w:bookmarkEnd w:id="89"/>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In addition, pursuant to the Sponsor Letter Agreement, the Sponsor agreed to forfeit (1) 65,863 Founder Shares that it held (“Sponsor Forfeited Founder Shares”) and (2) 40,000 Private Placement Warrants that it held (“Sponsor Forfeited Private Placement Warrants”), in each case upon the Closing.</w:t>
      </w:r>
    </w:p>
    <w:p>
      <w:pPr>
        <w:spacing w:after="0" w:line="124" w:lineRule="exact"/>
        <w:rPr>
          <w:sz w:val="20"/>
          <w:szCs w:val="20"/>
          <w:color w:val="auto"/>
        </w:rPr>
      </w:pPr>
    </w:p>
    <w:p>
      <w:pPr>
        <w:jc w:val="both"/>
        <w:ind w:firstLine="512"/>
        <w:spacing w:after="0" w:line="257" w:lineRule="auto"/>
        <w:rPr>
          <w:sz w:val="20"/>
          <w:szCs w:val="20"/>
          <w:color w:val="auto"/>
        </w:rPr>
      </w:pPr>
      <w:r>
        <w:rPr>
          <w:rFonts w:ascii="Times New Roman" w:cs="Times New Roman" w:eastAsia="Times New Roman" w:hAnsi="Times New Roman"/>
          <w:sz w:val="14"/>
          <w:szCs w:val="14"/>
          <w:color w:val="auto"/>
        </w:rPr>
        <w:t>The forfeiture of the Sponsor Forfeited Founder Shares reduced the number of Founder Shares held by the Sponsor, which are subject to the lock-up agreement applicable to the Founder Equityholders as set forth in the Amended and Restated Registration Rights and Lock-Up Agreement (the “Founder Share Lock-Up”), to 92,218 Founder Shares. The Sponsor expects to distribute these Founder Shares to its members in April 2024. In such distributions, (1) Chavant Family Office, a controlled affiliate of Dr. Ma, Chavant’s Chief Executive Officer, is expected to receive (i) 72,460 shares of Class A Common Stock representing Founder Shares, and (2) STAR SCI, a controlled affiliate of Dr. André-Jacques Auberton-Hervé, Chavant’s Chairman, is expected to receive (i) 19,758 shares of Class A Common Stock representing Founder Shares. The forfeiture of the Sponsor Forfeited Private Placement Warrants reduced the number of Private Placement Warrants held by the Sponsor to 239,433 Private Placement Warrants. None of the Private Placement Warrants are subject to the Founder Share Lock-Up, and the Sponsor distributed these Private Placement Warrants to its members following the Closing. In such distribution, (ii) Chavant Family Office, a controlled affiliate of Dr. Ma, received 124,155 Private Placement Warrants, and (ii) STAR SCI, a controlled affiliate of Dr. Auberton-Hervé, received 35,832 Private Placement Warrants. In addition, the shares of Class A Common Stock the Sponsor received upon the Closing pursuant to the Sponsor PIPE Subscription Agreement and the conversion of the Sponsor Warrant, as described above, are not subject to the Founder Share Lock-Up. The Sponsor distributed those shares to its members. In such distribution, (1) Chavant Family Office, a controlled affiliate of Dr. Ma, received approximately 7,139 shares of Class A Common Stock (reflecting $140,000 of non-convertible debt that Dr. Ma had funded to the Sponsor in respect of working capital loans to Chavant, Dr. Ma’s pro rata share in the amount of approximately $130,000 of the outstanding reimbursement obligations owed to the Sponsor for administrative services, and the outstanding reimbursement obligations of $32,370 owed to Dr. Ma, as described above, each forgiven pursuant to the Sponsor Letter Agreement) and (2) STAR SCI, a controlled affiliate of Dr. Auberton-Hervé, received approximately 34,338 shares of Class A Common Stock (reflecting $1.4 million of convertible and non-convertible debt that Dr. Auberton-Hervé had funded to the Sponsor in respect of working capital loans to Chavant and Dr. Auberton-Hervé’s pro rata share of the outstanding reimbursement obligations owed to the Sponsor for administrative services, each forgiven pursuant to the Sponsor Letter Agreement).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Amendments</w:t>
      </w:r>
    </w:p>
    <w:p>
      <w:pPr>
        <w:spacing w:after="0" w:line="18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On October 24, 2025, the Company entered into amendments to certain outstanding warrants to purchase an aggregate of 1,337,549 shares of the Company’s Class A Common Stock held by the Master Fund (the “Armistice Warrants”). The amendments revise certain terms of the Armistice Warrants so that, under applicable accounting guidance, the Armistice Warrants are classified as equity rather than liabilities on the Company’s balance sheet. As part of these amendments, the Company issued an additional warrant to purchase 100,000 shares of Class A Common Stock. No cash consideration was paid or received in connection with these amendments.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1"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Selling Stockholders may use any one or more of the following methods when disposing of shares or interests therein:</w:t>
      </w:r>
    </w:p>
    <w:p>
      <w:pPr>
        <w:spacing w:after="0" w:line="180" w:lineRule="exact"/>
        <w:rPr>
          <w:sz w:val="20"/>
          <w:szCs w:val="20"/>
          <w:color w:val="auto"/>
        </w:rPr>
      </w:pPr>
    </w:p>
    <w:p>
      <w:pPr>
        <w:ind w:left="520" w:hanging="259"/>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members, partners, stockholders or other equity holders of the Selling Stockholders;</w:t>
      </w:r>
    </w:p>
    <w:p>
      <w:pPr>
        <w:spacing w:after="0" w:line="23"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Stockholders to sell a specified number of such shares at a stipulated price per share;</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and</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66"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spacing w:after="0" w:line="14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aggregate proceeds to the Selling Stockholders from the sale of the common stock offered by them will be the purchase price of the common stock less discounts or commissions, if any. The Selling Stockholders reserve the right to accept and, together with their agents from time to time, to reject, in whole or in part, any proposed purchase of common stock to be made directly or through agents. We will not receive any of the proceeds from this offering.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91" w:name="page92"/>
    <w:bookmarkEnd w:id="91"/>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2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The Selling Stockholders may be deemed an “underwriter” within the meaning of Section 2(a)(11) of the Securities Act will be subject to the prospectus delivery requirements of the Securities Act.</w:t>
      </w:r>
    </w:p>
    <w:p>
      <w:pPr>
        <w:spacing w:after="0" w:line="14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35"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We have agreed to indemnify the Selling Stockholders against liabilities, including liabilities under the Securities Act and state securities laws, relating to the registration of the shares offered by this prospectus.</w:t>
      </w:r>
    </w:p>
    <w:p>
      <w:pPr>
        <w:spacing w:after="0" w:line="14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the requirement for the Company to be in compliance with the current public information requirement under Rule 144 under the Securities Act or any other rule of similar effect.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Greenberg Traurig, P.A. has passed upon the validity of the Class A Common Stock offered by this prospectus and certain other legal matters related to this prospectus.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financial statements of Mobix Labs, Inc. as of September 30, 2025 and September 30, 2024 and for the years then ended included in this prospectus have been so included in reliance on the report (which contains an explanatory paragraph relating to Mobix Labs, Inc.’s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S-1 (including any amendments and supplements thereto) under the Securities Act with respect to the shares of Class A Common Stock offered hereby. This prospectus does not contain all of the information set forth in the registration statement and the exhibits and schedules thereto. For further information with respect to the Company, the Class A Common Stock, reference is made to the registration statement and the exhibits and any schedules filed therewith.</w:t>
      </w:r>
    </w:p>
    <w:p>
      <w:pPr>
        <w:spacing w:after="0" w:line="135"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w:t>
      </w:r>
    </w:p>
    <w:p>
      <w:pPr>
        <w:spacing w:after="0" w:line="122"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color w:val="auto"/>
        </w:rPr>
        <w:t xml:space="preserve">The SEC maintains a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from which interested persons can electronically access the registration statement, including the exhibits and any schedules thereto and which contains the periodic reports, proxy and information statements and other information that we file electronically with the SEC.</w:t>
      </w:r>
    </w:p>
    <w:p>
      <w:pPr>
        <w:spacing w:after="0" w:line="122"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 xml:space="preserve">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t>
      </w:r>
      <w:r>
        <w:rPr>
          <w:rFonts w:ascii="Times New Roman" w:cs="Times New Roman" w:eastAsia="Times New Roman" w:hAnsi="Times New Roman"/>
          <w:sz w:val="14"/>
          <w:szCs w:val="14"/>
          <w:i w:val="1"/>
          <w:iCs w:val="1"/>
          <w:color w:val="auto"/>
        </w:rPr>
        <w:t>https://www.investors.mobixlabs.com</w:t>
      </w:r>
      <w:r>
        <w:rPr>
          <w:rFonts w:ascii="Times New Roman" w:cs="Times New Roman" w:eastAsia="Times New Roman" w:hAnsi="Times New Roman"/>
          <w:sz w:val="14"/>
          <w:szCs w:val="14"/>
          <w:color w:val="auto"/>
        </w:rPr>
        <w:t>,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7"/>
        </w:trPr>
        <w:tc>
          <w:tcPr>
            <w:tcW w:w="2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920" w:type="dxa"/>
            <w:vAlign w:val="bottom"/>
            <w:gridSpan w:val="8"/>
          </w:tcPr>
          <w:p>
            <w:pPr>
              <w:jc w:val="center"/>
              <w:ind w:right="3360"/>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tc>
        <w:tc>
          <w:tcPr>
            <w:tcW w:w="500" w:type="dxa"/>
            <w:vAlign w:val="bottom"/>
          </w:tcPr>
          <w:p>
            <w:pPr>
              <w:spacing w:after="0"/>
              <w:rPr>
                <w:sz w:val="16"/>
                <w:szCs w:val="16"/>
                <w:color w:val="auto"/>
              </w:rPr>
            </w:pPr>
          </w:p>
        </w:tc>
      </w:tr>
      <w:tr>
        <w:trPr>
          <w:trHeight w:val="342"/>
        </w:trPr>
        <w:tc>
          <w:tcPr>
            <w:tcW w:w="25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2"/>
        </w:trPr>
        <w:tc>
          <w:tcPr>
            <w:tcW w:w="107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INTERIM UNAUDITED FINANCIAL STATEMENTS</w:t>
            </w:r>
          </w:p>
        </w:tc>
        <w:tc>
          <w:tcPr>
            <w:tcW w:w="500" w:type="dxa"/>
            <w:vAlign w:val="bottom"/>
            <w:shd w:val="clear" w:color="auto" w:fill="CCEEFF"/>
          </w:tcPr>
          <w:p>
            <w:pPr>
              <w:spacing w:after="0"/>
              <w:rPr>
                <w:sz w:val="14"/>
                <w:szCs w:val="14"/>
                <w:color w:val="auto"/>
              </w:rPr>
            </w:pPr>
          </w:p>
        </w:tc>
      </w:tr>
      <w:tr>
        <w:trPr>
          <w:trHeight w:val="139"/>
        </w:trPr>
        <w:tc>
          <w:tcPr>
            <w:tcW w:w="10780" w:type="dxa"/>
            <w:vAlign w:val="bottom"/>
            <w:gridSpan w:val="12"/>
          </w:tcPr>
          <w:p>
            <w:pPr>
              <w:spacing w:after="0" w:line="139" w:lineRule="exact"/>
              <w:rPr>
                <w:sz w:val="20"/>
                <w:szCs w:val="20"/>
                <w:color w:val="auto"/>
              </w:rPr>
            </w:pPr>
            <w:r>
              <w:rPr>
                <w:rFonts w:ascii="Times New Roman" w:cs="Times New Roman" w:eastAsia="Times New Roman" w:hAnsi="Times New Roman"/>
                <w:sz w:val="14"/>
                <w:szCs w:val="14"/>
                <w:color w:val="0000EE"/>
              </w:rPr>
              <w:t>Condensed Consolidated Balance Sheets as of March 31, 2026 and September 30, 2025 (unaudited)</w:t>
            </w:r>
          </w:p>
        </w:tc>
        <w:tc>
          <w:tcPr>
            <w:tcW w:w="5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F-2</w:t>
            </w:r>
          </w:p>
        </w:tc>
      </w:tr>
      <w:tr>
        <w:trPr>
          <w:trHeight w:val="26"/>
        </w:trPr>
        <w:tc>
          <w:tcPr>
            <w:tcW w:w="250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57"/>
        </w:trPr>
        <w:tc>
          <w:tcPr>
            <w:tcW w:w="9020" w:type="dxa"/>
            <w:vAlign w:val="bottom"/>
            <w:tcBorders>
              <w:bottom w:val="single" w:sz="8" w:color="0000EE"/>
            </w:tcBorders>
            <w:gridSpan w:val="11"/>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Condensed Consolidated Statements of Operations and Comprehensive Loss for the three months and six months ended March 31, 2026 and 2025 (unaudited)</w:t>
            </w:r>
          </w:p>
        </w:tc>
        <w:tc>
          <w:tcPr>
            <w:tcW w:w="17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F-3</w:t>
            </w:r>
          </w:p>
        </w:tc>
      </w:tr>
      <w:tr>
        <w:trPr>
          <w:trHeight w:val="145"/>
        </w:trPr>
        <w:tc>
          <w:tcPr>
            <w:tcW w:w="8660" w:type="dxa"/>
            <w:vAlign w:val="bottom"/>
            <w:tcBorders>
              <w:bottom w:val="single" w:sz="8" w:color="0000EE"/>
            </w:tcBorders>
            <w:gridSpan w:val="9"/>
          </w:tcPr>
          <w:p>
            <w:pPr>
              <w:spacing w:after="0" w:line="139" w:lineRule="exact"/>
              <w:rPr>
                <w:sz w:val="20"/>
                <w:szCs w:val="20"/>
                <w:color w:val="auto"/>
              </w:rPr>
            </w:pPr>
            <w:r>
              <w:rPr>
                <w:rFonts w:ascii="Times New Roman" w:cs="Times New Roman" w:eastAsia="Times New Roman" w:hAnsi="Times New Roman"/>
                <w:sz w:val="14"/>
                <w:szCs w:val="14"/>
                <w:color w:val="0000EE"/>
              </w:rPr>
              <w:t>Condensed Consolidated Statements of Stockholders’ Equity (Deficit) for the three months and six months ended March 31, 2026 and 2025 (unaudited)</w:t>
            </w:r>
          </w:p>
        </w:tc>
        <w:tc>
          <w:tcPr>
            <w:tcW w:w="2120" w:type="dxa"/>
            <w:vAlign w:val="bottom"/>
            <w:gridSpan w:val="3"/>
          </w:tcPr>
          <w:p>
            <w:pPr>
              <w:spacing w:after="0"/>
              <w:rPr>
                <w:sz w:val="12"/>
                <w:szCs w:val="12"/>
                <w:color w:val="auto"/>
              </w:rPr>
            </w:pPr>
          </w:p>
        </w:tc>
        <w:tc>
          <w:tcPr>
            <w:tcW w:w="5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F-4</w:t>
            </w:r>
          </w:p>
        </w:tc>
      </w:tr>
      <w:tr>
        <w:trPr>
          <w:trHeight w:val="157"/>
        </w:trPr>
        <w:tc>
          <w:tcPr>
            <w:tcW w:w="6580" w:type="dxa"/>
            <w:vAlign w:val="bottom"/>
            <w:tcBorders>
              <w:bottom w:val="single" w:sz="8" w:color="0000EE"/>
            </w:tcBorders>
            <w:gridSpan w:val="8"/>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Condensed Consolidated Statements of Cash Flows for the six months ended March 31, 2026 and 2025 (unaudited)</w:t>
            </w:r>
          </w:p>
        </w:tc>
        <w:tc>
          <w:tcPr>
            <w:tcW w:w="4200" w:type="dxa"/>
            <w:vAlign w:val="bottom"/>
            <w:tcBorders>
              <w:bottom w:val="single" w:sz="8" w:color="CCEEFF"/>
            </w:tcBorders>
            <w:gridSpan w:val="4"/>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F-5</w:t>
            </w:r>
          </w:p>
        </w:tc>
      </w:tr>
      <w:tr>
        <w:trPr>
          <w:trHeight w:val="145"/>
        </w:trPr>
        <w:tc>
          <w:tcPr>
            <w:tcW w:w="3860" w:type="dxa"/>
            <w:vAlign w:val="bottom"/>
            <w:tcBorders>
              <w:bottom w:val="single" w:sz="8" w:color="0000EE"/>
            </w:tcBorders>
            <w:gridSpan w:val="4"/>
          </w:tcPr>
          <w:p>
            <w:pPr>
              <w:spacing w:after="0" w:line="139" w:lineRule="exact"/>
              <w:rPr>
                <w:sz w:val="20"/>
                <w:szCs w:val="20"/>
                <w:color w:val="auto"/>
              </w:rPr>
            </w:pPr>
            <w:r>
              <w:rPr>
                <w:rFonts w:ascii="Times New Roman" w:cs="Times New Roman" w:eastAsia="Times New Roman" w:hAnsi="Times New Roman"/>
                <w:sz w:val="14"/>
                <w:szCs w:val="14"/>
                <w:color w:val="0000EE"/>
              </w:rPr>
              <w:t>Notes to Condensed Consolidated Financial Statements (unaudited)</w:t>
            </w:r>
          </w:p>
        </w:tc>
        <w:tc>
          <w:tcPr>
            <w:tcW w:w="6920" w:type="dxa"/>
            <w:vAlign w:val="bottom"/>
            <w:gridSpan w:val="8"/>
          </w:tcPr>
          <w:p>
            <w:pPr>
              <w:spacing w:after="0"/>
              <w:rPr>
                <w:sz w:val="12"/>
                <w:szCs w:val="12"/>
                <w:color w:val="auto"/>
              </w:rPr>
            </w:pPr>
          </w:p>
        </w:tc>
        <w:tc>
          <w:tcPr>
            <w:tcW w:w="5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F-6</w:t>
            </w:r>
          </w:p>
        </w:tc>
      </w:tr>
      <w:tr>
        <w:trPr>
          <w:trHeight w:val="177"/>
        </w:trPr>
        <w:tc>
          <w:tcPr>
            <w:tcW w:w="107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AUDITED CONSOLIDATED FINANCIAL STATEMENTS</w:t>
            </w:r>
          </w:p>
        </w:tc>
        <w:tc>
          <w:tcPr>
            <w:tcW w:w="500" w:type="dxa"/>
            <w:vAlign w:val="bottom"/>
            <w:shd w:val="clear" w:color="auto" w:fill="CCEEFF"/>
          </w:tcPr>
          <w:p>
            <w:pPr>
              <w:spacing w:after="0"/>
              <w:rPr>
                <w:sz w:val="15"/>
                <w:szCs w:val="15"/>
                <w:color w:val="auto"/>
              </w:rPr>
            </w:pPr>
          </w:p>
        </w:tc>
      </w:tr>
      <w:tr>
        <w:trPr>
          <w:trHeight w:val="139"/>
        </w:trPr>
        <w:tc>
          <w:tcPr>
            <w:tcW w:w="10780" w:type="dxa"/>
            <w:vAlign w:val="bottom"/>
            <w:gridSpan w:val="12"/>
          </w:tcPr>
          <w:p>
            <w:pPr>
              <w:spacing w:after="0" w:line="139" w:lineRule="exact"/>
              <w:rPr>
                <w:sz w:val="20"/>
                <w:szCs w:val="20"/>
                <w:color w:val="auto"/>
              </w:rPr>
            </w:pPr>
            <w:r>
              <w:rPr>
                <w:rFonts w:ascii="Times New Roman" w:cs="Times New Roman" w:eastAsia="Times New Roman" w:hAnsi="Times New Roman"/>
                <w:sz w:val="14"/>
                <w:szCs w:val="14"/>
                <w:color w:val="0000EE"/>
              </w:rPr>
              <w:t xml:space="preserve">Report of Independent Registered Public Accounting Firm </w:t>
            </w:r>
            <w:r>
              <w:rPr>
                <w:rFonts w:ascii="Times New Roman" w:cs="Times New Roman" w:eastAsia="Times New Roman" w:hAnsi="Times New Roman"/>
                <w:sz w:val="14"/>
                <w:szCs w:val="14"/>
                <w:color w:val="000000"/>
              </w:rPr>
              <w:t>— PCAOB ID: 238</w:t>
            </w:r>
          </w:p>
        </w:tc>
        <w:tc>
          <w:tcPr>
            <w:tcW w:w="5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F-21</w:t>
            </w:r>
          </w:p>
        </w:tc>
      </w:tr>
      <w:tr>
        <w:trPr>
          <w:trHeight w:val="26"/>
        </w:trPr>
        <w:tc>
          <w:tcPr>
            <w:tcW w:w="250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45"/>
        </w:trPr>
        <w:tc>
          <w:tcPr>
            <w:tcW w:w="10780" w:type="dxa"/>
            <w:vAlign w:val="bottom"/>
            <w:gridSpan w:val="1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Consolidated Balance Sheets as of September 30, 2025 and 2024</w:t>
            </w:r>
          </w:p>
        </w:tc>
        <w:tc>
          <w:tcPr>
            <w:tcW w:w="5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F-22</w:t>
            </w:r>
          </w:p>
        </w:tc>
      </w:tr>
      <w:tr>
        <w:trPr>
          <w:trHeight w:val="32"/>
        </w:trPr>
        <w:tc>
          <w:tcPr>
            <w:tcW w:w="250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39"/>
        </w:trPr>
        <w:tc>
          <w:tcPr>
            <w:tcW w:w="10780" w:type="dxa"/>
            <w:vAlign w:val="bottom"/>
            <w:gridSpan w:val="12"/>
          </w:tcPr>
          <w:p>
            <w:pPr>
              <w:spacing w:after="0" w:line="139" w:lineRule="exact"/>
              <w:rPr>
                <w:sz w:val="20"/>
                <w:szCs w:val="20"/>
                <w:color w:val="auto"/>
              </w:rPr>
            </w:pPr>
            <w:r>
              <w:rPr>
                <w:rFonts w:ascii="Times New Roman" w:cs="Times New Roman" w:eastAsia="Times New Roman" w:hAnsi="Times New Roman"/>
                <w:sz w:val="14"/>
                <w:szCs w:val="14"/>
                <w:color w:val="0000EE"/>
              </w:rPr>
              <w:t>Consolidated Statements of Operations and Comprehensive Loss for the years ended September 30, 2025 and 2024</w:t>
            </w:r>
          </w:p>
        </w:tc>
        <w:tc>
          <w:tcPr>
            <w:tcW w:w="5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F-23</w:t>
            </w:r>
          </w:p>
        </w:tc>
      </w:tr>
      <w:tr>
        <w:trPr>
          <w:trHeight w:val="26"/>
        </w:trPr>
        <w:tc>
          <w:tcPr>
            <w:tcW w:w="250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57"/>
        </w:trPr>
        <w:tc>
          <w:tcPr>
            <w:tcW w:w="10780" w:type="dxa"/>
            <w:vAlign w:val="bottom"/>
            <w:gridSpan w:val="1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Consolidated Statements of Redeemable Convertible Preferred Stock and Stockholders’ Equity (Deficit) for the years ended September 30, 2025 and 2024</w:t>
            </w:r>
          </w:p>
        </w:tc>
        <w:tc>
          <w:tcPr>
            <w:tcW w:w="5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F-24</w:t>
            </w:r>
          </w:p>
        </w:tc>
      </w:tr>
      <w:tr>
        <w:trPr>
          <w:trHeight w:val="145"/>
        </w:trPr>
        <w:tc>
          <w:tcPr>
            <w:tcW w:w="5140" w:type="dxa"/>
            <w:vAlign w:val="bottom"/>
            <w:tcBorders>
              <w:top w:val="single" w:sz="8" w:color="0000EE"/>
              <w:bottom w:val="single" w:sz="8" w:color="0000EE"/>
            </w:tcBorders>
            <w:gridSpan w:val="5"/>
          </w:tcPr>
          <w:p>
            <w:pPr>
              <w:spacing w:after="0" w:line="139" w:lineRule="exact"/>
              <w:rPr>
                <w:sz w:val="20"/>
                <w:szCs w:val="20"/>
                <w:color w:val="auto"/>
              </w:rPr>
            </w:pPr>
            <w:r>
              <w:rPr>
                <w:rFonts w:ascii="Times New Roman" w:cs="Times New Roman" w:eastAsia="Times New Roman" w:hAnsi="Times New Roman"/>
                <w:sz w:val="14"/>
                <w:szCs w:val="14"/>
                <w:color w:val="0000EE"/>
              </w:rPr>
              <w:t>Consolidated Statements of Cash Flows for the years ended September 30, 2025 and 2024</w:t>
            </w:r>
          </w:p>
        </w:tc>
        <w:tc>
          <w:tcPr>
            <w:tcW w:w="3660" w:type="dxa"/>
            <w:vAlign w:val="bottom"/>
            <w:tcBorders>
              <w:top w:val="single" w:sz="8" w:color="0000EE"/>
            </w:tcBorders>
            <w:gridSpan w:val="5"/>
          </w:tcPr>
          <w:p>
            <w:pPr>
              <w:spacing w:after="0"/>
              <w:rPr>
                <w:sz w:val="12"/>
                <w:szCs w:val="12"/>
                <w:color w:val="auto"/>
              </w:rPr>
            </w:pPr>
          </w:p>
        </w:tc>
        <w:tc>
          <w:tcPr>
            <w:tcW w:w="1980" w:type="dxa"/>
            <w:vAlign w:val="bottom"/>
            <w:tcBorders>
              <w:top w:val="single" w:sz="8" w:color="CCEEFF"/>
            </w:tcBorders>
            <w:gridSpan w:val="2"/>
          </w:tcPr>
          <w:p>
            <w:pPr>
              <w:spacing w:after="0"/>
              <w:rPr>
                <w:sz w:val="12"/>
                <w:szCs w:val="12"/>
                <w:color w:val="auto"/>
              </w:rPr>
            </w:pPr>
          </w:p>
        </w:tc>
        <w:tc>
          <w:tcPr>
            <w:tcW w:w="500" w:type="dxa"/>
            <w:vAlign w:val="bottom"/>
            <w:tcBorders>
              <w:top w:val="single" w:sz="8" w:color="CCEEFF"/>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F-25</w:t>
            </w:r>
          </w:p>
        </w:tc>
      </w:tr>
      <w:tr>
        <w:trPr>
          <w:trHeight w:val="157"/>
        </w:trPr>
        <w:tc>
          <w:tcPr>
            <w:tcW w:w="10780" w:type="dxa"/>
            <w:vAlign w:val="bottom"/>
            <w:gridSpan w:val="1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Notes to Consolidated Financial Statements</w:t>
            </w:r>
          </w:p>
        </w:tc>
        <w:tc>
          <w:tcPr>
            <w:tcW w:w="5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F-26</w:t>
            </w:r>
          </w:p>
        </w:tc>
      </w:tr>
      <w:tr>
        <w:trPr>
          <w:trHeight w:val="341"/>
        </w:trPr>
        <w:tc>
          <w:tcPr>
            <w:tcW w:w="250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CCEEFF"/>
              <w:bottom w:val="single" w:sz="8" w:color="auto"/>
            </w:tcBorders>
          </w:tcPr>
          <w:p>
            <w:pPr>
              <w:spacing w:after="0"/>
              <w:rPr>
                <w:sz w:val="24"/>
                <w:szCs w:val="24"/>
                <w:color w:val="auto"/>
              </w:rPr>
            </w:pPr>
          </w:p>
        </w:tc>
        <w:tc>
          <w:tcPr>
            <w:tcW w:w="5640" w:type="dxa"/>
            <w:vAlign w:val="bottom"/>
            <w:tcBorders>
              <w:top w:val="single" w:sz="8" w:color="CCEEFF"/>
              <w:bottom w:val="single" w:sz="8" w:color="auto"/>
            </w:tcBorders>
            <w:gridSpan w:val="7"/>
          </w:tcPr>
          <w:p>
            <w:pPr>
              <w:jc w:val="center"/>
              <w:ind w:right="4640"/>
              <w:spacing w:after="0"/>
              <w:rPr>
                <w:sz w:val="20"/>
                <w:szCs w:val="20"/>
                <w:color w:val="auto"/>
              </w:rPr>
            </w:pPr>
            <w:r>
              <w:rPr>
                <w:rFonts w:ascii="Times New Roman" w:cs="Times New Roman" w:eastAsia="Times New Roman" w:hAnsi="Times New Roman"/>
                <w:sz w:val="14"/>
                <w:szCs w:val="14"/>
                <w:color w:val="auto"/>
              </w:rPr>
              <w:t>F-1</w:t>
            </w:r>
          </w:p>
        </w:tc>
        <w:tc>
          <w:tcPr>
            <w:tcW w:w="5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80"/>
          </w:cols>
          <w:pgMar w:left="300" w:top="550"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20" w:type="dxa"/>
            <w:vAlign w:val="bottom"/>
          </w:tcPr>
          <w:p>
            <w:pPr>
              <w:spacing w:after="0"/>
              <w:rPr>
                <w:sz w:val="15"/>
                <w:szCs w:val="15"/>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70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r>
      <w:tr>
        <w:trPr>
          <w:trHeight w:val="162"/>
        </w:trPr>
        <w:tc>
          <w:tcPr>
            <w:tcW w:w="702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w:t>
            </w:r>
          </w:p>
        </w:tc>
        <w:tc>
          <w:tcPr>
            <w:tcW w:w="134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3,273</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3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724</w:t>
            </w:r>
          </w:p>
        </w:tc>
        <w:tc>
          <w:tcPr>
            <w:tcW w:w="300" w:type="dxa"/>
            <w:vAlign w:val="bottom"/>
          </w:tcPr>
          <w:p>
            <w:pPr>
              <w:spacing w:after="0"/>
              <w:rPr>
                <w:sz w:val="14"/>
                <w:szCs w:val="14"/>
                <w:color w:val="auto"/>
              </w:rPr>
            </w:pP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1,414</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13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1,435</w:t>
            </w:r>
          </w:p>
        </w:tc>
      </w:tr>
      <w:tr>
        <w:trPr>
          <w:trHeight w:val="18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34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908</w:t>
            </w:r>
          </w:p>
        </w:tc>
        <w:tc>
          <w:tcPr>
            <w:tcW w:w="300" w:type="dxa"/>
            <w:vAlign w:val="bottom"/>
          </w:tcPr>
          <w:p>
            <w:pPr>
              <w:spacing w:after="0"/>
              <w:rPr>
                <w:sz w:val="15"/>
                <w:szCs w:val="15"/>
                <w:color w:val="auto"/>
              </w:rPr>
            </w:pP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593</w:t>
            </w:r>
          </w:p>
        </w:tc>
      </w:tr>
      <w:tr>
        <w:trPr>
          <w:trHeight w:val="161"/>
        </w:trPr>
        <w:tc>
          <w:tcPr>
            <w:tcW w:w="70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13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5,486</w:t>
            </w:r>
          </w:p>
        </w:tc>
        <w:tc>
          <w:tcPr>
            <w:tcW w:w="3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100" w:type="dxa"/>
            <w:vAlign w:val="bottom"/>
            <w:tcBorders>
              <w:top w:val="single" w:sz="8" w:color="CCEEFF"/>
            </w:tcBorders>
            <w:shd w:val="clear" w:color="auto" w:fill="CCEEFF"/>
          </w:tcPr>
          <w:p>
            <w:pPr>
              <w:spacing w:after="0"/>
              <w:rPr>
                <w:sz w:val="14"/>
                <w:szCs w:val="14"/>
                <w:color w:val="auto"/>
              </w:rPr>
            </w:pPr>
          </w:p>
        </w:tc>
      </w:tr>
      <w:tr>
        <w:trPr>
          <w:trHeight w:val="171"/>
        </w:trPr>
        <w:tc>
          <w:tcPr>
            <w:tcW w:w="7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250</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328</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3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12,718</w:t>
            </w:r>
          </w:p>
        </w:tc>
        <w:tc>
          <w:tcPr>
            <w:tcW w:w="300" w:type="dxa"/>
            <w:vAlign w:val="bottom"/>
          </w:tcPr>
          <w:p>
            <w:pPr>
              <w:spacing w:after="0"/>
              <w:rPr>
                <w:sz w:val="14"/>
                <w:szCs w:val="14"/>
                <w:color w:val="auto"/>
              </w:rPr>
            </w:pP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13,519</w:t>
            </w: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16,066</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16,066</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3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219</w:t>
            </w:r>
          </w:p>
        </w:tc>
        <w:tc>
          <w:tcPr>
            <w:tcW w:w="300" w:type="dxa"/>
            <w:vAlign w:val="bottom"/>
          </w:tcPr>
          <w:p>
            <w:pPr>
              <w:spacing w:after="0"/>
              <w:rPr>
                <w:sz w:val="14"/>
                <w:szCs w:val="14"/>
                <w:color w:val="auto"/>
              </w:rPr>
            </w:pP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370</w:t>
            </w:r>
          </w:p>
        </w:tc>
      </w:tr>
      <w:tr>
        <w:trPr>
          <w:trHeight w:val="18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115</w:t>
            </w:r>
          </w:p>
        </w:tc>
        <w:tc>
          <w:tcPr>
            <w:tcW w:w="3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115</w:t>
            </w:r>
          </w:p>
        </w:tc>
      </w:tr>
      <w:tr>
        <w:trPr>
          <w:trHeight w:val="212"/>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340" w:type="dxa"/>
            <w:vAlign w:val="bottom"/>
            <w:tcBorders>
              <w:top w:val="single" w:sz="8" w:color="auto"/>
              <w:bottom w:val="single" w:sz="8" w:color="auto"/>
            </w:tcBorders>
          </w:tcPr>
          <w:p>
            <w:pPr>
              <w:jc w:val="right"/>
              <w:ind w:right="121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34,854</w:t>
            </w:r>
          </w:p>
        </w:tc>
        <w:tc>
          <w:tcPr>
            <w:tcW w:w="3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37,113</w:t>
            </w:r>
          </w:p>
        </w:tc>
        <w:tc>
          <w:tcPr>
            <w:tcW w:w="100" w:type="dxa"/>
            <w:vAlign w:val="bottom"/>
            <w:tcBorders>
              <w:bottom w:val="single" w:sz="8" w:color="CCEEFF"/>
            </w:tcBorders>
          </w:tcPr>
          <w:p>
            <w:pPr>
              <w:spacing w:after="0"/>
              <w:rPr>
                <w:sz w:val="18"/>
                <w:szCs w:val="18"/>
                <w:color w:val="auto"/>
              </w:rPr>
            </w:pPr>
          </w:p>
        </w:tc>
      </w:tr>
      <w:tr>
        <w:trPr>
          <w:trHeight w:val="143"/>
        </w:trPr>
        <w:tc>
          <w:tcPr>
            <w:tcW w:w="70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1"/>
        </w:trPr>
        <w:tc>
          <w:tcPr>
            <w:tcW w:w="702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340" w:type="dxa"/>
            <w:vAlign w:val="bottom"/>
          </w:tcPr>
          <w:p>
            <w:pPr>
              <w:jc w:val="right"/>
              <w:ind w:right="121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6,234</w:t>
            </w:r>
          </w:p>
        </w:tc>
        <w:tc>
          <w:tcPr>
            <w:tcW w:w="320" w:type="dxa"/>
            <w:vAlign w:val="bottom"/>
          </w:tcPr>
          <w:p>
            <w:pPr>
              <w:spacing w:after="0"/>
              <w:rPr>
                <w:sz w:val="14"/>
                <w:szCs w:val="14"/>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8,981</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3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9,833</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11,122</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purchase consideration</w:t>
            </w:r>
          </w:p>
        </w:tc>
        <w:tc>
          <w:tcPr>
            <w:tcW w:w="1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2,323</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payable, current</w:t>
            </w:r>
          </w:p>
        </w:tc>
        <w:tc>
          <w:tcPr>
            <w:tcW w:w="13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4,721</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3,934</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 payable – related parties, current</w:t>
            </w:r>
          </w:p>
        </w:tc>
        <w:tc>
          <w:tcPr>
            <w:tcW w:w="13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707</w:t>
            </w:r>
          </w:p>
        </w:tc>
        <w:tc>
          <w:tcPr>
            <w:tcW w:w="300" w:type="dxa"/>
            <w:vAlign w:val="bottom"/>
          </w:tcPr>
          <w:p>
            <w:pPr>
              <w:spacing w:after="0"/>
              <w:rPr>
                <w:sz w:val="14"/>
                <w:szCs w:val="14"/>
                <w:color w:val="auto"/>
              </w:rPr>
            </w:pP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1,152</w:t>
            </w:r>
          </w:p>
        </w:tc>
      </w:tr>
      <w:tr>
        <w:trPr>
          <w:trHeight w:val="18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208</w:t>
            </w:r>
          </w:p>
        </w:tc>
        <w:tc>
          <w:tcPr>
            <w:tcW w:w="3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274</w:t>
            </w:r>
          </w:p>
        </w:tc>
      </w:tr>
      <w:tr>
        <w:trPr>
          <w:trHeight w:val="161"/>
        </w:trPr>
        <w:tc>
          <w:tcPr>
            <w:tcW w:w="7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3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24,026</w:t>
            </w:r>
          </w:p>
        </w:tc>
        <w:tc>
          <w:tcPr>
            <w:tcW w:w="3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27,786</w:t>
            </w: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noncurrent</w:t>
            </w:r>
          </w:p>
        </w:tc>
        <w:tc>
          <w:tcPr>
            <w:tcW w:w="1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 related parties, noncurrent</w:t>
            </w:r>
          </w:p>
        </w:tc>
        <w:tc>
          <w:tcPr>
            <w:tcW w:w="1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979</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1,099</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Earnout liability</w:t>
            </w:r>
          </w:p>
        </w:tc>
        <w:tc>
          <w:tcPr>
            <w:tcW w:w="13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280</w:t>
            </w:r>
          </w:p>
        </w:tc>
        <w:tc>
          <w:tcPr>
            <w:tcW w:w="300" w:type="dxa"/>
            <w:vAlign w:val="bottom"/>
          </w:tcPr>
          <w:p>
            <w:pPr>
              <w:spacing w:after="0"/>
              <w:rPr>
                <w:sz w:val="14"/>
                <w:szCs w:val="14"/>
                <w:color w:val="auto"/>
              </w:rPr>
            </w:pP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1,240</w:t>
            </w: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1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293</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321</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1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96</w:t>
            </w: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Liability-classified warrants</w:t>
            </w:r>
          </w:p>
        </w:tc>
        <w:tc>
          <w:tcPr>
            <w:tcW w:w="1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375</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6,859</w:t>
            </w:r>
          </w:p>
        </w:tc>
      </w:tr>
      <w:tr>
        <w:trPr>
          <w:trHeight w:val="18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48</w:t>
            </w:r>
          </w:p>
        </w:tc>
      </w:tr>
      <w:tr>
        <w:trPr>
          <w:trHeight w:val="161"/>
        </w:trPr>
        <w:tc>
          <w:tcPr>
            <w:tcW w:w="7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3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26,009</w:t>
            </w:r>
          </w:p>
        </w:tc>
        <w:tc>
          <w:tcPr>
            <w:tcW w:w="3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37,449</w:t>
            </w:r>
          </w:p>
        </w:tc>
        <w:tc>
          <w:tcPr>
            <w:tcW w:w="100" w:type="dxa"/>
            <w:vAlign w:val="bottom"/>
            <w:tcBorders>
              <w:top w:val="single" w:sz="8" w:color="CCEEFF"/>
            </w:tcBorders>
            <w:shd w:val="clear" w:color="auto" w:fill="CCEEFF"/>
          </w:tcPr>
          <w:p>
            <w:pPr>
              <w:spacing w:after="0"/>
              <w:rPr>
                <w:sz w:val="14"/>
                <w:szCs w:val="14"/>
                <w:color w:val="auto"/>
              </w:rPr>
            </w:pPr>
          </w:p>
        </w:tc>
      </w:tr>
      <w:tr>
        <w:trPr>
          <w:trHeight w:val="171"/>
        </w:trPr>
        <w:tc>
          <w:tcPr>
            <w:tcW w:w="7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1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1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702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Class A Common Stock, $0.00001 par value, 285,000,000 shares authorized; 10,355,525 and 5,883,842 shares</w:t>
            </w: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issued and outstanding at March 31, 2026 and September 30, 2025, respectively</w:t>
            </w:r>
          </w:p>
        </w:tc>
        <w:tc>
          <w:tcPr>
            <w:tcW w:w="134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r>
      <w:tr>
        <w:trPr>
          <w:trHeight w:val="156"/>
        </w:trPr>
        <w:tc>
          <w:tcPr>
            <w:tcW w:w="7020" w:type="dxa"/>
            <w:vAlign w:val="bottom"/>
            <w:shd w:val="clear" w:color="auto" w:fill="CCEEFF"/>
          </w:tcPr>
          <w:p>
            <w:pPr>
              <w:ind w:left="140"/>
              <w:spacing w:after="0" w:line="157" w:lineRule="exact"/>
              <w:rPr>
                <w:sz w:val="20"/>
                <w:szCs w:val="20"/>
                <w:color w:val="auto"/>
              </w:rPr>
            </w:pPr>
            <w:r>
              <w:rPr>
                <w:rFonts w:ascii="Times New Roman" w:cs="Times New Roman" w:eastAsia="Times New Roman" w:hAnsi="Times New Roman"/>
                <w:sz w:val="14"/>
                <w:szCs w:val="14"/>
                <w:color w:val="auto"/>
              </w:rPr>
              <w:t>Class B Common Stock, $0.00001 par value, 5,000,000 shares authorized; 200,491 shares issued and outstanding at</w:t>
            </w:r>
          </w:p>
        </w:tc>
        <w:tc>
          <w:tcPr>
            <w:tcW w:w="1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5"/>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March 31, 2026 and September 30, 2025</w:t>
            </w:r>
          </w:p>
        </w:tc>
        <w:tc>
          <w:tcPr>
            <w:tcW w:w="1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3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175,411</w:t>
            </w:r>
          </w:p>
        </w:tc>
        <w:tc>
          <w:tcPr>
            <w:tcW w:w="300" w:type="dxa"/>
            <w:vAlign w:val="bottom"/>
          </w:tcPr>
          <w:p>
            <w:pPr>
              <w:spacing w:after="0"/>
              <w:rPr>
                <w:sz w:val="14"/>
                <w:szCs w:val="14"/>
                <w:color w:val="auto"/>
              </w:rPr>
            </w:pP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150,252</w:t>
            </w:r>
          </w:p>
        </w:tc>
      </w:tr>
      <w:tr>
        <w:trPr>
          <w:trHeight w:val="18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(166,566)</w:t>
            </w:r>
          </w:p>
        </w:tc>
        <w:tc>
          <w:tcPr>
            <w:tcW w:w="3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(150,588)</w:t>
            </w:r>
          </w:p>
        </w:tc>
      </w:tr>
      <w:tr>
        <w:trPr>
          <w:trHeight w:val="161"/>
        </w:trPr>
        <w:tc>
          <w:tcPr>
            <w:tcW w:w="7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13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8,845</w:t>
            </w:r>
          </w:p>
        </w:tc>
        <w:tc>
          <w:tcPr>
            <w:tcW w:w="32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r>
      <w:tr>
        <w:trPr>
          <w:trHeight w:val="172"/>
        </w:trPr>
        <w:tc>
          <w:tcPr>
            <w:tcW w:w="7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and stockholders’ equity (deficit)</w:t>
            </w:r>
          </w:p>
        </w:tc>
        <w:tc>
          <w:tcPr>
            <w:tcW w:w="134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34,854</w:t>
            </w: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37,113</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20"/>
        </w:trPr>
        <w:tc>
          <w:tcPr>
            <w:tcW w:w="7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COMPREHENSIVE LOSS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Products</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669</w:t>
            </w:r>
          </w:p>
        </w:tc>
        <w:tc>
          <w:tcPr>
            <w:tcW w:w="640" w:type="dxa"/>
            <w:vAlign w:val="bottom"/>
            <w:gridSpan w:val="2"/>
          </w:tcPr>
          <w:p>
            <w:pPr>
              <w:jc w:val="right"/>
              <w:ind w:right="36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340" w:type="dxa"/>
            <w:vAlign w:val="bottom"/>
          </w:tcPr>
          <w:p>
            <w:pPr>
              <w:spacing w:after="0"/>
              <w:rPr>
                <w:sz w:val="14"/>
                <w:szCs w:val="14"/>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2,004</w:t>
            </w:r>
          </w:p>
        </w:tc>
        <w:tc>
          <w:tcPr>
            <w:tcW w:w="600" w:type="dxa"/>
            <w:vAlign w:val="bottom"/>
            <w:gridSpan w:val="2"/>
          </w:tcPr>
          <w:p>
            <w:pPr>
              <w:jc w:val="right"/>
              <w:ind w:right="324"/>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3,408</w:t>
            </w:r>
          </w:p>
        </w:tc>
        <w:tc>
          <w:tcPr>
            <w:tcW w:w="0" w:type="dxa"/>
            <w:vAlign w:val="bottom"/>
          </w:tcPr>
          <w:p>
            <w:pPr>
              <w:spacing w:after="0"/>
              <w:rPr>
                <w:sz w:val="1"/>
                <w:szCs w:val="1"/>
                <w:color w:val="auto"/>
              </w:rPr>
            </w:pPr>
          </w:p>
        </w:tc>
      </w:tr>
      <w:tr>
        <w:trPr>
          <w:trHeight w:val="171"/>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3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301</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841</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2,272</w:t>
            </w:r>
          </w:p>
        </w:tc>
        <w:tc>
          <w:tcPr>
            <w:tcW w:w="0" w:type="dxa"/>
            <w:vAlign w:val="bottom"/>
          </w:tcPr>
          <w:p>
            <w:pPr>
              <w:spacing w:after="0"/>
              <w:rPr>
                <w:sz w:val="1"/>
                <w:szCs w:val="1"/>
                <w:color w:val="auto"/>
              </w:rPr>
            </w:pPr>
          </w:p>
        </w:tc>
      </w:tr>
      <w:tr>
        <w:trPr>
          <w:trHeight w:val="161"/>
        </w:trPr>
        <w:tc>
          <w:tcPr>
            <w:tcW w:w="4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net revenue</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3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Products</w:t>
            </w:r>
          </w:p>
        </w:tc>
        <w:tc>
          <w:tcPr>
            <w:tcW w:w="3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456</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1,405</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2,257</w:t>
            </w:r>
          </w:p>
        </w:tc>
        <w:tc>
          <w:tcPr>
            <w:tcW w:w="0" w:type="dxa"/>
            <w:vAlign w:val="bottom"/>
          </w:tcPr>
          <w:p>
            <w:pPr>
              <w:spacing w:after="0"/>
              <w:rPr>
                <w:sz w:val="1"/>
                <w:szCs w:val="1"/>
                <w:color w:val="auto"/>
              </w:rPr>
            </w:pPr>
          </w:p>
        </w:tc>
      </w:tr>
      <w:tr>
        <w:trPr>
          <w:trHeight w:val="171"/>
        </w:trPr>
        <w:tc>
          <w:tcPr>
            <w:tcW w:w="4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300" w:type="dxa"/>
            <w:vAlign w:val="bottom"/>
          </w:tcPr>
          <w:p>
            <w:pPr>
              <w:spacing w:after="0"/>
              <w:rPr>
                <w:sz w:val="14"/>
                <w:szCs w:val="14"/>
                <w:color w:val="auto"/>
              </w:rPr>
            </w:pP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330</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424</w:t>
            </w:r>
          </w:p>
        </w:tc>
        <w:tc>
          <w:tcPr>
            <w:tcW w:w="300" w:type="dxa"/>
            <w:vAlign w:val="bottom"/>
          </w:tcPr>
          <w:p>
            <w:pPr>
              <w:spacing w:after="0"/>
              <w:rPr>
                <w:sz w:val="14"/>
                <w:szCs w:val="14"/>
                <w:color w:val="auto"/>
              </w:rPr>
            </w:pP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675</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161"/>
        </w:trPr>
        <w:tc>
          <w:tcPr>
            <w:tcW w:w="47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cost of revenue</w:t>
            </w: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3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Gross profit</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428</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719</w:t>
            </w:r>
          </w:p>
        </w:tc>
        <w:tc>
          <w:tcPr>
            <w:tcW w:w="3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870</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1,330</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00" w:type="dxa"/>
            <w:vAlign w:val="bottom"/>
          </w:tcPr>
          <w:p>
            <w:pPr>
              <w:spacing w:after="0"/>
              <w:rPr>
                <w:sz w:val="14"/>
                <w:szCs w:val="14"/>
                <w:color w:val="auto"/>
              </w:rPr>
            </w:pP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5,847</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14,819</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23,835</w:t>
            </w:r>
          </w:p>
        </w:tc>
        <w:tc>
          <w:tcPr>
            <w:tcW w:w="0" w:type="dxa"/>
            <w:vAlign w:val="bottom"/>
          </w:tcPr>
          <w:p>
            <w:pPr>
              <w:spacing w:after="0"/>
              <w:rPr>
                <w:sz w:val="1"/>
                <w:szCs w:val="1"/>
                <w:color w:val="auto"/>
              </w:rPr>
            </w:pPr>
          </w:p>
        </w:tc>
      </w:tr>
      <w:tr>
        <w:trPr>
          <w:trHeight w:val="161"/>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(6,091)</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(7,828)</w:t>
            </w:r>
          </w:p>
        </w:tc>
        <w:tc>
          <w:tcPr>
            <w:tcW w:w="3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(14,924)</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(22,458)</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1,389</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274</w:t>
            </w:r>
          </w:p>
        </w:tc>
        <w:tc>
          <w:tcPr>
            <w:tcW w:w="3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2,769</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300" w:type="dxa"/>
            <w:vAlign w:val="bottom"/>
          </w:tcPr>
          <w:p>
            <w:pPr>
              <w:spacing w:after="0"/>
              <w:rPr>
                <w:sz w:val="14"/>
                <w:szCs w:val="14"/>
                <w:color w:val="auto"/>
              </w:rPr>
            </w:pP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(2,220)</w:t>
            </w:r>
          </w:p>
        </w:tc>
        <w:tc>
          <w:tcPr>
            <w:tcW w:w="300" w:type="dxa"/>
            <w:vAlign w:val="bottom"/>
          </w:tcPr>
          <w:p>
            <w:pPr>
              <w:spacing w:after="0"/>
              <w:rPr>
                <w:sz w:val="14"/>
                <w:szCs w:val="14"/>
                <w:color w:val="auto"/>
              </w:rPr>
            </w:pPr>
          </w:p>
        </w:tc>
        <w:tc>
          <w:tcPr>
            <w:tcW w:w="12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(960)</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71"/>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3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105</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(3,283)</w:t>
            </w:r>
          </w:p>
        </w:tc>
        <w:tc>
          <w:tcPr>
            <w:tcW w:w="3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428</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(gains) losses, net</w:t>
            </w:r>
          </w:p>
        </w:tc>
        <w:tc>
          <w:tcPr>
            <w:tcW w:w="300" w:type="dxa"/>
            <w:vAlign w:val="bottom"/>
          </w:tcPr>
          <w:p>
            <w:pPr>
              <w:spacing w:after="0"/>
              <w:rPr>
                <w:sz w:val="14"/>
                <w:szCs w:val="14"/>
                <w:color w:val="auto"/>
              </w:rPr>
            </w:pP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(1,735)</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(303)</w:t>
            </w:r>
          </w:p>
        </w:tc>
        <w:tc>
          <w:tcPr>
            <w:tcW w:w="300" w:type="dxa"/>
            <w:vAlign w:val="bottom"/>
          </w:tcPr>
          <w:p>
            <w:pPr>
              <w:spacing w:after="0"/>
              <w:rPr>
                <w:sz w:val="14"/>
                <w:szCs w:val="14"/>
                <w:color w:val="auto"/>
              </w:rPr>
            </w:pPr>
          </w:p>
        </w:tc>
        <w:tc>
          <w:tcPr>
            <w:tcW w:w="12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(1,162)</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61"/>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3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(15,999)</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300" w:type="dxa"/>
            <w:vAlign w:val="bottom"/>
          </w:tcPr>
          <w:p>
            <w:pPr>
              <w:spacing w:after="0"/>
              <w:rPr>
                <w:sz w:val="14"/>
                <w:szCs w:val="14"/>
                <w:color w:val="auto"/>
              </w:rPr>
            </w:pP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tcPr>
          <w:p>
            <w:pPr>
              <w:spacing w:after="0"/>
              <w:rPr>
                <w:sz w:val="14"/>
                <w:szCs w:val="14"/>
                <w:color w:val="auto"/>
              </w:rPr>
            </w:pPr>
          </w:p>
        </w:tc>
        <w:tc>
          <w:tcPr>
            <w:tcW w:w="12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1"/>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3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(5,853</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340" w:type="dxa"/>
            <w:vAlign w:val="bottom"/>
            <w:tcBorders>
              <w:top w:val="single" w:sz="8" w:color="CCEEFF"/>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4"/>
              </w:rPr>
              <w:t>)</w:t>
            </w:r>
          </w:p>
        </w:tc>
        <w:tc>
          <w:tcPr>
            <w:tcW w:w="3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(15,978</w:t>
            </w:r>
          </w:p>
        </w:tc>
        <w:tc>
          <w:tcPr>
            <w:tcW w:w="18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(22,130</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of Class A and Class B Common Stock:</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(0.59)</w:t>
            </w:r>
          </w:p>
        </w:tc>
        <w:tc>
          <w:tcPr>
            <w:tcW w:w="640" w:type="dxa"/>
            <w:vAlign w:val="bottom"/>
            <w:gridSpan w:val="2"/>
          </w:tcPr>
          <w:p>
            <w:pPr>
              <w:jc w:val="right"/>
              <w:ind w:right="364"/>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(0.57)</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(1.98)</w:t>
            </w:r>
          </w:p>
        </w:tc>
        <w:tc>
          <w:tcPr>
            <w:tcW w:w="600" w:type="dxa"/>
            <w:vAlign w:val="bottom"/>
            <w:gridSpan w:val="2"/>
          </w:tcPr>
          <w:p>
            <w:pPr>
              <w:jc w:val="right"/>
              <w:ind w:right="324"/>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143"/>
        </w:trPr>
        <w:tc>
          <w:tcPr>
            <w:tcW w:w="4760" w:type="dxa"/>
            <w:vAlign w:val="bottom"/>
            <w:tcBorders>
              <w:top w:val="single" w:sz="8" w:color="CCEEFF"/>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(0.59</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(0.57</w:t>
            </w:r>
          </w:p>
        </w:tc>
        <w:tc>
          <w:tcPr>
            <w:tcW w:w="340" w:type="dxa"/>
            <w:vAlign w:val="bottom"/>
            <w:tcBorders>
              <w:top w:val="single" w:sz="8" w:color="CCEEFF"/>
              <w:bottom w:val="single" w:sz="8" w:color="CCEEFF"/>
            </w:tcBorders>
            <w:shd w:val="clear" w:color="auto" w:fill="CCEEFF"/>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4"/>
              </w:rPr>
              <w:t>)</w:t>
            </w:r>
          </w:p>
        </w:tc>
        <w:tc>
          <w:tcPr>
            <w:tcW w:w="3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(1.98</w:t>
            </w:r>
          </w:p>
        </w:tc>
        <w:tc>
          <w:tcPr>
            <w:tcW w:w="18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(5.63</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9,838,724</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4,023,381</w:t>
            </w: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8,058,263</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3,932,012</w:t>
            </w:r>
          </w:p>
        </w:tc>
        <w:tc>
          <w:tcPr>
            <w:tcW w:w="0" w:type="dxa"/>
            <w:vAlign w:val="bottom"/>
          </w:tcPr>
          <w:p>
            <w:pPr>
              <w:spacing w:after="0"/>
              <w:rPr>
                <w:sz w:val="1"/>
                <w:szCs w:val="1"/>
                <w:color w:val="auto"/>
              </w:rPr>
            </w:pPr>
          </w:p>
        </w:tc>
      </w:tr>
      <w:tr>
        <w:trPr>
          <w:trHeight w:val="185"/>
        </w:trPr>
        <w:tc>
          <w:tcPr>
            <w:tcW w:w="4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9,838,724</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4,023,381</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8,058,263</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3,932,012</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71"/>
        </w:trPr>
        <w:tc>
          <w:tcPr>
            <w:tcW w:w="4640" w:type="dxa"/>
            <w:vAlign w:val="bottom"/>
          </w:tcPr>
          <w:p>
            <w:pPr>
              <w:spacing w:after="0"/>
              <w:rPr>
                <w:sz w:val="14"/>
                <w:szCs w:val="14"/>
                <w:color w:val="auto"/>
              </w:rPr>
            </w:pPr>
          </w:p>
        </w:tc>
        <w:tc>
          <w:tcPr>
            <w:tcW w:w="1320" w:type="dxa"/>
            <w:vAlign w:val="bottom"/>
            <w:gridSpan w:val="4"/>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r>
      <w:tr>
        <w:trPr>
          <w:trHeight w:val="197"/>
        </w:trPr>
        <w:tc>
          <w:tcPr>
            <w:tcW w:w="4640" w:type="dxa"/>
            <w:vAlign w:val="bottom"/>
          </w:tcPr>
          <w:p>
            <w:pPr>
              <w:spacing w:after="0"/>
              <w:rPr>
                <w:sz w:val="17"/>
                <w:szCs w:val="17"/>
                <w:color w:val="auto"/>
              </w:rPr>
            </w:pPr>
          </w:p>
        </w:tc>
        <w:tc>
          <w:tcPr>
            <w:tcW w:w="1320" w:type="dxa"/>
            <w:vAlign w:val="bottom"/>
            <w:tcBorders>
              <w:bottom w:val="single" w:sz="8" w:color="auto"/>
            </w:tcBorders>
            <w:gridSpan w:val="4"/>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7"/>
                <w:szCs w:val="17"/>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73"/>
        </w:trPr>
        <w:tc>
          <w:tcPr>
            <w:tcW w:w="464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r>
      <w:tr>
        <w:trPr>
          <w:trHeight w:val="161"/>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5,883,842</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200,491</w:t>
            </w:r>
          </w:p>
        </w:tc>
        <w:tc>
          <w:tcPr>
            <w:tcW w:w="2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150,252</w:t>
            </w: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(150,588)</w:t>
            </w: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(336)</w:t>
            </w:r>
          </w:p>
        </w:tc>
        <w:tc>
          <w:tcPr>
            <w:tcW w:w="120" w:type="dxa"/>
            <w:vAlign w:val="bottom"/>
            <w:tcBorders>
              <w:top w:val="single" w:sz="8" w:color="CCEEFF"/>
            </w:tcBorders>
            <w:shd w:val="clear" w:color="auto" w:fill="CCEEFF"/>
          </w:tcPr>
          <w:p>
            <w:pPr>
              <w:spacing w:after="0"/>
              <w:rPr>
                <w:sz w:val="14"/>
                <w:szCs w:val="14"/>
                <w:color w:val="auto"/>
              </w:rPr>
            </w:pPr>
          </w:p>
        </w:tc>
      </w:tr>
      <w:tr>
        <w:trPr>
          <w:trHeight w:val="171"/>
        </w:trPr>
        <w:tc>
          <w:tcPr>
            <w:tcW w:w="4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226,450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20" w:type="dxa"/>
            <w:vAlign w:val="bottom"/>
            <w:shd w:val="clear" w:color="auto" w:fill="CCEEFF"/>
          </w:tcPr>
          <w:p>
            <w:pPr>
              <w:spacing w:after="0"/>
              <w:rPr>
                <w:sz w:val="14"/>
                <w:szCs w:val="14"/>
                <w:color w:val="auto"/>
              </w:rPr>
            </w:pPr>
          </w:p>
        </w:tc>
      </w:tr>
      <w:tr>
        <w:trPr>
          <w:trHeight w:val="17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in settlement of liabilities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119,085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985</w:t>
            </w:r>
          </w:p>
        </w:tc>
      </w:tr>
      <w:tr>
        <w:trPr>
          <w:trHeight w:val="17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403,595</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32,353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4"/>
                <w:szCs w:val="14"/>
                <w:color w:val="auto"/>
              </w:rPr>
            </w:pPr>
          </w:p>
        </w:tc>
      </w:tr>
      <w:tr>
        <w:trPr>
          <w:trHeight w:val="17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of warrants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6,912</w:t>
            </w:r>
          </w:p>
        </w:tc>
        <w:tc>
          <w:tcPr>
            <w:tcW w:w="120" w:type="dxa"/>
            <w:vAlign w:val="bottom"/>
            <w:shd w:val="clear" w:color="auto" w:fill="CCEEFF"/>
          </w:tcPr>
          <w:p>
            <w:pPr>
              <w:spacing w:after="0"/>
              <w:rPr>
                <w:sz w:val="14"/>
                <w:szCs w:val="14"/>
                <w:color w:val="auto"/>
              </w:rPr>
            </w:pPr>
          </w:p>
        </w:tc>
      </w:tr>
      <w:tr>
        <w:trPr>
          <w:trHeight w:val="17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warrants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514</w:t>
            </w:r>
          </w:p>
        </w:tc>
      </w:tr>
      <w:tr>
        <w:trPr>
          <w:trHeight w:val="17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5,139</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5,139</w:t>
            </w:r>
          </w:p>
        </w:tc>
        <w:tc>
          <w:tcPr>
            <w:tcW w:w="120" w:type="dxa"/>
            <w:vAlign w:val="bottom"/>
            <w:shd w:val="clear" w:color="auto" w:fill="CCEEFF"/>
          </w:tcPr>
          <w:p>
            <w:pPr>
              <w:spacing w:after="0"/>
              <w:rPr>
                <w:sz w:val="14"/>
                <w:szCs w:val="14"/>
                <w:color w:val="auto"/>
              </w:rPr>
            </w:pPr>
          </w:p>
        </w:tc>
      </w:tr>
      <w:tr>
        <w:trPr>
          <w:trHeight w:val="18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(10,125)</w:t>
            </w:r>
          </w:p>
        </w:tc>
        <w:tc>
          <w:tcPr>
            <w:tcW w:w="16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(10,125)</w:t>
            </w:r>
          </w:p>
        </w:tc>
      </w:tr>
      <w:tr>
        <w:trPr>
          <w:trHeight w:val="161"/>
        </w:trPr>
        <w:tc>
          <w:tcPr>
            <w:tcW w:w="46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171"/>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6,665,325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200,491</w:t>
            </w:r>
          </w:p>
        </w:tc>
        <w:tc>
          <w:tcPr>
            <w:tcW w:w="36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165,380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(160,713)</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4,667</w:t>
            </w:r>
          </w:p>
        </w:tc>
        <w:tc>
          <w:tcPr>
            <w:tcW w:w="120" w:type="dxa"/>
            <w:vAlign w:val="bottom"/>
          </w:tcPr>
          <w:p>
            <w:pPr>
              <w:spacing w:after="0"/>
              <w:rPr>
                <w:sz w:val="14"/>
                <w:szCs w:val="14"/>
                <w:color w:val="auto"/>
              </w:rPr>
            </w:pPr>
          </w:p>
        </w:tc>
      </w:tr>
      <w:tr>
        <w:trPr>
          <w:trHeight w:val="171"/>
        </w:trPr>
        <w:tc>
          <w:tcPr>
            <w:tcW w:w="46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30,000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in settlement of liabilities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426,878</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120" w:type="dxa"/>
            <w:vAlign w:val="bottom"/>
            <w:shd w:val="clear" w:color="auto" w:fill="CCEEFF"/>
          </w:tcPr>
          <w:p>
            <w:pPr>
              <w:spacing w:after="0"/>
              <w:rPr>
                <w:sz w:val="14"/>
                <w:szCs w:val="14"/>
                <w:color w:val="auto"/>
              </w:rPr>
            </w:pPr>
          </w:p>
        </w:tc>
      </w:tr>
      <w:tr>
        <w:trPr>
          <w:trHeight w:val="17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in connection with public offering</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120" w:type="dxa"/>
            <w:vAlign w:val="bottom"/>
          </w:tcPr>
          <w:p>
            <w:pPr>
              <w:spacing w:after="0"/>
              <w:rPr>
                <w:sz w:val="14"/>
                <w:szCs w:val="14"/>
                <w:color w:val="auto"/>
              </w:rPr>
            </w:pPr>
          </w:p>
        </w:tc>
      </w:tr>
      <w:tr>
        <w:trPr>
          <w:trHeight w:val="17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233,322</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120" w:type="dxa"/>
            <w:vAlign w:val="bottom"/>
          </w:tcPr>
          <w:p>
            <w:pPr>
              <w:spacing w:after="0"/>
              <w:rPr>
                <w:sz w:val="14"/>
                <w:szCs w:val="14"/>
                <w:color w:val="auto"/>
              </w:rPr>
            </w:pPr>
          </w:p>
        </w:tc>
      </w:tr>
      <w:tr>
        <w:trPr>
          <w:trHeight w:val="18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(5,853)</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(5,853)</w:t>
            </w:r>
          </w:p>
        </w:tc>
      </w:tr>
      <w:tr>
        <w:trPr>
          <w:trHeight w:val="161"/>
        </w:trPr>
        <w:tc>
          <w:tcPr>
            <w:tcW w:w="46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10,355,525</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200,491</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175,411</w:t>
            </w:r>
          </w:p>
        </w:tc>
        <w:tc>
          <w:tcPr>
            <w:tcW w:w="4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(166,566)</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8,845</w:t>
            </w:r>
          </w:p>
        </w:tc>
        <w:tc>
          <w:tcPr>
            <w:tcW w:w="120" w:type="dxa"/>
            <w:vAlign w:val="bottom"/>
            <w:shd w:val="clear" w:color="auto" w:fill="CCEEFF"/>
          </w:tcPr>
          <w:p>
            <w:pPr>
              <w:spacing w:after="0"/>
              <w:rPr>
                <w:sz w:val="16"/>
                <w:szCs w:val="16"/>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43"/>
        </w:trPr>
        <w:tc>
          <w:tcPr>
            <w:tcW w:w="4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3,282,423</w:t>
            </w:r>
          </w:p>
        </w:tc>
        <w:tc>
          <w:tcPr>
            <w:tcW w:w="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212,991</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109,987</w:t>
            </w:r>
          </w:p>
        </w:tc>
        <w:tc>
          <w:tcPr>
            <w:tcW w:w="4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(104,457)</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5,530</w:t>
            </w:r>
          </w:p>
        </w:tc>
        <w:tc>
          <w:tcPr>
            <w:tcW w:w="120" w:type="dxa"/>
            <w:vAlign w:val="bottom"/>
            <w:shd w:val="clear" w:color="auto" w:fill="CCEEFF"/>
          </w:tcPr>
          <w:p>
            <w:pPr>
              <w:spacing w:after="0"/>
              <w:rPr>
                <w:sz w:val="14"/>
                <w:szCs w:val="14"/>
                <w:color w:val="auto"/>
              </w:rPr>
            </w:pPr>
          </w:p>
        </w:tc>
      </w:tr>
      <w:tr>
        <w:trPr>
          <w:trHeight w:val="171"/>
        </w:trPr>
        <w:tc>
          <w:tcPr>
            <w:tcW w:w="4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56,174</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640</w:t>
            </w:r>
          </w:p>
        </w:tc>
      </w:tr>
      <w:tr>
        <w:trPr>
          <w:trHeight w:val="17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Conversion of Class B Common Stock to Class A Common Stock</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12,500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(12,500)</w:t>
            </w:r>
          </w:p>
        </w:tc>
        <w:tc>
          <w:tcPr>
            <w:tcW w:w="36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 notes payable to Class A Common Stock</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63,180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828</w:t>
            </w:r>
          </w:p>
        </w:tc>
      </w:tr>
      <w:tr>
        <w:trPr>
          <w:trHeight w:val="17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51,000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9,802</w:t>
            </w:r>
          </w:p>
        </w:tc>
        <w:tc>
          <w:tcPr>
            <w:tcW w:w="120" w:type="dxa"/>
            <w:vAlign w:val="bottom"/>
            <w:shd w:val="clear" w:color="auto" w:fill="CCEEFF"/>
          </w:tcPr>
          <w:p>
            <w:pPr>
              <w:spacing w:after="0"/>
              <w:rPr>
                <w:sz w:val="14"/>
                <w:szCs w:val="14"/>
                <w:color w:val="auto"/>
              </w:rPr>
            </w:pPr>
          </w:p>
        </w:tc>
      </w:tr>
      <w:tr>
        <w:trPr>
          <w:trHeight w:val="18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(19,839)</w:t>
            </w:r>
          </w:p>
        </w:tc>
        <w:tc>
          <w:tcPr>
            <w:tcW w:w="16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(19,839)</w:t>
            </w:r>
          </w:p>
        </w:tc>
      </w:tr>
      <w:tr>
        <w:trPr>
          <w:trHeight w:val="161"/>
        </w:trPr>
        <w:tc>
          <w:tcPr>
            <w:tcW w:w="46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171"/>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3,465,277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200,491</w:t>
            </w:r>
          </w:p>
        </w:tc>
        <w:tc>
          <w:tcPr>
            <w:tcW w:w="36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121,257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(124,296)</w:t>
            </w:r>
          </w:p>
        </w:tc>
        <w:tc>
          <w:tcPr>
            <w:tcW w:w="16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(3,039)</w:t>
            </w:r>
          </w:p>
        </w:tc>
      </w:tr>
      <w:tr>
        <w:trPr>
          <w:trHeight w:val="171"/>
        </w:trPr>
        <w:tc>
          <w:tcPr>
            <w:tcW w:w="46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in settlement of liabilities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61,059</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553</w:t>
            </w:r>
          </w:p>
        </w:tc>
      </w:tr>
      <w:tr>
        <w:trPr>
          <w:trHeight w:val="17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for RaGE earnout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56,310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120" w:type="dxa"/>
            <w:vAlign w:val="bottom"/>
            <w:shd w:val="clear" w:color="auto" w:fill="CCEEFF"/>
          </w:tcPr>
          <w:p>
            <w:pPr>
              <w:spacing w:after="0"/>
              <w:rPr>
                <w:sz w:val="14"/>
                <w:szCs w:val="14"/>
                <w:color w:val="auto"/>
              </w:rPr>
            </w:pPr>
          </w:p>
        </w:tc>
      </w:tr>
      <w:tr>
        <w:trPr>
          <w:trHeight w:val="17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warrants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174,819</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4"/>
                <w:szCs w:val="14"/>
                <w:color w:val="auto"/>
              </w:rPr>
            </w:pPr>
          </w:p>
        </w:tc>
      </w:tr>
      <w:tr>
        <w:trPr>
          <w:trHeight w:val="17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120" w:type="dxa"/>
            <w:vAlign w:val="bottom"/>
          </w:tcPr>
          <w:p>
            <w:pPr>
              <w:spacing w:after="0"/>
              <w:rPr>
                <w:sz w:val="14"/>
                <w:szCs w:val="14"/>
                <w:color w:val="auto"/>
              </w:rPr>
            </w:pPr>
          </w:p>
        </w:tc>
      </w:tr>
      <w:tr>
        <w:trPr>
          <w:trHeight w:val="18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(2,291)</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(2,291)</w:t>
            </w:r>
          </w:p>
        </w:tc>
      </w:tr>
      <w:tr>
        <w:trPr>
          <w:trHeight w:val="161"/>
        </w:trPr>
        <w:tc>
          <w:tcPr>
            <w:tcW w:w="46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3,758,465</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200,491</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126,929</w:t>
            </w:r>
          </w:p>
        </w:tc>
        <w:tc>
          <w:tcPr>
            <w:tcW w:w="4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(126,587)</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342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313"/>
        </w:trPr>
        <w:tc>
          <w:tcPr>
            <w:tcW w:w="8060" w:type="dxa"/>
            <w:vAlign w:val="bottom"/>
            <w:gridSpan w:val="12"/>
          </w:tcPr>
          <w:p>
            <w:pPr>
              <w:jc w:val="center"/>
              <w:ind w:left="3169"/>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2"/>
        </w:trPr>
        <w:tc>
          <w:tcPr>
            <w:tcW w:w="46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center"/>
              <w:ind w:right="89"/>
              <w:spacing w:after="0"/>
              <w:rPr>
                <w:sz w:val="20"/>
                <w:szCs w:val="20"/>
                <w:color w:val="auto"/>
              </w:rPr>
            </w:pPr>
            <w:r>
              <w:rPr>
                <w:rFonts w:ascii="Times New Roman" w:cs="Times New Roman" w:eastAsia="Times New Roman" w:hAnsi="Times New Roman"/>
                <w:sz w:val="14"/>
                <w:szCs w:val="14"/>
                <w:color w:val="auto"/>
              </w:rPr>
              <w:t>F-4</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0" w:right="3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70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70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r>
      <w:tr>
        <w:trPr>
          <w:trHeight w:val="16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280" w:type="dxa"/>
            <w:vAlign w:val="bottom"/>
          </w:tcPr>
          <w:p>
            <w:pPr>
              <w:jc w:val="right"/>
              <w:ind w:right="115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(15,978)</w:t>
            </w: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(22,130)</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w:t>
            </w:r>
          </w:p>
        </w:tc>
        <w:tc>
          <w:tcPr>
            <w:tcW w:w="1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246</w:t>
            </w:r>
          </w:p>
        </w:tc>
      </w:tr>
      <w:tr>
        <w:trPr>
          <w:trHeight w:val="171"/>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801</w:t>
            </w:r>
          </w:p>
        </w:tc>
        <w:tc>
          <w:tcPr>
            <w:tcW w:w="6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878</w:t>
            </w:r>
          </w:p>
        </w:tc>
      </w:tr>
      <w:tr>
        <w:trPr>
          <w:trHeight w:val="171"/>
        </w:trPr>
        <w:tc>
          <w:tcPr>
            <w:tcW w:w="7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12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(960)</w:t>
            </w:r>
          </w:p>
        </w:tc>
        <w:tc>
          <w:tcPr>
            <w:tcW w:w="60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(280)</w:t>
            </w:r>
          </w:p>
        </w:tc>
      </w:tr>
      <w:tr>
        <w:trPr>
          <w:trHeight w:val="171"/>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1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428</w:t>
            </w:r>
          </w:p>
        </w:tc>
        <w:tc>
          <w:tcPr>
            <w:tcW w:w="6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(625)</w:t>
            </w:r>
          </w:p>
        </w:tc>
      </w:tr>
      <w:tr>
        <w:trPr>
          <w:trHeight w:val="171"/>
        </w:trPr>
        <w:tc>
          <w:tcPr>
            <w:tcW w:w="7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expense for warrants issued</w:t>
            </w:r>
          </w:p>
        </w:tc>
        <w:tc>
          <w:tcPr>
            <w:tcW w:w="1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514</w:t>
            </w:r>
          </w:p>
        </w:tc>
        <w:tc>
          <w:tcPr>
            <w:tcW w:w="60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w:t>
            </w: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13,154</w:t>
            </w:r>
          </w:p>
        </w:tc>
      </w:tr>
      <w:tr>
        <w:trPr>
          <w:trHeight w:val="171"/>
        </w:trPr>
        <w:tc>
          <w:tcPr>
            <w:tcW w:w="7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income taxes</w:t>
            </w:r>
          </w:p>
        </w:tc>
        <w:tc>
          <w:tcPr>
            <w:tcW w:w="12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(28)</w:t>
            </w:r>
          </w:p>
        </w:tc>
        <w:tc>
          <w:tcPr>
            <w:tcW w:w="60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1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417</w:t>
            </w:r>
          </w:p>
        </w:tc>
      </w:tr>
      <w:tr>
        <w:trPr>
          <w:trHeight w:val="171"/>
        </w:trPr>
        <w:tc>
          <w:tcPr>
            <w:tcW w:w="7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non-cash items</w:t>
            </w:r>
          </w:p>
        </w:tc>
        <w:tc>
          <w:tcPr>
            <w:tcW w:w="12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(370)</w:t>
            </w:r>
          </w:p>
        </w:tc>
        <w:tc>
          <w:tcPr>
            <w:tcW w:w="60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251</w:t>
            </w:r>
          </w:p>
        </w:tc>
      </w:tr>
      <w:tr>
        <w:trPr>
          <w:trHeight w:val="171"/>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receivable</w:t>
            </w:r>
          </w:p>
        </w:tc>
        <w:tc>
          <w:tcPr>
            <w:tcW w:w="1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519</w:t>
            </w:r>
          </w:p>
        </w:tc>
        <w:tc>
          <w:tcPr>
            <w:tcW w:w="60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1,134</w:t>
            </w:r>
          </w:p>
        </w:tc>
      </w:tr>
      <w:tr>
        <w:trPr>
          <w:trHeight w:val="171"/>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Inventory</w:t>
            </w:r>
          </w:p>
        </w:tc>
        <w:tc>
          <w:tcPr>
            <w:tcW w:w="1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144</w:t>
            </w:r>
          </w:p>
        </w:tc>
        <w:tc>
          <w:tcPr>
            <w:tcW w:w="6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619</w:t>
            </w:r>
          </w:p>
        </w:tc>
      </w:tr>
      <w:tr>
        <w:trPr>
          <w:trHeight w:val="171"/>
        </w:trPr>
        <w:tc>
          <w:tcPr>
            <w:tcW w:w="7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2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(310)</w:t>
            </w:r>
          </w:p>
        </w:tc>
        <w:tc>
          <w:tcPr>
            <w:tcW w:w="60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w:t>
            </w:r>
          </w:p>
        </w:tc>
      </w:tr>
      <w:tr>
        <w:trPr>
          <w:trHeight w:val="171"/>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payable</w:t>
            </w:r>
          </w:p>
        </w:tc>
        <w:tc>
          <w:tcPr>
            <w:tcW w:w="1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(2,173)</w:t>
            </w:r>
          </w:p>
        </w:tc>
        <w:tc>
          <w:tcPr>
            <w:tcW w:w="6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2,161</w:t>
            </w:r>
          </w:p>
        </w:tc>
      </w:tr>
      <w:tr>
        <w:trPr>
          <w:trHeight w:val="181"/>
        </w:trPr>
        <w:tc>
          <w:tcPr>
            <w:tcW w:w="7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8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726</w:t>
            </w:r>
          </w:p>
        </w:tc>
        <w:tc>
          <w:tcPr>
            <w:tcW w:w="60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2,777</w:t>
            </w:r>
          </w:p>
        </w:tc>
      </w:tr>
      <w:tr>
        <w:trPr>
          <w:trHeight w:val="161"/>
        </w:trPr>
        <w:tc>
          <w:tcPr>
            <w:tcW w:w="7020" w:type="dxa"/>
            <w:vAlign w:val="bottom"/>
            <w:tcBorders>
              <w:top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2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(9,017)</w:t>
            </w:r>
          </w:p>
        </w:tc>
        <w:tc>
          <w:tcPr>
            <w:tcW w:w="3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100" w:type="dxa"/>
            <w:vAlign w:val="bottom"/>
            <w:tcBorders>
              <w:top w:val="single" w:sz="8" w:color="CCEEFF"/>
            </w:tcBorders>
            <w:shd w:val="clear" w:color="auto" w:fill="CCEEFF"/>
          </w:tcPr>
          <w:p>
            <w:pPr>
              <w:spacing w:after="0"/>
              <w:rPr>
                <w:sz w:val="14"/>
                <w:szCs w:val="14"/>
                <w:color w:val="auto"/>
              </w:rPr>
            </w:pPr>
          </w:p>
        </w:tc>
      </w:tr>
    </w:tbl>
    <w:p>
      <w:pPr>
        <w:spacing w:after="0" w:line="154" w:lineRule="exact"/>
        <w:rPr>
          <w:sz w:val="20"/>
          <w:szCs w:val="20"/>
          <w:color w:val="auto"/>
        </w:rPr>
      </w:pPr>
    </w:p>
    <w:p>
      <w:pPr>
        <w:sectPr>
          <w:pgSz w:w="11900" w:h="16838" w:orient="portrait"/>
          <w:cols w:equalWidth="0" w:num="1">
            <w:col w:w="11280"/>
          </w:cols>
          <w:pgMar w:left="300" w:top="549" w:right="319" w:bottom="1440" w:gutter="0" w:footer="0" w:header="0"/>
        </w:sectPr>
      </w:pPr>
    </w:p>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Acquisition of property and equipment</w:t>
      </w:r>
    </w:p>
    <w:p>
      <w:pPr>
        <w:spacing w:after="0" w:line="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Net cash used in investing activities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gridSpan w:val="2"/>
          </w:tcPr>
          <w:p>
            <w:pPr>
              <w:ind w:left="1720"/>
              <w:spacing w:after="0"/>
              <w:rPr>
                <w:sz w:val="20"/>
                <w:szCs w:val="20"/>
                <w:color w:val="auto"/>
              </w:rPr>
            </w:pPr>
            <w:r>
              <w:rPr>
                <w:rFonts w:ascii="Times New Roman" w:cs="Times New Roman" w:eastAsia="Times New Roman" w:hAnsi="Times New Roman"/>
                <w:sz w:val="14"/>
                <w:szCs w:val="14"/>
                <w:color w:val="auto"/>
                <w:w w:val="94"/>
              </w:rPr>
              <w:t>(16)</w:t>
            </w:r>
          </w:p>
        </w:tc>
      </w:tr>
      <w:tr>
        <w:trPr>
          <w:trHeight w:val="176"/>
        </w:trPr>
        <w:tc>
          <w:tcPr>
            <w:tcW w:w="1920" w:type="dxa"/>
            <w:vAlign w:val="bottom"/>
            <w:tcBorders>
              <w:top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5"/>
                <w:szCs w:val="15"/>
                <w:color w:val="auto"/>
              </w:rPr>
            </w:pPr>
          </w:p>
        </w:tc>
        <w:tc>
          <w:tcPr>
            <w:tcW w:w="1920" w:type="dxa"/>
            <w:vAlign w:val="bottom"/>
            <w:tcBorders>
              <w:top w:val="single" w:sz="8" w:color="auto"/>
            </w:tcBorders>
          </w:tcPr>
          <w:p>
            <w:pPr>
              <w:ind w:left="1720"/>
              <w:spacing w:after="0"/>
              <w:rPr>
                <w:sz w:val="20"/>
                <w:szCs w:val="20"/>
                <w:color w:val="auto"/>
              </w:rPr>
            </w:pPr>
            <w:r>
              <w:rPr>
                <w:rFonts w:ascii="Times New Roman" w:cs="Times New Roman" w:eastAsia="Times New Roman" w:hAnsi="Times New Roman"/>
                <w:sz w:val="14"/>
                <w:szCs w:val="14"/>
                <w:color w:val="auto"/>
                <w:w w:val="76"/>
              </w:rPr>
              <w:t>(16)</w:t>
            </w: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-346710</wp:posOffset>
            </wp:positionV>
            <wp:extent cx="7160895" cy="1085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10858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-123190</wp:posOffset>
            </wp:positionV>
            <wp:extent cx="7160895" cy="1149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11493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6300" w:space="720"/>
            <w:col w:w="4260"/>
          </w:cols>
          <w:pgMar w:left="300" w:top="549"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8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600</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 in public offering</w:t>
            </w:r>
          </w:p>
        </w:tc>
        <w:tc>
          <w:tcPr>
            <w:tcW w:w="8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exercise of warrants</w:t>
            </w:r>
          </w:p>
        </w:tc>
        <w:tc>
          <w:tcPr>
            <w:tcW w:w="8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notes payable</w:t>
            </w:r>
          </w:p>
        </w:tc>
        <w:tc>
          <w:tcPr>
            <w:tcW w:w="8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1,725</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Principal payments on notes payable</w:t>
            </w:r>
          </w:p>
        </w:tc>
        <w:tc>
          <w:tcPr>
            <w:tcW w:w="8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(2,533)</w:t>
            </w:r>
          </w:p>
        </w:tc>
        <w:tc>
          <w:tcPr>
            <w:tcW w:w="8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(119)</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payments on notes payable - related parties</w:t>
            </w:r>
          </w:p>
        </w:tc>
        <w:tc>
          <w:tcPr>
            <w:tcW w:w="8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(565)</w:t>
            </w:r>
          </w:p>
        </w:tc>
        <w:tc>
          <w:tcPr>
            <w:tcW w:w="8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consideration paid for acquisition of business</w:t>
            </w:r>
          </w:p>
        </w:tc>
        <w:tc>
          <w:tcPr>
            <w:tcW w:w="8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(174)</w:t>
            </w:r>
          </w:p>
        </w:tc>
      </w:tr>
      <w:tr>
        <w:trPr>
          <w:trHeight w:val="161"/>
        </w:trPr>
        <w:tc>
          <w:tcPr>
            <w:tcW w:w="702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8,307</w:t>
            </w:r>
          </w:p>
        </w:tc>
        <w:tc>
          <w:tcPr>
            <w:tcW w:w="32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00" w:type="dxa"/>
            <w:vAlign w:val="bottom"/>
            <w:tcBorders>
              <w:bottom w:val="single" w:sz="8" w:color="CCEEFF"/>
            </w:tcBorders>
          </w:tcPr>
          <w:p>
            <w:pPr>
              <w:spacing w:after="0"/>
              <w:rPr>
                <w:sz w:val="14"/>
                <w:szCs w:val="14"/>
                <w:color w:val="auto"/>
              </w:rPr>
            </w:pPr>
          </w:p>
        </w:tc>
      </w:tr>
      <w:tr>
        <w:trPr>
          <w:trHeight w:val="161"/>
        </w:trPr>
        <w:tc>
          <w:tcPr>
            <w:tcW w:w="70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w:t>
            </w:r>
          </w:p>
        </w:tc>
        <w:tc>
          <w:tcPr>
            <w:tcW w:w="8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(710)</w:t>
            </w:r>
          </w:p>
        </w:tc>
        <w:tc>
          <w:tcPr>
            <w:tcW w:w="8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515</w:t>
            </w:r>
          </w:p>
        </w:tc>
      </w:tr>
      <w:tr>
        <w:trPr>
          <w:trHeight w:val="18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beginning of period</w:t>
            </w:r>
          </w:p>
        </w:tc>
        <w:tc>
          <w:tcPr>
            <w:tcW w:w="8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266</w:t>
            </w:r>
          </w:p>
        </w:tc>
      </w:tr>
      <w:tr>
        <w:trPr>
          <w:trHeight w:val="212"/>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800" w:type="dxa"/>
            <w:vAlign w:val="bottom"/>
            <w:tcBorders>
              <w:top w:val="single" w:sz="8" w:color="auto"/>
              <w:bottom w:val="single" w:sz="8" w:color="auto"/>
            </w:tcBorders>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3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Borders>
              <w:bottom w:val="single" w:sz="8" w:color="CCEEFF"/>
            </w:tcBorders>
          </w:tcPr>
          <w:p>
            <w:pPr>
              <w:spacing w:after="0"/>
              <w:rPr>
                <w:sz w:val="18"/>
                <w:szCs w:val="18"/>
                <w:color w:val="auto"/>
              </w:rPr>
            </w:pPr>
          </w:p>
        </w:tc>
      </w:tr>
      <w:tr>
        <w:trPr>
          <w:trHeight w:val="143"/>
        </w:trPr>
        <w:tc>
          <w:tcPr>
            <w:tcW w:w="70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80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255</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80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0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 of notes payable and other liabilities in common stock</w:t>
            </w:r>
          </w:p>
        </w:tc>
        <w:tc>
          <w:tcPr>
            <w:tcW w:w="80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1,245</w:t>
            </w:r>
          </w:p>
        </w:tc>
      </w:tr>
      <w:tr>
        <w:trPr>
          <w:trHeight w:val="185"/>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Class A Common Stock for RaGE earnout</w:t>
            </w:r>
          </w:p>
        </w:tc>
        <w:tc>
          <w:tcPr>
            <w:tcW w:w="800" w:type="dxa"/>
            <w:vAlign w:val="bottom"/>
          </w:tcPr>
          <w:p>
            <w:pPr>
              <w:spacing w:after="0"/>
              <w:rPr>
                <w:sz w:val="16"/>
                <w:szCs w:val="16"/>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1,752</w:t>
            </w: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color w:val="auto"/>
        </w:rPr>
        <w:t>Note 1 — Company Information</w:t>
      </w:r>
    </w:p>
    <w:p>
      <w:pPr>
        <w:spacing w:after="0" w:line="182" w:lineRule="exact"/>
        <w:rPr>
          <w:sz w:val="20"/>
          <w:szCs w:val="20"/>
          <w:color w:val="auto"/>
        </w:rPr>
      </w:pPr>
    </w:p>
    <w:p>
      <w:pPr>
        <w:jc w:val="both"/>
        <w:ind w:firstLine="256"/>
        <w:spacing w:after="0" w:line="260" w:lineRule="auto"/>
        <w:rPr>
          <w:sz w:val="20"/>
          <w:szCs w:val="20"/>
          <w:color w:val="auto"/>
        </w:rPr>
      </w:pPr>
      <w:r>
        <w:rPr>
          <w:rFonts w:ascii="Times New Roman" w:cs="Times New Roman" w:eastAsia="Times New Roman" w:hAnsi="Times New Roman"/>
          <w:sz w:val="14"/>
          <w:szCs w:val="14"/>
          <w:color w:val="auto"/>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 The Company’s Class A Common Stock and its Public Warrants are traded on the Nasdaq Capital Market under the symbols “MOBX” and “MOBXW,”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Going Concern</w:t>
      </w:r>
    </w:p>
    <w:p>
      <w:pPr>
        <w:spacing w:after="0" w:line="182" w:lineRule="exact"/>
        <w:rPr>
          <w:sz w:val="20"/>
          <w:szCs w:val="20"/>
          <w:color w:val="auto"/>
        </w:rPr>
      </w:pPr>
    </w:p>
    <w:p>
      <w:pPr>
        <w:jc w:val="both"/>
        <w:ind w:firstLine="256"/>
        <w:spacing w:after="0" w:line="259" w:lineRule="auto"/>
        <w:rPr>
          <w:sz w:val="20"/>
          <w:szCs w:val="20"/>
          <w:color w:val="auto"/>
        </w:rPr>
      </w:pPr>
      <w:r>
        <w:rPr>
          <w:rFonts w:ascii="Times New Roman" w:cs="Times New Roman" w:eastAsia="Times New Roman" w:hAnsi="Times New Roman"/>
          <w:sz w:val="14"/>
          <w:szCs w:val="14"/>
          <w:color w:val="auto"/>
        </w:rPr>
        <w:t>The condensed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The Company incurred a loss from operations of $14,924 for the six months ended March 31, 2026 and incurred losses from operations of $37,693 and $46,395 for the years ended September 30, 2025 and 2024, respectively. Additionally, the Company had negative cash flows from operations of $9,017 for the six months ended March 31, 2026 and negative cash flows from operations of $10,113 and $18,388 for the years ended September 30, 2025 and 2024, respectively. As of March 31, 2026, the Company had cash on hand of $2,563 and an accumulated deficit of $166,566.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spacing w:after="0" w:line="147" w:lineRule="exact"/>
        <w:rPr>
          <w:sz w:val="20"/>
          <w:szCs w:val="20"/>
          <w:color w:val="auto"/>
        </w:rPr>
      </w:pPr>
    </w:p>
    <w:p>
      <w:pPr>
        <w:jc w:val="both"/>
        <w:ind w:firstLine="256"/>
        <w:spacing w:after="0" w:line="261" w:lineRule="auto"/>
        <w:rPr>
          <w:sz w:val="20"/>
          <w:szCs w:val="20"/>
          <w:color w:val="auto"/>
        </w:rPr>
      </w:pPr>
      <w:r>
        <w:rPr>
          <w:rFonts w:ascii="Times New Roman" w:cs="Times New Roman" w:eastAsia="Times New Roman" w:hAnsi="Times New Roman"/>
          <w:sz w:val="14"/>
          <w:szCs w:val="14"/>
          <w:color w:val="auto"/>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spacing w:after="0" w:line="145"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condensed consolidated financial statements do not include any adjustments that might result from the outcome of these uncertainties. Accordingly, the condensed consolidated financial statements have been prepared on a basis that assumes the Company will continue as a going concern and which contemplates the realization of assets and the satisfaction of liabilities and commitments in the ordinary course of business.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color w:val="auto"/>
        </w:rPr>
        <w:t>Note 2 — Basis of Presentation and Significant Accounting Policies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82" w:lineRule="exact"/>
        <w:rPr>
          <w:sz w:val="20"/>
          <w:szCs w:val="20"/>
          <w:color w:val="auto"/>
        </w:rPr>
      </w:pPr>
    </w:p>
    <w:p>
      <w:pPr>
        <w:jc w:val="both"/>
        <w:ind w:firstLine="256"/>
        <w:spacing w:after="0" w:line="258" w:lineRule="auto"/>
        <w:rPr>
          <w:sz w:val="20"/>
          <w:szCs w:val="20"/>
          <w:color w:val="auto"/>
        </w:rPr>
      </w:pPr>
      <w:r>
        <w:rPr>
          <w:rFonts w:ascii="Times New Roman" w:cs="Times New Roman" w:eastAsia="Times New Roman" w:hAnsi="Times New Roman"/>
          <w:sz w:val="14"/>
          <w:szCs w:val="14"/>
          <w:color w:val="auto"/>
        </w:rPr>
        <w:t>The condensed consolidated financial statements have been prepared in accordance with accounting principles generally accepted in the United States (“GAAP”) for interim financial information and include the accounts of Mobix Labs, Inc. and its subsidiaries. The Company’s fiscal year ends on September 30. Certain information and disclosures normally included in financial statements prepared in accordance with GAAP have been condensed or omitted. Accordingly, these condensed consolidated financial statements should be read in conjunction with the Company’s audited financial statements as of and for the year ended September 30, 2025 and the related notes which provide a more complete discussion of the Company’s accounting policies and certain other information. The September 30, 2025 consolidated balance sheet was derived from the Company’s audited financial statements. These unaudited condensed consolidated financial statements have been prepared on the same basis as the annual financial statements and, in the opinion of management, reflect all adjustments, which include only normal recurring adjustments, necessary for a fair statement of the Company’s condensed consolidated financial position as of March 31, 2026 and its condensed consolidated results of operations and cash flows for the periods ended March 31, 2026 and 2025. The condensed consolidated results of operations for the three months and six months ended March 31, 2026 are not necessarily indicative of the results to be expected for the fiscal year ending September 30, 2026 or for any other future annual or interim period.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182" w:lineRule="exact"/>
        <w:rPr>
          <w:sz w:val="20"/>
          <w:szCs w:val="20"/>
          <w:color w:val="auto"/>
        </w:rPr>
      </w:pPr>
    </w:p>
    <w:p>
      <w:pPr>
        <w:jc w:val="both"/>
        <w:ind w:firstLine="256"/>
        <w:spacing w:after="0" w:line="289" w:lineRule="auto"/>
        <w:rPr>
          <w:sz w:val="20"/>
          <w:szCs w:val="20"/>
          <w:color w:val="auto"/>
        </w:rPr>
      </w:pPr>
      <w:r>
        <w:rPr>
          <w:rFonts w:ascii="Times New Roman" w:cs="Times New Roman" w:eastAsia="Times New Roman" w:hAnsi="Times New Roman"/>
          <w:sz w:val="14"/>
          <w:szCs w:val="14"/>
          <w:color w:val="auto"/>
        </w:rPr>
        <w:t>The condensed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182" w:lineRule="exact"/>
        <w:rPr>
          <w:sz w:val="20"/>
          <w:szCs w:val="20"/>
          <w:color w:val="auto"/>
        </w:rPr>
      </w:pPr>
    </w:p>
    <w:p>
      <w:pPr>
        <w:jc w:val="both"/>
        <w:ind w:firstLine="256"/>
        <w:spacing w:after="0" w:line="260" w:lineRule="auto"/>
        <w:rPr>
          <w:sz w:val="20"/>
          <w:szCs w:val="20"/>
          <w:color w:val="auto"/>
        </w:rPr>
      </w:pPr>
      <w:r>
        <w:rPr>
          <w:rFonts w:ascii="Times New Roman" w:cs="Times New Roman" w:eastAsia="Times New Roman" w:hAnsi="Times New Roman"/>
          <w:sz w:val="14"/>
          <w:szCs w:val="14"/>
          <w:color w:val="auto"/>
        </w:rPr>
        <w:t>The preparation of the Company’s condensed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condensed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spacing w:after="0" w:line="145" w:lineRule="exact"/>
        <w:rPr>
          <w:sz w:val="20"/>
          <w:szCs w:val="20"/>
          <w:color w:val="auto"/>
        </w:rPr>
      </w:pPr>
    </w:p>
    <w:p>
      <w:pPr>
        <w:ind w:left="520" w:hanging="259"/>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of stock-based compensation awards;</w:t>
      </w:r>
    </w:p>
    <w:p>
      <w:pPr>
        <w:spacing w:after="0" w:line="23"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assessments of goodwill and long-lived assets;</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measurement of liabilities carried at fair value, including the earnout liability and liability-classified warrants; and,</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income taxes and related valuation allowances and tax uncertainties.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Accounting Policies</w:t>
      </w:r>
    </w:p>
    <w:p>
      <w:pPr>
        <w:spacing w:after="0" w:line="182" w:lineRule="exact"/>
        <w:rPr>
          <w:sz w:val="20"/>
          <w:szCs w:val="20"/>
          <w:color w:val="auto"/>
        </w:rPr>
      </w:pPr>
    </w:p>
    <w:p>
      <w:pPr>
        <w:ind w:firstLine="256"/>
        <w:spacing w:after="0" w:line="289" w:lineRule="auto"/>
        <w:rPr>
          <w:sz w:val="20"/>
          <w:szCs w:val="20"/>
          <w:color w:val="auto"/>
        </w:rPr>
      </w:pPr>
      <w:r>
        <w:rPr>
          <w:rFonts w:ascii="Times New Roman" w:cs="Times New Roman" w:eastAsia="Times New Roman" w:hAnsi="Times New Roman"/>
          <w:sz w:val="14"/>
          <w:szCs w:val="14"/>
          <w:color w:val="auto"/>
        </w:rPr>
        <w:t>A summary of the Company’s significant accounting policies is included in its Annual Report on Form 10-K for the year ended September 30, 2025, filed with the Securities and Exchange Commission on January 13, 2026. There have been no significant changes to these policies during the six months ended March 31, 2026, aside from those outlined below.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color w:val="auto"/>
        </w:rPr>
        <w:t>Impairment of Long-Lived Assets</w:t>
      </w:r>
    </w:p>
    <w:p>
      <w:pPr>
        <w:spacing w:after="0" w:line="182" w:lineRule="exact"/>
        <w:rPr>
          <w:sz w:val="20"/>
          <w:szCs w:val="20"/>
          <w:color w:val="auto"/>
        </w:rPr>
      </w:pPr>
    </w:p>
    <w:p>
      <w:pPr>
        <w:jc w:val="both"/>
        <w:ind w:firstLine="256"/>
        <w:spacing w:after="0" w:line="260" w:lineRule="auto"/>
        <w:rPr>
          <w:sz w:val="20"/>
          <w:szCs w:val="20"/>
          <w:color w:val="auto"/>
        </w:rPr>
      </w:pPr>
      <w:r>
        <w:rPr>
          <w:rFonts w:ascii="Times New Roman" w:cs="Times New Roman" w:eastAsia="Times New Roman" w:hAnsi="Times New Roman"/>
          <w:sz w:val="14"/>
          <w:szCs w:val="14"/>
          <w:color w:val="auto"/>
        </w:rPr>
        <w:t>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did not recognize any impairment losses for the six months ended March 31, 2026 and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182"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 The Company did not recognize any goodwill impairment losses for the six months ended March 31, 2026 and 2025. There were no changes in the carrying amount of goodwill during the six months ended March 31, 2026 and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Classification of Warrants</w:t>
      </w:r>
    </w:p>
    <w:p>
      <w:pPr>
        <w:spacing w:after="0" w:line="182" w:lineRule="exact"/>
        <w:rPr>
          <w:sz w:val="20"/>
          <w:szCs w:val="20"/>
          <w:color w:val="auto"/>
        </w:rPr>
      </w:pPr>
    </w:p>
    <w:p>
      <w:pPr>
        <w:jc w:val="both"/>
        <w:ind w:firstLine="256"/>
        <w:spacing w:after="0" w:line="263" w:lineRule="auto"/>
        <w:rPr>
          <w:sz w:val="20"/>
          <w:szCs w:val="20"/>
          <w:color w:val="auto"/>
        </w:rPr>
      </w:pPr>
      <w:r>
        <w:rPr>
          <w:rFonts w:ascii="Times New Roman" w:cs="Times New Roman" w:eastAsia="Times New Roman" w:hAnsi="Times New Roman"/>
          <w:sz w:val="14"/>
          <w:szCs w:val="14"/>
          <w:color w:val="auto"/>
        </w:rPr>
        <w:t xml:space="preserve">The Company accounts for warrants to purchase its common stock as either equity-classified or liability-classified instruments based on an assessment of the warrant’s specific terms and applicable authoritative guidance in ASC Topic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xml:space="preserve"> (“ASC 480”) and ASC Topic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(“ASC 815”). The assessment considers whether the warrants are freestanding financial instruments pursuant to ASC 480, meet the liability classification requirements pursuant to ASC 480, and whether the warrants meet all of the requirements for equity classification under ASC 815, including whether the warrants are indexed to the Company’s own stock, among other conditions for equity classification. This assessment, which requires the use of professional judgment, is conducted when warrants are issued or modified and as of the end of each subsequent reporting period while the warrants are outstanding.</w:t>
      </w:r>
    </w:p>
    <w:p>
      <w:pPr>
        <w:sectPr>
          <w:pgSz w:w="11900" w:h="16838" w:orient="portrait"/>
          <w:cols w:equalWidth="0" w:num="1">
            <w:col w:w="11280"/>
          </w:cols>
          <w:pgMar w:left="300" w:top="549" w:right="319" w:bottom="1440" w:gutter="0" w:footer="0" w:header="0"/>
        </w:sect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Inventory</w:t>
      </w:r>
    </w:p>
    <w:p>
      <w:pPr>
        <w:spacing w:after="0" w:line="182" w:lineRule="exact"/>
        <w:rPr>
          <w:sz w:val="20"/>
          <w:szCs w:val="20"/>
          <w:color w:val="auto"/>
        </w:rPr>
      </w:pPr>
    </w:p>
    <w:p>
      <w:pPr>
        <w:jc w:val="right"/>
        <w:ind w:right="2520"/>
        <w:spacing w:after="0"/>
        <w:rPr>
          <w:sz w:val="20"/>
          <w:szCs w:val="20"/>
          <w:color w:val="auto"/>
        </w:rPr>
      </w:pPr>
      <w:r>
        <w:rPr>
          <w:rFonts w:ascii="Times New Roman" w:cs="Times New Roman" w:eastAsia="Times New Roman" w:hAnsi="Times New Roman"/>
          <w:sz w:val="14"/>
          <w:szCs w:val="14"/>
          <w:color w:val="auto"/>
        </w:rPr>
        <w:t>Inventory consists of the following: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Raw materials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Finished goods</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1480" w:type="dxa"/>
        <w:tblCellMar>
          <w:top w:w="0" w:type="dxa"/>
          <w:left w:w="0" w:type="dxa"/>
          <w:bottom w:w="0" w:type="dxa"/>
          <w:right w:w="0" w:type="dxa"/>
        </w:tblCellMar>
      </w:tblPr>
      <w:tr>
        <w:trPr>
          <w:trHeight w:val="181"/>
        </w:trPr>
        <w:tc>
          <w:tcPr>
            <w:tcW w:w="360" w:type="dxa"/>
            <w:vAlign w:val="bottom"/>
          </w:tcPr>
          <w:p>
            <w:pPr>
              <w:spacing w:after="0"/>
              <w:rPr>
                <w:sz w:val="15"/>
                <w:szCs w:val="15"/>
                <w:color w:val="auto"/>
              </w:rPr>
            </w:pPr>
          </w:p>
        </w:tc>
        <w:tc>
          <w:tcPr>
            <w:tcW w:w="18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5"/>
                <w:szCs w:val="15"/>
                <w:color w:val="auto"/>
              </w:rPr>
            </w:pPr>
          </w:p>
        </w:tc>
        <w:tc>
          <w:tcPr>
            <w:tcW w:w="16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28"/>
        </w:trPr>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947</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r>
      <w:tr>
        <w:trPr>
          <w:trHeight w:val="185"/>
        </w:trPr>
        <w:tc>
          <w:tcPr>
            <w:tcW w:w="360" w:type="dxa"/>
            <w:vAlign w:val="bottom"/>
          </w:tcPr>
          <w:p>
            <w:pPr>
              <w:spacing w:after="0"/>
              <w:rPr>
                <w:sz w:val="16"/>
                <w:szCs w:val="16"/>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344</w:t>
            </w:r>
          </w:p>
        </w:tc>
        <w:tc>
          <w:tcPr>
            <w:tcW w:w="3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r>
      <w:tr>
        <w:trPr>
          <w:trHeight w:val="172"/>
        </w:trPr>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3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-365125</wp:posOffset>
            </wp:positionV>
            <wp:extent cx="7160895" cy="1085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108585"/>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-141605</wp:posOffset>
            </wp:positionV>
            <wp:extent cx="7160895"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12890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15240</wp:posOffset>
            </wp:positionV>
            <wp:extent cx="716089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2">
            <w:col w:w="4820" w:space="720"/>
            <w:col w:w="5740"/>
          </w:cols>
          <w:pgMar w:left="300" w:top="549" w:right="31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87"/>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4 — Property and Equipment, net</w:t>
            </w:r>
          </w:p>
        </w:tc>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1"/>
        </w:trPr>
        <w:tc>
          <w:tcPr>
            <w:tcW w:w="5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Property and equipment, net consists of the following:</w:t>
            </w: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6"/>
        </w:trPr>
        <w:tc>
          <w:tcPr>
            <w:tcW w:w="54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542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Life (years)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2"/>
        </w:trPr>
        <w:tc>
          <w:tcPr>
            <w:tcW w:w="54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and furniture</w:t>
            </w:r>
          </w:p>
        </w:tc>
        <w:tc>
          <w:tcPr>
            <w:tcW w:w="272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rPr>
              <w:t>5 - 7</w:t>
            </w:r>
          </w:p>
        </w:tc>
        <w:tc>
          <w:tcPr>
            <w:tcW w:w="3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w:t>
            </w:r>
          </w:p>
        </w:tc>
        <w:tc>
          <w:tcPr>
            <w:tcW w:w="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4"/>
                <w:szCs w:val="14"/>
                <w:color w:val="auto"/>
              </w:rPr>
            </w:pPr>
          </w:p>
        </w:tc>
      </w:tr>
      <w:tr>
        <w:trPr>
          <w:trHeight w:val="171"/>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Laboratory equipment</w:t>
            </w:r>
          </w:p>
        </w:tc>
        <w:tc>
          <w:tcPr>
            <w:tcW w:w="2720" w:type="dxa"/>
            <w:vAlign w:val="bottom"/>
          </w:tcPr>
          <w:p>
            <w:pPr>
              <w:jc w:val="right"/>
              <w:ind w:right="124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tcPr>
          <w:p>
            <w:pPr>
              <w:spacing w:after="0"/>
              <w:rPr>
                <w:sz w:val="14"/>
                <w:szCs w:val="14"/>
                <w:color w:val="auto"/>
              </w:rPr>
            </w:pPr>
          </w:p>
        </w:tc>
      </w:tr>
      <w:tr>
        <w:trPr>
          <w:trHeight w:val="156"/>
        </w:trPr>
        <w:tc>
          <w:tcPr>
            <w:tcW w:w="5420" w:type="dxa"/>
            <w:vAlign w:val="bottom"/>
            <w:shd w:val="clear" w:color="auto" w:fill="CCEEFF"/>
          </w:tcPr>
          <w:p>
            <w:pPr>
              <w:spacing w:after="0"/>
              <w:rPr>
                <w:sz w:val="13"/>
                <w:szCs w:val="13"/>
                <w:color w:val="auto"/>
              </w:rPr>
            </w:pPr>
          </w:p>
        </w:tc>
        <w:tc>
          <w:tcPr>
            <w:tcW w:w="272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Shorter of estimated useful life or remaining</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9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lease term</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7"/>
                <w:szCs w:val="17"/>
                <w:color w:val="auto"/>
              </w:rPr>
            </w:pPr>
          </w:p>
        </w:tc>
      </w:tr>
      <w:tr>
        <w:trPr>
          <w:trHeight w:val="161"/>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1"/>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(881)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(794)</w:t>
            </w:r>
          </w:p>
        </w:tc>
      </w:tr>
      <w:tr>
        <w:trPr>
          <w:trHeight w:val="172"/>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5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firstLine="256"/>
        <w:spacing w:after="0" w:line="289" w:lineRule="auto"/>
        <w:rPr>
          <w:sz w:val="20"/>
          <w:szCs w:val="20"/>
          <w:color w:val="auto"/>
        </w:rPr>
      </w:pPr>
      <w:r>
        <w:rPr>
          <w:rFonts w:ascii="Times New Roman" w:cs="Times New Roman" w:eastAsia="Times New Roman" w:hAnsi="Times New Roman"/>
          <w:sz w:val="14"/>
          <w:szCs w:val="14"/>
          <w:color w:val="auto"/>
        </w:rPr>
        <w:t>Depreciation expense for the three months ended March 31, 2026 and 2025 was $29 and $123, respectively. Depreciation expense for the six months ended March 31, 2026 and 2025 was $78 and $246,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Intangible Assets, net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net consist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80" w:type="dxa"/>
            <w:vAlign w:val="bottom"/>
          </w:tcPr>
          <w:p>
            <w:pPr>
              <w:spacing w:after="0"/>
              <w:rPr>
                <w:sz w:val="17"/>
                <w:szCs w:val="17"/>
                <w:color w:val="auto"/>
              </w:rPr>
            </w:pPr>
          </w:p>
        </w:tc>
        <w:tc>
          <w:tcPr>
            <w:tcW w:w="96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1380" w:type="dxa"/>
            <w:vAlign w:val="bottom"/>
          </w:tcPr>
          <w:p>
            <w:pPr>
              <w:spacing w:after="0"/>
              <w:rPr>
                <w:sz w:val="13"/>
                <w:szCs w:val="13"/>
                <w:color w:val="auto"/>
              </w:rPr>
            </w:pPr>
          </w:p>
        </w:tc>
        <w:tc>
          <w:tcPr>
            <w:tcW w:w="960" w:type="dxa"/>
            <w:vAlign w:val="bottom"/>
          </w:tcPr>
          <w:p>
            <w:pPr>
              <w:jc w:val="center"/>
              <w:ind w:left="189"/>
              <w:spacing w:after="0" w:line="15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359"/>
              <w:spacing w:after="0" w:line="15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right"/>
              <w:ind w:right="469"/>
              <w:spacing w:after="0" w:line="15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1380" w:type="dxa"/>
            <w:vAlign w:val="bottom"/>
          </w:tcPr>
          <w:p>
            <w:pPr>
              <w:spacing w:after="0"/>
              <w:rPr>
                <w:sz w:val="16"/>
                <w:szCs w:val="16"/>
                <w:color w:val="auto"/>
              </w:rPr>
            </w:pPr>
          </w:p>
        </w:tc>
        <w:tc>
          <w:tcPr>
            <w:tcW w:w="96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6"/>
                <w:szCs w:val="16"/>
                <w:color w:val="auto"/>
              </w:rPr>
            </w:pPr>
          </w:p>
        </w:tc>
        <w:tc>
          <w:tcPr>
            <w:tcW w:w="130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6"/>
                <w:szCs w:val="16"/>
                <w:color w:val="auto"/>
              </w:rPr>
            </w:pP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36"/>
        </w:trPr>
        <w:tc>
          <w:tcPr>
            <w:tcW w:w="138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Developed</w:t>
            </w:r>
          </w:p>
        </w:tc>
        <w:tc>
          <w:tcPr>
            <w:tcW w:w="9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85"/>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10</w:t>
            </w:r>
          </w:p>
        </w:tc>
        <w:tc>
          <w:tcPr>
            <w:tcW w:w="4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5,689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(3,089)</w:t>
            </w:r>
          </w:p>
        </w:tc>
        <w:tc>
          <w:tcPr>
            <w:tcW w:w="4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2,600</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5,689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(2,798)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2,891</w:t>
            </w:r>
          </w:p>
        </w:tc>
        <w:tc>
          <w:tcPr>
            <w:tcW w:w="20" w:type="dxa"/>
            <w:vAlign w:val="bottom"/>
            <w:shd w:val="clear" w:color="auto" w:fill="CCEEFF"/>
          </w:tcPr>
          <w:p>
            <w:pPr>
              <w:spacing w:after="0"/>
              <w:rPr>
                <w:sz w:val="16"/>
                <w:szCs w:val="16"/>
                <w:color w:val="auto"/>
              </w:rPr>
            </w:pPr>
          </w:p>
        </w:tc>
      </w:tr>
      <w:tr>
        <w:trPr>
          <w:trHeight w:val="156"/>
        </w:trPr>
        <w:tc>
          <w:tcPr>
            <w:tcW w:w="13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Customer</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5"/>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relationships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15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11,900</w:t>
            </w:r>
          </w:p>
        </w:tc>
        <w:tc>
          <w:tcPr>
            <w:tcW w:w="120" w:type="dxa"/>
            <w:vAlign w:val="bottom"/>
          </w:tcPr>
          <w:p>
            <w:pPr>
              <w:spacing w:after="0"/>
              <w:rPr>
                <w:sz w:val="16"/>
                <w:szCs w:val="16"/>
                <w:color w:val="auto"/>
              </w:rPr>
            </w:pPr>
          </w:p>
        </w:tc>
        <w:tc>
          <w:tcPr>
            <w:tcW w:w="13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(1,833)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10,067</w:t>
            </w: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11,900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(1,374)</w:t>
            </w:r>
          </w:p>
        </w:tc>
        <w:tc>
          <w:tcPr>
            <w:tcW w:w="8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10,526</w:t>
            </w:r>
          </w:p>
        </w:tc>
        <w:tc>
          <w:tcPr>
            <w:tcW w:w="20" w:type="dxa"/>
            <w:vAlign w:val="bottom"/>
          </w:tcPr>
          <w:p>
            <w:pPr>
              <w:spacing w:after="0"/>
              <w:rPr>
                <w:sz w:val="16"/>
                <w:szCs w:val="16"/>
                <w:color w:val="auto"/>
              </w:rPr>
            </w:pPr>
          </w:p>
        </w:tc>
      </w:tr>
      <w:tr>
        <w:trPr>
          <w:trHeight w:val="182"/>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names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2"/>
              </w:rPr>
              <w:t>– 2.5</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(249)</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51</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shd w:val="clear" w:color="auto" w:fill="CCEEFF"/>
          </w:tcPr>
          <w:p>
            <w:pPr>
              <w:spacing w:after="0"/>
              <w:rPr>
                <w:sz w:val="15"/>
                <w:szCs w:val="15"/>
                <w:color w:val="auto"/>
              </w:rPr>
            </w:pPr>
          </w:p>
        </w:tc>
      </w:tr>
      <w:tr>
        <w:trPr>
          <w:trHeight w:val="172"/>
        </w:trPr>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17,889</w:t>
            </w:r>
          </w:p>
        </w:tc>
        <w:tc>
          <w:tcPr>
            <w:tcW w:w="3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12,718</w:t>
            </w:r>
          </w:p>
        </w:tc>
        <w:tc>
          <w:tcPr>
            <w:tcW w:w="3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17,889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(4,370</w:t>
            </w:r>
          </w:p>
        </w:tc>
        <w:tc>
          <w:tcPr>
            <w:tcW w:w="3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13,519</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Amortization expense related to intangible assets for the three months ended March 31, 2026 and 2025 was $395 and $407, respectively. Amortization expense related to intangible assets for the six months ended March 31, 2026 and 2025 was $801 and $878, respectively. The weighted-average remaining lives of intangible assets as of March 31, 2026 were developed technology 4.5 years; customer relationships 11.1 years; and trade names 0.6 years.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Estimated future amortization expense for intangible assets by fiscal year as of March 31, 2026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Years ending September 30,</w:t>
            </w:r>
          </w:p>
        </w:tc>
        <w:tc>
          <w:tcPr>
            <w:tcW w:w="53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62"/>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2026 (remaining six months)</w:t>
            </w:r>
          </w:p>
        </w:tc>
        <w:tc>
          <w:tcPr>
            <w:tcW w:w="5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789</w:t>
            </w:r>
          </w:p>
        </w:tc>
      </w:tr>
      <w:tr>
        <w:trPr>
          <w:trHeight w:val="171"/>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1,510</w:t>
            </w:r>
          </w:p>
        </w:tc>
      </w:tr>
      <w:tr>
        <w:trPr>
          <w:trHeight w:val="171"/>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2028</w:t>
            </w:r>
          </w:p>
        </w:tc>
        <w:tc>
          <w:tcPr>
            <w:tcW w:w="5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1,498</w:t>
            </w:r>
          </w:p>
        </w:tc>
      </w:tr>
      <w:tr>
        <w:trPr>
          <w:trHeight w:val="171"/>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2029</w:t>
            </w:r>
          </w:p>
        </w:tc>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1,498</w:t>
            </w:r>
          </w:p>
        </w:tc>
      </w:tr>
      <w:tr>
        <w:trPr>
          <w:trHeight w:val="171"/>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2030</w:t>
            </w:r>
          </w:p>
        </w:tc>
        <w:tc>
          <w:tcPr>
            <w:tcW w:w="5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1,454</w:t>
            </w:r>
          </w:p>
        </w:tc>
      </w:tr>
      <w:tr>
        <w:trPr>
          <w:trHeight w:val="181"/>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5,969</w:t>
            </w:r>
          </w:p>
        </w:tc>
      </w:tr>
      <w:tr>
        <w:trPr>
          <w:trHeight w:val="172"/>
        </w:trPr>
        <w:tc>
          <w:tcPr>
            <w:tcW w:w="3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53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36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3"/>
        </w:trPr>
        <w:tc>
          <w:tcPr>
            <w:tcW w:w="366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3"/>
          </w:tcPr>
          <w:p>
            <w:pPr>
              <w:jc w:val="right"/>
              <w:ind w:right="4249"/>
              <w:spacing w:after="0"/>
              <w:rPr>
                <w:sz w:val="20"/>
                <w:szCs w:val="20"/>
                <w:color w:val="auto"/>
              </w:rPr>
            </w:pPr>
            <w:r>
              <w:rPr>
                <w:rFonts w:ascii="Times New Roman" w:cs="Times New Roman" w:eastAsia="Times New Roman" w:hAnsi="Times New Roman"/>
                <w:sz w:val="14"/>
                <w:szCs w:val="14"/>
                <w:color w:val="auto"/>
              </w:rPr>
              <w:t>F-9</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49" w:right="31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6 — Accrued Expenses and Other Current Liabilities</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 consist of the following:</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7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36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956</w:t>
            </w:r>
          </w:p>
        </w:tc>
        <w:tc>
          <w:tcPr>
            <w:tcW w:w="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1,212</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Accrued professional fees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694</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694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1,473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Committed equity facility fees</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1,478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1,478</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Unpaid Merger-related transaction costs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1,090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1,090</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RaGE Earnout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2,000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8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1,840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3,208</w:t>
            </w:r>
          </w:p>
        </w:tc>
        <w:tc>
          <w:tcPr>
            <w:tcW w:w="0" w:type="dxa"/>
            <w:vAlign w:val="bottom"/>
          </w:tcPr>
          <w:p>
            <w:pPr>
              <w:spacing w:after="0"/>
              <w:rPr>
                <w:sz w:val="1"/>
                <w:szCs w:val="1"/>
                <w:color w:val="auto"/>
              </w:rPr>
            </w:pPr>
          </w:p>
        </w:tc>
      </w:tr>
      <w:tr>
        <w:trPr>
          <w:trHeight w:val="172"/>
        </w:trPr>
        <w:tc>
          <w:tcPr>
            <w:tcW w:w="70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7 — Debt</w:t>
            </w: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Debt consists of the following:</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7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w:t>
            </w: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3,934</w:t>
            </w:r>
          </w:p>
        </w:tc>
        <w:tc>
          <w:tcPr>
            <w:tcW w:w="0" w:type="dxa"/>
            <w:vAlign w:val="bottom"/>
          </w:tcPr>
          <w:p>
            <w:pPr>
              <w:spacing w:after="0"/>
              <w:rPr>
                <w:sz w:val="1"/>
                <w:szCs w:val="1"/>
                <w:color w:val="auto"/>
              </w:rPr>
            </w:pPr>
          </w:p>
        </w:tc>
      </w:tr>
      <w:tr>
        <w:trPr>
          <w:trHeight w:val="18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7% promissory notes – related parties</w:t>
            </w:r>
          </w:p>
        </w:tc>
        <w:tc>
          <w:tcPr>
            <w:tcW w:w="36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2,251</w:t>
            </w:r>
          </w:p>
        </w:tc>
        <w:tc>
          <w:tcPr>
            <w:tcW w:w="0" w:type="dxa"/>
            <w:vAlign w:val="bottom"/>
          </w:tcPr>
          <w:p>
            <w:pPr>
              <w:spacing w:after="0"/>
              <w:rPr>
                <w:sz w:val="1"/>
                <w:szCs w:val="1"/>
                <w:color w:val="auto"/>
              </w:rPr>
            </w:pPr>
          </w:p>
        </w:tc>
      </w:tr>
      <w:tr>
        <w:trPr>
          <w:trHeight w:val="161"/>
        </w:trPr>
        <w:tc>
          <w:tcPr>
            <w:tcW w:w="70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debt</w:t>
            </w:r>
          </w:p>
        </w:tc>
        <w:tc>
          <w:tcPr>
            <w:tcW w:w="36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6,438</w:t>
            </w:r>
          </w:p>
        </w:tc>
        <w:tc>
          <w:tcPr>
            <w:tcW w:w="3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Less: Amounts classified as current</w:t>
            </w:r>
          </w:p>
        </w:tc>
        <w:tc>
          <w:tcPr>
            <w:tcW w:w="360" w:type="dxa"/>
            <w:vAlign w:val="bottom"/>
          </w:tcPr>
          <w:p>
            <w:pPr>
              <w:spacing w:after="0"/>
              <w:rPr>
                <w:sz w:val="15"/>
                <w:szCs w:val="15"/>
                <w:color w:val="auto"/>
              </w:rPr>
            </w:pPr>
          </w:p>
        </w:tc>
        <w:tc>
          <w:tcPr>
            <w:tcW w:w="18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(5,428)</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(5,086)</w:t>
            </w:r>
          </w:p>
        </w:tc>
        <w:tc>
          <w:tcPr>
            <w:tcW w:w="0" w:type="dxa"/>
            <w:vAlign w:val="bottom"/>
          </w:tcPr>
          <w:p>
            <w:pPr>
              <w:spacing w:after="0"/>
              <w:rPr>
                <w:sz w:val="1"/>
                <w:szCs w:val="1"/>
                <w:color w:val="auto"/>
              </w:rPr>
            </w:pPr>
          </w:p>
        </w:tc>
      </w:tr>
      <w:tr>
        <w:trPr>
          <w:trHeight w:val="172"/>
        </w:trPr>
        <w:tc>
          <w:tcPr>
            <w:tcW w:w="70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Noncurrent portion</w:t>
            </w:r>
          </w:p>
        </w:tc>
        <w:tc>
          <w:tcPr>
            <w:tcW w:w="36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2026 Financings</w:t>
      </w:r>
    </w:p>
    <w:p>
      <w:pPr>
        <w:spacing w:after="0" w:line="182" w:lineRule="exact"/>
        <w:rPr>
          <w:sz w:val="20"/>
          <w:szCs w:val="20"/>
          <w:color w:val="auto"/>
        </w:rPr>
      </w:pPr>
    </w:p>
    <w:p>
      <w:pPr>
        <w:jc w:val="both"/>
        <w:ind w:firstLine="256"/>
        <w:spacing w:after="0" w:line="261" w:lineRule="auto"/>
        <w:rPr>
          <w:sz w:val="20"/>
          <w:szCs w:val="20"/>
          <w:color w:val="auto"/>
        </w:rPr>
      </w:pPr>
      <w:r>
        <w:rPr>
          <w:rFonts w:ascii="Times New Roman" w:cs="Times New Roman" w:eastAsia="Times New Roman" w:hAnsi="Times New Roman"/>
          <w:sz w:val="14"/>
          <w:szCs w:val="14"/>
          <w:color w:val="auto"/>
        </w:rPr>
        <w:t>On March 13, 2026, the Company entered into three exchange agreements pursuant to which certain outstanding indebtedness and other amounts owed were exchanged for shares of the Company’s Class A Common Stock. Under these agreements, (i) indebtedness of $785 was exchanged for 107,571 shares of Class A Common Stock at an exchange price of $7.30 per share, (ii) outstanding obligations of $1,425 were partially settled through the issuance of shares having an aggregate value of $615, with the remaining balance to be resolved under a separate agreement, and</w:t>
      </w:r>
    </w:p>
    <w:p>
      <w:pPr>
        <w:spacing w:after="0" w:line="1" w:lineRule="exact"/>
        <w:rPr>
          <w:sz w:val="20"/>
          <w:szCs w:val="20"/>
          <w:color w:val="auto"/>
        </w:rPr>
      </w:pPr>
    </w:p>
    <w:p>
      <w:pPr>
        <w:ind w:firstLine="5"/>
        <w:spacing w:after="0" w:line="268" w:lineRule="auto"/>
        <w:tabs>
          <w:tab w:leader="none" w:pos="25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amounts owed under a service agreement, including existing and expected invoices or obligations, were exchanged for 15,000 shares of Class A Common Stock. Upon closing, the applicable exchanged obligations were to be cancelled and extinguished in accordance with the terms of the respective agreements.</w:t>
      </w:r>
    </w:p>
    <w:p>
      <w:pPr>
        <w:spacing w:after="0" w:line="139" w:lineRule="exact"/>
        <w:rPr>
          <w:sz w:val="20"/>
          <w:szCs w:val="20"/>
          <w:color w:val="auto"/>
        </w:rPr>
      </w:pPr>
    </w:p>
    <w:p>
      <w:pPr>
        <w:jc w:val="both"/>
        <w:ind w:firstLine="256"/>
        <w:spacing w:after="0" w:line="258" w:lineRule="auto"/>
        <w:rPr>
          <w:sz w:val="20"/>
          <w:szCs w:val="20"/>
          <w:color w:val="auto"/>
        </w:rPr>
      </w:pPr>
      <w:r>
        <w:rPr>
          <w:rFonts w:ascii="Times New Roman" w:cs="Times New Roman" w:eastAsia="Times New Roman" w:hAnsi="Times New Roman"/>
          <w:sz w:val="14"/>
          <w:szCs w:val="14"/>
          <w:color w:val="auto"/>
        </w:rPr>
        <w:t>Between February 23, 2026 and March 31, 2026, the Company entered into three securities purchase agreements providing for the issuance of convertible notes. The first two agreements, entered into on February 23, 2026 and March 16, 2026, provided for bridge promissory notes with an aggregate principal amount of $554 aggregate original issue discount of $72, aggregate purchase price of $482, and one-time interest charges of 12%, resulting in net proceeds to the Company of $445. These bridge notes mature on December 30, 2026 and January 15, 2027, respectively, and require aggregate scheduled payments of $621. The third agreement, entered into on March 31, 2026, with Leviston Resources, LLC (“Leviston”), provided for a senior secured convertible note with a principal amount of $3,000. The holder funded $2,500, reflecting an original issue discount of $500, and $25 was withheld for legal fees, resulting in net proceeds to the Company of $2,475. This note bears interest at 10% per annum, matures on July 31, 2026, at which time the outstanding principal and accrued interest are due and payable in cash, unless earlier converted in accordance with its terms. Following an Event of Default (as defined in the Convertible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Convertible Note. Subject to adjustment as set forth in the Convertible Note, the conversion price is the lesser of (A) the closing price on March 31, 2026 and (B) 85% of the lowest 8-day VWAP of the Class A Common Stock immediately prior to and including the date of the conversion notice. With respect to the March 31, 2026 financing, the Company entered into a registration rights agreement and a security agreement.</w:t>
      </w:r>
    </w:p>
    <w:p>
      <w:pPr>
        <w:spacing w:after="0" w:line="145" w:lineRule="exact"/>
        <w:rPr>
          <w:sz w:val="20"/>
          <w:szCs w:val="20"/>
          <w:color w:val="auto"/>
        </w:rPr>
      </w:pPr>
    </w:p>
    <w:p>
      <w:pPr>
        <w:jc w:val="both"/>
        <w:ind w:firstLine="256"/>
        <w:spacing w:after="0" w:line="261" w:lineRule="auto"/>
        <w:rPr>
          <w:sz w:val="20"/>
          <w:szCs w:val="20"/>
          <w:color w:val="auto"/>
        </w:rPr>
      </w:pPr>
      <w:r>
        <w:rPr>
          <w:rFonts w:ascii="Times New Roman" w:cs="Times New Roman" w:eastAsia="Times New Roman" w:hAnsi="Times New Roman"/>
          <w:sz w:val="14"/>
          <w:szCs w:val="14"/>
          <w:color w:val="auto"/>
        </w:rPr>
        <w:t>On May 13, 2026, the Company entered into a First Amendment to the Securities Purchase Agreement and Senior Secured Convertible Note (the “First Amendment”) with Leviston Resources, LLC (“Leviston”), amending the Senior Secured Convertible Note originally issued on March 31, 2026 (the “Original Note”). Pursuant to the First Amendment, Leviston advanced an additional $833 to the Company, increasing the total funded amount under the Original Note to $3,333. The First Amendment increased the aggregate principal amount of the Original Note, inclusive of a 16.667% original issue discount, from $3,000 to $4,000. Interest on the incremental $1,000 of principal created by the First Amendment commenced accruing on May 13, 2026; interest on the original $3,000 principal continues to accrue in accordance with the terms of the Original Note as in effect immediately prior to May 13, 2026. The Company intends to use the proceeds for working capital and general corporate purposes.</w:t>
      </w:r>
    </w:p>
    <w:p>
      <w:pPr>
        <w:spacing w:after="0" w:line="145"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On May 18, 2026, the Company satisfied in full the entire $4,000 of outstanding principal under the Original Note, together with all accrued interest thereon, through the conversion of such amounts into an aggregate of 2,500,000 shares of Common Stock. Upon such full satisfaction, the Original Note, the Securities Purchase Agreement, dated March 31, 2026, between the Company and Leviston (as amended by the First Amendment), and the Registration Rights Agreement, dated March 31, 2026, between the Company and Leviston, terminated in accordance with their terms.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03" w:name="page104"/>
    <w:bookmarkEnd w:id="103"/>
    <w:p>
      <w:pPr>
        <w:jc w:val="both"/>
        <w:ind w:firstLine="256"/>
        <w:spacing w:after="0" w:line="259" w:lineRule="auto"/>
        <w:rPr>
          <w:sz w:val="20"/>
          <w:szCs w:val="20"/>
          <w:color w:val="auto"/>
        </w:rPr>
      </w:pPr>
      <w:r>
        <w:rPr>
          <w:rFonts w:ascii="Times New Roman" w:cs="Times New Roman" w:eastAsia="Times New Roman" w:hAnsi="Times New Roman"/>
          <w:sz w:val="14"/>
          <w:szCs w:val="14"/>
          <w:color w:val="auto"/>
        </w:rPr>
        <w:t>On January 15, 2026, the Company amended an existing loan and security agreement, dated August 13, 2025, pursuant to which the Company was provided with a closed-end commercial loan in the original principal amount of $600. Under the amendment, the Company agreed to cure a prior payment default, make an additional interim payment of $33, and make a principal reduction payment of $233. The amendment also provided for an equity-based settlement of the remaining obligations under the loan, subject to the effectiveness of a registration statement covering shares of the Company’s common stock held by or for the benefit of Maximcash Solutions LLC and the Company’s timely payment of the required cash amounts. During the six months ended March 31, 2026, the Company settled the remaining outstanding indebtedness under the arrangement. In connection with the settlement, indebtedness of $232, consisting of principal of $140 and accrued interest of $92, was settled through the issuance or delivery of 169,375 shares of the Company’s Class A Common Stock. Based on the fair value of the shares issued or delivered at the time of settlement of $376, or $2.22 per share, the Company recognized a loss on extinguishment of debt of $144, which was recorded in other non-operating (gains) losses, net in the condensed consolidated statements of operations and comprehensive loss.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Notes Payable</w:t>
      </w:r>
    </w:p>
    <w:p>
      <w:pPr>
        <w:spacing w:after="0" w:line="182" w:lineRule="exact"/>
        <w:rPr>
          <w:sz w:val="20"/>
          <w:szCs w:val="20"/>
          <w:color w:val="auto"/>
        </w:rPr>
      </w:pPr>
    </w:p>
    <w:p>
      <w:pPr>
        <w:jc w:val="both"/>
        <w:ind w:firstLine="256"/>
        <w:spacing w:after="0" w:line="260" w:lineRule="auto"/>
        <w:rPr>
          <w:sz w:val="20"/>
          <w:szCs w:val="20"/>
          <w:color w:val="auto"/>
        </w:rPr>
      </w:pPr>
      <w:r>
        <w:rPr>
          <w:rFonts w:ascii="Times New Roman" w:cs="Times New Roman" w:eastAsia="Times New Roman" w:hAnsi="Times New Roman"/>
          <w:sz w:val="14"/>
          <w:szCs w:val="14"/>
          <w:color w:val="auto"/>
        </w:rPr>
        <w:t>During the six months ended March 31, 2026, the Company also amended two existing agreements for the purchase and sale of future receipts, pursuant to which the Company agreed to sell to the buyers additional future trade receipts totaling $1,966 (together with amounts already outstanding under these agreements, the “Future Receipts Purchased Amount”) for net proceeds to the Company of $806.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July 2026. In December 2024, the Company entered into an agreement for the purchase and sale of future receipts with an unrelated buyer pursuant to which the Company agreed to sell to the buyer certain future trade receipts in the aggregate amount of $710 (the “Future Receipts Purchased Amount”) for net proceeds to the Company of $480. Under the agreement, the Company granted the buyer a security interest in all of the Company’s present and future accounts receivable in an amount not to exceed the Future Receipts Purchased Amount.</w:t>
      </w:r>
    </w:p>
    <w:p>
      <w:pPr>
        <w:spacing w:after="0" w:line="145" w:lineRule="exact"/>
        <w:rPr>
          <w:sz w:val="20"/>
          <w:szCs w:val="20"/>
          <w:color w:val="auto"/>
        </w:rPr>
      </w:pPr>
    </w:p>
    <w:p>
      <w:pPr>
        <w:jc w:val="both"/>
        <w:ind w:firstLine="256"/>
        <w:spacing w:after="0" w:line="289" w:lineRule="auto"/>
        <w:rPr>
          <w:sz w:val="20"/>
          <w:szCs w:val="20"/>
          <w:color w:val="auto"/>
        </w:rPr>
      </w:pPr>
      <w:r>
        <w:rPr>
          <w:rFonts w:ascii="Times New Roman" w:cs="Times New Roman" w:eastAsia="Times New Roman" w:hAnsi="Times New Roman"/>
          <w:sz w:val="14"/>
          <w:szCs w:val="14"/>
          <w:color w:val="auto"/>
        </w:rPr>
        <w:t>During the six months ended March 31, 2025, the Company entered into a $200 note payable with a bank for net proceeds of $195. The note has an eighteen month term and requires weekly payments totaling $282, including finance charges. The note is secured by substantially all of the Company’s assets and is guaranteed by an officer and director of the Company.</w:t>
      </w:r>
    </w:p>
    <w:p>
      <w:pPr>
        <w:spacing w:after="0" w:line="124"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During the six months ended March 31, 2025, the Company entered into two agreements for the purchase and sale of future receipts with unrelated buyers, pursuant to which the Company agreed to sell to the buyer certain future trade receipts in the aggregate amount of $2,139 (the “Future Receipts Purchased Amount”) for net proceeds to the Company of $1,430.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November 2025.</w:t>
      </w:r>
    </w:p>
    <w:p>
      <w:pPr>
        <w:spacing w:after="0" w:line="140"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During the six months ended March 31, 2025, the Company and the holders of two notes agreed to settle the outstanding principal and accrued interest, totaling $545, for 63,180 shares of the Company’s Class A Common Stock. The Company recognized a loss on the extinguishment of debt of $283, which is included in “Other non-operating (gains) losses, net” in the condensed consolidated statements of operations and comprehensive loss.</w:t>
      </w:r>
    </w:p>
    <w:p>
      <w:pPr>
        <w:spacing w:after="0" w:line="135" w:lineRule="exact"/>
        <w:rPr>
          <w:sz w:val="20"/>
          <w:szCs w:val="20"/>
          <w:color w:val="auto"/>
        </w:rPr>
      </w:pPr>
    </w:p>
    <w:p>
      <w:pPr>
        <w:jc w:val="both"/>
        <w:ind w:firstLine="256"/>
        <w:spacing w:after="0" w:line="289" w:lineRule="auto"/>
        <w:rPr>
          <w:sz w:val="20"/>
          <w:szCs w:val="20"/>
          <w:color w:val="auto"/>
        </w:rPr>
      </w:pPr>
      <w:r>
        <w:rPr>
          <w:rFonts w:ascii="Times New Roman" w:cs="Times New Roman" w:eastAsia="Times New Roman" w:hAnsi="Times New Roman"/>
          <w:sz w:val="14"/>
          <w:szCs w:val="14"/>
          <w:color w:val="auto"/>
        </w:rPr>
        <w:t>During the six months ended March 31, 2026 and 2025, the Company made principal payments on notes payable of $2,533 and $119, respectively. As of March 31, 2026, notes payable having an aggregate remaining principal balance of $4,752 were outstanding and are included in “Notes payable” and “Notes payable, noncurrent” in the condensed consolidated balance sheet.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7% Promissory Notes — Related Parties</w:t>
      </w:r>
    </w:p>
    <w:p>
      <w:pPr>
        <w:spacing w:after="0" w:line="182" w:lineRule="exact"/>
        <w:rPr>
          <w:sz w:val="20"/>
          <w:szCs w:val="20"/>
          <w:color w:val="auto"/>
        </w:rPr>
      </w:pPr>
    </w:p>
    <w:p>
      <w:pPr>
        <w:jc w:val="both"/>
        <w:ind w:firstLine="256"/>
        <w:spacing w:after="0" w:line="261" w:lineRule="auto"/>
        <w:rPr>
          <w:sz w:val="20"/>
          <w:szCs w:val="20"/>
          <w:color w:val="auto"/>
        </w:rPr>
      </w:pPr>
      <w:r>
        <w:rPr>
          <w:rFonts w:ascii="Times New Roman" w:cs="Times New Roman" w:eastAsia="Times New Roman" w:hAnsi="Times New Roman"/>
          <w:sz w:val="14"/>
          <w:szCs w:val="14"/>
          <w:color w:val="auto"/>
        </w:rPr>
        <w:t>The Company has two outstanding promissory notes with related parties which bear interest at 7% per annum and are unsecured. One 7% promissory note, having a principal balance of $518 as of March 31, 2026, is payable in monthly payments of varying amounts through September 2026. The other 7% promissory note, having a principal balance of $1,168 as of March 31, 2026, no longer bears interest; the outstanding principal and previously accrued interest balance is payable in monthly payments of varying amounts through March 2027, with the remaining principal of $979 payable on May 15, 2027. The outstanding principal balance of the 7% promissory notes is included in “Notes payable — related parties, current” and “Notes payable — related parties, noncurrent” in the condensed consolidated balance sheet as of March 31, 2026. During the six months ended March 31, 2026 and 2025, the Company made principal payments of $565 and $0, respectively, on the 7% promissory notes.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color w:val="auto"/>
        </w:rPr>
        <w:t>Note 8 — Leases</w:t>
      </w:r>
    </w:p>
    <w:p>
      <w:pPr>
        <w:spacing w:after="0" w:line="182" w:lineRule="exact"/>
        <w:rPr>
          <w:sz w:val="20"/>
          <w:szCs w:val="20"/>
          <w:color w:val="auto"/>
        </w:rPr>
      </w:pPr>
    </w:p>
    <w:p>
      <w:pPr>
        <w:jc w:val="both"/>
        <w:ind w:firstLine="256"/>
        <w:spacing w:after="0" w:line="289" w:lineRule="auto"/>
        <w:rPr>
          <w:sz w:val="20"/>
          <w:szCs w:val="20"/>
          <w:color w:val="auto"/>
        </w:rPr>
      </w:pPr>
      <w:r>
        <w:rPr>
          <w:rFonts w:ascii="Times New Roman" w:cs="Times New Roman" w:eastAsia="Times New Roman" w:hAnsi="Times New Roman"/>
          <w:sz w:val="14"/>
          <w:szCs w:val="14"/>
          <w:color w:val="auto"/>
        </w:rPr>
        <w:t>The Company has entered into operating leases for office space. The leases have remaining terms ranging from eight months to 1.3 years and expire at various dates through July 2027. The leases do not contain residual value guarantees or restrictive covenants. The following lease costs are included in the condensed consolidated statements of operations and comprehensive loss: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70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70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r>
      <w:tr>
        <w:trPr>
          <w:trHeight w:val="16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132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4"/>
                <w:szCs w:val="14"/>
                <w:color w:val="auto"/>
              </w:rPr>
            </w:pPr>
          </w:p>
        </w:tc>
      </w:tr>
      <w:tr>
        <w:trPr>
          <w:trHeight w:val="18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 cost</w:t>
            </w:r>
          </w:p>
        </w:tc>
        <w:tc>
          <w:tcPr>
            <w:tcW w:w="1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w:t>
            </w:r>
          </w:p>
        </w:tc>
      </w:tr>
      <w:tr>
        <w:trPr>
          <w:trHeight w:val="172"/>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cost</w:t>
            </w:r>
          </w:p>
        </w:tc>
        <w:tc>
          <w:tcPr>
            <w:tcW w:w="1320" w:type="dxa"/>
            <w:vAlign w:val="bottom"/>
            <w:tcBorders>
              <w:top w:val="single" w:sz="8" w:color="auto"/>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7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 for the six months ended March 31, 2026 and 2025 was $171 and $378, respectively. As of March 31, 2026, the weighted-average remaining lease term was 1.2 years, and the weighted-average discount rate was 15.6%. There are no other leases that had not yet commenced as of March 31, 2026 that will create significant additional rights and obligations for the Company. The following table reconciles the undiscounted cash flows to the operating lease liabilities recorded on the condensed consolidated balance sheet as of March 31,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Years ending September 30,</w:t>
            </w:r>
          </w:p>
        </w:tc>
        <w:tc>
          <w:tcPr>
            <w:tcW w:w="8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1"/>
        </w:trPr>
        <w:tc>
          <w:tcPr>
            <w:tcW w:w="9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2026 (remaining six months)</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4"/>
                <w:szCs w:val="14"/>
                <w:color w:val="auto"/>
              </w:rPr>
            </w:pPr>
          </w:p>
        </w:tc>
      </w:tr>
      <w:tr>
        <w:trPr>
          <w:trHeight w:val="181"/>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8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5"/>
                <w:szCs w:val="15"/>
                <w:color w:val="auto"/>
              </w:rPr>
            </w:pPr>
          </w:p>
        </w:tc>
      </w:tr>
      <w:tr>
        <w:trPr>
          <w:trHeight w:val="161"/>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8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1"/>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86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r>
      <w:tr>
        <w:trPr>
          <w:trHeight w:val="161"/>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Present value of future minimum lease payments</w:t>
            </w:r>
          </w:p>
        </w:tc>
        <w:tc>
          <w:tcPr>
            <w:tcW w:w="8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1"/>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current obligations under leases</w:t>
            </w:r>
          </w:p>
        </w:tc>
        <w:tc>
          <w:tcPr>
            <w:tcW w:w="86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(208)</w:t>
            </w:r>
          </w:p>
        </w:tc>
      </w:tr>
      <w:tr>
        <w:trPr>
          <w:trHeight w:val="172"/>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Long-term lease obligations</w:t>
            </w: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9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Commitments and Contingencies</w:t>
      </w:r>
    </w:p>
    <w:p>
      <w:pPr>
        <w:spacing w:after="0" w:line="182"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The Company previously engaged a financial advisor to provide services and the financial advisor has asserted that the Company owes additional funds in excess of amounts previously recognized. The Company disputes the financial advisor’s claim. As of the date of these condensed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Litigation</w:t>
      </w:r>
    </w:p>
    <w:p>
      <w:pPr>
        <w:spacing w:after="0" w:line="182"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On March 13, 2026, Ydens Holdings, LLC and related individual plaintiffs filed a lawsuit in Orange County Superior Court against the Company and its subsidiary EMI Solutions, asserting breach of contract and related claims arising from the September 2022 Agreement and Plan of Merger under which the Company acquired EMI Solutions. The plaintiffs seek damages. The Merger Agreement contains a mandatory arbitration provision, and the Company intends to move to compel arbitration and to defend the matter vigorously. The Company is unable to predict final outcome of this matter, but it does not currently believe that it will have a material adverse effect on its results of operation or financial position.</w:t>
      </w:r>
    </w:p>
    <w:p>
      <w:pPr>
        <w:spacing w:after="0" w:line="140"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Indemnifications</w:t>
      </w:r>
    </w:p>
    <w:p>
      <w:pPr>
        <w:spacing w:after="0" w:line="182" w:lineRule="exact"/>
        <w:rPr>
          <w:sz w:val="20"/>
          <w:szCs w:val="20"/>
          <w:color w:val="auto"/>
        </w:rPr>
      </w:pPr>
    </w:p>
    <w:p>
      <w:pPr>
        <w:jc w:val="both"/>
        <w:ind w:firstLine="256"/>
        <w:spacing w:after="0" w:line="263" w:lineRule="auto"/>
        <w:rPr>
          <w:sz w:val="20"/>
          <w:szCs w:val="20"/>
          <w:color w:val="auto"/>
        </w:rPr>
      </w:pPr>
      <w:r>
        <w:rPr>
          <w:rFonts w:ascii="Times New Roman" w:cs="Times New Roman" w:eastAsia="Times New Roman" w:hAnsi="Times New Roman"/>
          <w:sz w:val="14"/>
          <w:szCs w:val="14"/>
          <w:color w:val="auto"/>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March 31, 2026 or September 30, 2025.</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color w:val="auto"/>
        </w:rPr>
        <w:t>Note 10 — Income Taxes</w:t>
      </w:r>
    </w:p>
    <w:p>
      <w:pPr>
        <w:spacing w:after="0" w:line="182" w:lineRule="exact"/>
        <w:rPr>
          <w:sz w:val="20"/>
          <w:szCs w:val="20"/>
          <w:color w:val="auto"/>
        </w:rPr>
      </w:pPr>
    </w:p>
    <w:p>
      <w:pPr>
        <w:jc w:val="both"/>
        <w:ind w:firstLine="256"/>
        <w:spacing w:after="0" w:line="260" w:lineRule="auto"/>
        <w:rPr>
          <w:sz w:val="20"/>
          <w:szCs w:val="20"/>
          <w:color w:val="auto"/>
        </w:rPr>
      </w:pPr>
      <w:r>
        <w:rPr>
          <w:rFonts w:ascii="Times New Roman" w:cs="Times New Roman" w:eastAsia="Times New Roman" w:hAnsi="Times New Roman"/>
          <w:sz w:val="14"/>
          <w:szCs w:val="14"/>
          <w:color w:val="auto"/>
        </w:rPr>
        <w:t>The Company recorded an income tax provision of $3 and an income tax benefit of $5 for the three months ended March 31, 2026 and 2025, respectively, and an income tax benefit of $21 and $7 for the six months ended March 31, 2026 and 2025, respectively. The Company calculated the income tax provision (benefit) using the discrete year-to-date method. The Company’s income tax provision (benefit) differs from an amount calculated based on statutory tax rates principally due to the Company recording a valuation allowance against the net operating losses it generated during the periods.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potential limitations on the Company’s ability to carry forward net operating losses, ongoing tax planning, and forecasts of future taxable income on a jurisdiction-by-jurisdiction basis. Based on these factors, the Company has established a valuation allowance to reduce its net deferred tax assets to the amount that is more likely than not to be realized.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Equity</w:t>
      </w:r>
    </w:p>
    <w:p>
      <w:pPr>
        <w:spacing w:after="0" w:line="182" w:lineRule="exact"/>
        <w:rPr>
          <w:sz w:val="20"/>
          <w:szCs w:val="20"/>
          <w:color w:val="auto"/>
        </w:rPr>
      </w:pPr>
    </w:p>
    <w:p>
      <w:pPr>
        <w:jc w:val="both"/>
        <w:ind w:firstLine="256"/>
        <w:spacing w:after="0" w:line="289" w:lineRule="auto"/>
        <w:rPr>
          <w:sz w:val="20"/>
          <w:szCs w:val="20"/>
          <w:color w:val="auto"/>
        </w:rPr>
      </w:pPr>
      <w:r>
        <w:rPr>
          <w:rFonts w:ascii="Times New Roman" w:cs="Times New Roman" w:eastAsia="Times New Roman" w:hAnsi="Times New Roman"/>
          <w:sz w:val="14"/>
          <w:szCs w:val="14"/>
          <w:color w:val="auto"/>
        </w:rPr>
        <w:t>The Company’s amended and restated certificate of incorporation authorizes the issuance of preferred stock, Class A Common Stock and Class B Common Stock. As of March 31, 2026, the board of directors had not designated any series of preferred stock, and no shares of preferred stock were issued or outstanding.</w:t>
      </w:r>
    </w:p>
    <w:p>
      <w:pPr>
        <w:spacing w:after="0" w:line="124" w:lineRule="exact"/>
        <w:rPr>
          <w:sz w:val="20"/>
          <w:szCs w:val="20"/>
          <w:color w:val="auto"/>
        </w:rPr>
      </w:pPr>
    </w:p>
    <w:p>
      <w:pPr>
        <w:jc w:val="both"/>
        <w:ind w:firstLine="256"/>
        <w:spacing w:after="0" w:line="263" w:lineRule="auto"/>
        <w:rPr>
          <w:sz w:val="20"/>
          <w:szCs w:val="20"/>
          <w:color w:val="auto"/>
        </w:rPr>
      </w:pPr>
      <w:r>
        <w:rPr>
          <w:rFonts w:ascii="Times New Roman" w:cs="Times New Roman" w:eastAsia="Times New Roman" w:hAnsi="Times New Roman"/>
          <w:sz w:val="14"/>
          <w:szCs w:val="14"/>
          <w:color w:val="auto"/>
        </w:rPr>
        <w:t>During the six months ended March 31, 2026, the Company entered into three exchange agreements pursuant to which certain outstanding indebtedness and other amounts owed were exchanged for shares of the Company’s Class A Common Stock. Under these agreements, (i) indebtedness of $785 was exchanged for 107,571 shares of Class A Common Stock at an exchange price of $7.30 per share, (ii) outstanding obligations of $1,425 were partially settled through the issuance of shares having an aggregate value of $615, with the remaining balance to be resolved under a separate agreement, and (iii) outstanding amounts owed under a service agreement, including existing and expected invoices or obligations, were exchanged for 15,000 shares of Class A Common Stock. Upon closing, the applicable exchanged obligations were to be cancelled and extinguished in accordance with the terms of the respective agreements.</w:t>
      </w:r>
    </w:p>
    <w:p>
      <w:pPr>
        <w:spacing w:after="0" w:line="142" w:lineRule="exact"/>
        <w:rPr>
          <w:sz w:val="20"/>
          <w:szCs w:val="20"/>
          <w:color w:val="auto"/>
        </w:rPr>
      </w:pPr>
    </w:p>
    <w:p>
      <w:pPr>
        <w:jc w:val="both"/>
        <w:ind w:firstLine="256"/>
        <w:spacing w:after="0" w:line="269" w:lineRule="auto"/>
        <w:rPr>
          <w:sz w:val="20"/>
          <w:szCs w:val="20"/>
          <w:color w:val="auto"/>
        </w:rPr>
      </w:pPr>
      <w:r>
        <w:rPr>
          <w:rFonts w:ascii="Times New Roman" w:cs="Times New Roman" w:eastAsia="Times New Roman" w:hAnsi="Times New Roman"/>
          <w:sz w:val="14"/>
          <w:szCs w:val="14"/>
          <w:color w:val="auto"/>
        </w:rPr>
        <w:t>During the six months ended March 31, 2025, the Company sold 52,173 shares of its Class A Common Stock to an unaffiliated investor for net proceeds of $600. The Company also issued 61,059 shares of its Class A Common Stock to certain vendors in settlement of $700 of accounts payable. In connection therewith, the Company recognized a gain of $147. Also during the six months ended March 31, 2025, holders of 12,500 shares of the Company’s Class B Common Stock elected to convert such shares into the same number of shares of the Company’s Class A Common Stock.</w:t>
      </w:r>
    </w:p>
    <w:p>
      <w:pPr>
        <w:spacing w:after="0" w:line="312" w:lineRule="exact"/>
        <w:rPr>
          <w:sz w:val="20"/>
          <w:szCs w:val="20"/>
          <w:color w:val="auto"/>
        </w:rPr>
      </w:pPr>
    </w:p>
    <w:p>
      <w:pPr>
        <w:jc w:val="both"/>
        <w:ind w:firstLine="256"/>
        <w:spacing w:after="0" w:line="289" w:lineRule="auto"/>
        <w:rPr>
          <w:sz w:val="20"/>
          <w:szCs w:val="20"/>
          <w:color w:val="auto"/>
        </w:rPr>
      </w:pPr>
      <w:r>
        <w:rPr>
          <w:rFonts w:ascii="Times New Roman" w:cs="Times New Roman" w:eastAsia="Times New Roman" w:hAnsi="Times New Roman"/>
          <w:sz w:val="14"/>
          <w:szCs w:val="14"/>
          <w:color w:val="auto"/>
        </w:rPr>
        <w:t>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Issuance of Class A Common Stock</w:t>
      </w:r>
    </w:p>
    <w:p>
      <w:pPr>
        <w:spacing w:after="0" w:line="182" w:lineRule="exact"/>
        <w:rPr>
          <w:sz w:val="20"/>
          <w:szCs w:val="20"/>
          <w:color w:val="auto"/>
        </w:rPr>
      </w:pPr>
    </w:p>
    <w:p>
      <w:pPr>
        <w:jc w:val="both"/>
        <w:ind w:firstLine="256"/>
        <w:spacing w:after="0" w:line="259" w:lineRule="auto"/>
        <w:rPr>
          <w:sz w:val="20"/>
          <w:szCs w:val="20"/>
          <w:color w:val="auto"/>
        </w:rPr>
      </w:pPr>
      <w:r>
        <w:rPr>
          <w:rFonts w:ascii="Times New Roman" w:cs="Times New Roman" w:eastAsia="Times New Roman" w:hAnsi="Times New Roman"/>
          <w:sz w:val="14"/>
          <w:szCs w:val="14"/>
          <w:color w:val="auto"/>
        </w:rPr>
        <w:t>On January 6, 2026, the Company entered into certain securities purchase agreements with unrelated investors relating to a public offering of 3,000,000 shares of its Class A Common Stock at a price to the public of $2.00 per share (the “Offering”).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$5,360, after deducting placement agent fees and commissions and other estimated offering expenses payable by the Company. As a result of the Offering, the Company issued 220,000 shares of its Class A Common Stock to a lender as make-whole shares, pursuant to the terms of a promissory note.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i w:val="1"/>
          <w:iCs w:val="1"/>
          <w:color w:val="auto"/>
        </w:rPr>
        <w:t>At the Market Offering Agreement</w:t>
      </w:r>
    </w:p>
    <w:p>
      <w:pPr>
        <w:spacing w:after="0" w:line="182" w:lineRule="exact"/>
        <w:rPr>
          <w:sz w:val="20"/>
          <w:szCs w:val="20"/>
          <w:color w:val="auto"/>
        </w:rPr>
      </w:pPr>
    </w:p>
    <w:p>
      <w:pPr>
        <w:jc w:val="both"/>
        <w:ind w:firstLine="256"/>
        <w:spacing w:after="0" w:line="289" w:lineRule="auto"/>
        <w:rPr>
          <w:sz w:val="20"/>
          <w:szCs w:val="20"/>
          <w:color w:val="auto"/>
        </w:rPr>
      </w:pPr>
      <w:r>
        <w:rPr>
          <w:rFonts w:ascii="Times New Roman" w:cs="Times New Roman" w:eastAsia="Times New Roman" w:hAnsi="Times New Roman"/>
          <w:sz w:val="14"/>
          <w:szCs w:val="14"/>
          <w:color w:val="auto"/>
        </w:rPr>
        <w:t>On October 21, 2025, the Company entered into an At The Market Offering Agreement (the “ATM Agreement”) with Roth Capital Partners, LLC (“Manager”) under which the Company may offer and sell, from time to time at its sole discretion, up to $15,800 in shares of its Class A Common Stock through the Manager acting in its capacity as its sales agent.</w:t>
      </w:r>
    </w:p>
    <w:p>
      <w:pPr>
        <w:spacing w:after="0" w:line="124" w:lineRule="exact"/>
        <w:rPr>
          <w:sz w:val="20"/>
          <w:szCs w:val="20"/>
          <w:color w:val="auto"/>
        </w:rPr>
      </w:pPr>
    </w:p>
    <w:p>
      <w:pPr>
        <w:jc w:val="both"/>
        <w:ind w:firstLine="256"/>
        <w:spacing w:after="0" w:line="261" w:lineRule="auto"/>
        <w:rPr>
          <w:sz w:val="20"/>
          <w:szCs w:val="20"/>
          <w:color w:val="auto"/>
        </w:rPr>
      </w:pPr>
      <w:r>
        <w:rPr>
          <w:rFonts w:ascii="Times New Roman" w:cs="Times New Roman" w:eastAsia="Times New Roman" w:hAnsi="Times New Roman"/>
          <w:sz w:val="14"/>
          <w:szCs w:val="14"/>
          <w:color w:val="auto"/>
        </w:rPr>
        <w:t>Pursuant to the ATM Agreement, sales of the Common Stock, if any, will be made under the Company’s Registration Statement on Form S-3 (File No. 333-284351) by any method that is deemed to be an “at the market offering” as defined in Rule 415(a)(4) under the Securities Act of 1933, as amended, including privately negotiated and block transactions. The Manager will use commercially reasonable efforts consistent with its normal trading and sales practices and applicable state and federal law, rules and regulations and the rules of The Nasdaq Capital Market to sell the Common Stock from time to time, based upon instructions from the Company (including any price, time or size limits or other customary parameters or conditions the Company may impose). The Company will pay the Manager a commission of three percent of the gross sales proceeds of any Common Stock sold through the Manager under the ATM Agreement and also has provided the Manager with customary indemnification rights. The Company also reimbursed the Manager for certain expenses in connection with entering into the ATM Agreement.</w:t>
      </w:r>
    </w:p>
    <w:p>
      <w:pPr>
        <w:spacing w:after="0" w:line="145" w:lineRule="exact"/>
        <w:rPr>
          <w:sz w:val="20"/>
          <w:szCs w:val="20"/>
          <w:color w:val="auto"/>
        </w:rPr>
      </w:pPr>
    </w:p>
    <w:p>
      <w:pPr>
        <w:jc w:val="both"/>
        <w:ind w:firstLine="256"/>
        <w:spacing w:after="0" w:line="263" w:lineRule="auto"/>
        <w:rPr>
          <w:sz w:val="20"/>
          <w:szCs w:val="20"/>
          <w:color w:val="auto"/>
        </w:rPr>
      </w:pPr>
      <w:r>
        <w:rPr>
          <w:rFonts w:ascii="Times New Roman" w:cs="Times New Roman" w:eastAsia="Times New Roman" w:hAnsi="Times New Roman"/>
          <w:sz w:val="14"/>
          <w:szCs w:val="14"/>
          <w:color w:val="auto"/>
        </w:rPr>
        <w:t>During the six months ended March 31, 2026, the Company sold 191,449 shares of its Class A Common Stock under the ATM Agreement, for net proceeds (after commissions) of $1,254. The amount and timing of future proceeds the Company may receive from the sale of its Class A Common Stock pursuant to the ATM Agreement, if any, will depend on a number of factors, including that the Company is eligible to use the Registration Statement on Form S-3 to sell shares to the Manager, the number of shares the Company may elect to sell, the timing of such sales and the future market price of the Company’s Class A Common stock. As of the date of this Form 10-Q, the Company is unable to sell shares pursuant to the ATM Agreement due to restrictions on the use of the Registration Statement on Form S-3.</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March 31, 2026, the number of shares of Class A Common Stock available for issuance under the Company’s amended and restated articles of incorporation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Authorized number of shares of Class A Common Stock</w:t>
            </w:r>
          </w:p>
        </w:tc>
        <w:tc>
          <w:tcPr>
            <w:tcW w:w="1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285,000,000</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Less:</w:t>
            </w: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 Common Stock outstanding</w:t>
            </w:r>
          </w:p>
        </w:tc>
        <w:tc>
          <w:tcPr>
            <w:tcW w:w="1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10,355,525</w:t>
            </w:r>
          </w:p>
        </w:tc>
        <w:tc>
          <w:tcPr>
            <w:tcW w:w="0" w:type="dxa"/>
            <w:vAlign w:val="bottom"/>
          </w:tcPr>
          <w:p>
            <w:pPr>
              <w:spacing w:after="0"/>
              <w:rPr>
                <w:sz w:val="1"/>
                <w:szCs w:val="1"/>
                <w:color w:val="auto"/>
              </w:rPr>
            </w:pPr>
          </w:p>
        </w:tc>
      </w:tr>
      <w:tr>
        <w:trPr>
          <w:trHeight w:val="171"/>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Reserve for conversion of Class B Common Stock</w:t>
            </w: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200,491</w:t>
            </w: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Reserve for exercise of common stock warrants</w:t>
            </w:r>
          </w:p>
        </w:tc>
        <w:tc>
          <w:tcPr>
            <w:tcW w:w="1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2,608,568</w:t>
            </w:r>
          </w:p>
        </w:tc>
        <w:tc>
          <w:tcPr>
            <w:tcW w:w="0" w:type="dxa"/>
            <w:vAlign w:val="bottom"/>
          </w:tcPr>
          <w:p>
            <w:pPr>
              <w:spacing w:after="0"/>
              <w:rPr>
                <w:sz w:val="1"/>
                <w:szCs w:val="1"/>
                <w:color w:val="auto"/>
              </w:rPr>
            </w:pPr>
          </w:p>
        </w:tc>
      </w:tr>
      <w:tr>
        <w:trPr>
          <w:trHeight w:val="171"/>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Reserve for Earnout shares</w:t>
            </w: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350,000</w:t>
            </w: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options and RSUs</w:t>
            </w:r>
          </w:p>
        </w:tc>
        <w:tc>
          <w:tcPr>
            <w:tcW w:w="1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987,398</w:t>
            </w:r>
          </w:p>
        </w:tc>
        <w:tc>
          <w:tcPr>
            <w:tcW w:w="0" w:type="dxa"/>
            <w:vAlign w:val="bottom"/>
          </w:tcPr>
          <w:p>
            <w:pPr>
              <w:spacing w:after="0"/>
              <w:rPr>
                <w:sz w:val="1"/>
                <w:szCs w:val="1"/>
                <w:color w:val="auto"/>
              </w:rPr>
            </w:pPr>
          </w:p>
        </w:tc>
      </w:tr>
      <w:tr>
        <w:trPr>
          <w:trHeight w:val="171"/>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Awards available for grant under 2023 Equity Incentive Plan</w:t>
            </w: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94,209</w:t>
            </w: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Awards available for grant under 2023 Employee Stock Purchase Plan</w:t>
            </w:r>
          </w:p>
        </w:tc>
        <w:tc>
          <w:tcPr>
            <w:tcW w:w="1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68,705</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Shares of Class A Common Stock available for issuance</w:t>
            </w: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270,335,104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color w:val="auto"/>
              </w:rPr>
              <w:t>The Company has never declared or paid any dividends on any class of its equity securities and does not expect to do so in the near future.</w:t>
            </w: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9260" w:type="dxa"/>
            <w:vAlign w:val="bottom"/>
            <w:gridSpan w:val="5"/>
            <w:vMerge w:val="continue"/>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12 — Warrants</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Outstanding warrants consist of the following:</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 Per Share:</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62"/>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Warrants and Private Warrants - $57.90</w:t>
            </w:r>
          </w:p>
        </w:tc>
        <w:tc>
          <w:tcPr>
            <w:tcW w:w="19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900,000</w:t>
            </w:r>
          </w:p>
        </w:tc>
        <w:tc>
          <w:tcPr>
            <w:tcW w:w="3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900,000</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Other Warrants:</w:t>
            </w: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$0.10</w:t>
            </w:r>
          </w:p>
        </w:tc>
        <w:tc>
          <w:tcPr>
            <w:tcW w:w="44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38,000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38,000</w:t>
            </w:r>
          </w:p>
        </w:tc>
        <w:tc>
          <w:tcPr>
            <w:tcW w:w="0" w:type="dxa"/>
            <w:vAlign w:val="bottom"/>
          </w:tcPr>
          <w:p>
            <w:pPr>
              <w:spacing w:after="0"/>
              <w:rPr>
                <w:sz w:val="1"/>
                <w:szCs w:val="1"/>
                <w:color w:val="auto"/>
              </w:rPr>
            </w:pPr>
          </w:p>
        </w:tc>
      </w:tr>
      <w:tr>
        <w:trPr>
          <w:trHeight w:val="171"/>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$8.20 to $9.60</w:t>
            </w:r>
          </w:p>
        </w:tc>
        <w:tc>
          <w:tcPr>
            <w:tcW w:w="4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632,857</w:t>
            </w:r>
          </w:p>
        </w:tc>
        <w:tc>
          <w:tcPr>
            <w:tcW w:w="320" w:type="dxa"/>
            <w:vAlign w:val="bottom"/>
          </w:tcPr>
          <w:p>
            <w:pPr>
              <w:spacing w:after="0"/>
              <w:rPr>
                <w:sz w:val="14"/>
                <w:szCs w:val="14"/>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632,857</w:t>
            </w: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$10.80 to $11.80</w:t>
            </w:r>
          </w:p>
        </w:tc>
        <w:tc>
          <w:tcPr>
            <w:tcW w:w="4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1,002,075</w:t>
            </w:r>
          </w:p>
        </w:tc>
        <w:tc>
          <w:tcPr>
            <w:tcW w:w="32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902,075</w:t>
            </w:r>
          </w:p>
        </w:tc>
        <w:tc>
          <w:tcPr>
            <w:tcW w:w="0" w:type="dxa"/>
            <w:vAlign w:val="bottom"/>
          </w:tcPr>
          <w:p>
            <w:pPr>
              <w:spacing w:after="0"/>
              <w:rPr>
                <w:sz w:val="1"/>
                <w:szCs w:val="1"/>
                <w:color w:val="auto"/>
              </w:rPr>
            </w:pPr>
          </w:p>
        </w:tc>
      </w:tr>
      <w:tr>
        <w:trPr>
          <w:trHeight w:val="181"/>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$17.38 to $20.00</w:t>
            </w:r>
          </w:p>
        </w:tc>
        <w:tc>
          <w:tcPr>
            <w:tcW w:w="44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35,636</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35,636</w:t>
            </w:r>
          </w:p>
        </w:tc>
        <w:tc>
          <w:tcPr>
            <w:tcW w:w="0" w:type="dxa"/>
            <w:vAlign w:val="bottom"/>
          </w:tcPr>
          <w:p>
            <w:pPr>
              <w:spacing w:after="0"/>
              <w:rPr>
                <w:sz w:val="1"/>
                <w:szCs w:val="1"/>
                <w:color w:val="auto"/>
              </w:rPr>
            </w:pPr>
          </w:p>
        </w:tc>
      </w:tr>
      <w:tr>
        <w:trPr>
          <w:trHeight w:val="161"/>
        </w:trPr>
        <w:tc>
          <w:tcPr>
            <w:tcW w:w="48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9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2,608,568</w:t>
            </w:r>
          </w:p>
        </w:tc>
        <w:tc>
          <w:tcPr>
            <w:tcW w:w="3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2,508,568</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48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color w:val="auto"/>
              </w:rPr>
              <w:t>F-14</w:t>
            </w: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0"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color w:val="auto"/>
        </w:rPr>
        <w:t>Liability-Classified Warrants</w:t>
      </w:r>
    </w:p>
    <w:p>
      <w:pPr>
        <w:spacing w:after="0" w:line="182" w:lineRule="exact"/>
        <w:rPr>
          <w:sz w:val="20"/>
          <w:szCs w:val="20"/>
          <w:color w:val="auto"/>
        </w:rPr>
      </w:pPr>
    </w:p>
    <w:p>
      <w:pPr>
        <w:jc w:val="both"/>
        <w:ind w:firstLine="256"/>
        <w:spacing w:after="0" w:line="263" w:lineRule="auto"/>
        <w:rPr>
          <w:sz w:val="20"/>
          <w:szCs w:val="20"/>
          <w:color w:val="auto"/>
        </w:rPr>
      </w:pPr>
      <w:r>
        <w:rPr>
          <w:rFonts w:ascii="Times New Roman" w:cs="Times New Roman" w:eastAsia="Times New Roman" w:hAnsi="Times New Roman"/>
          <w:sz w:val="14"/>
          <w:szCs w:val="14"/>
          <w:color w:val="auto"/>
        </w:rPr>
        <w:t>The Company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the Company’s stock and were classified as liabilities. At their respective dates of issuance, the Company recognized a liability for each of the liability-classified warrants in the amount of its estimated fair value using the Black-Scholes option-pricing model. The Company subsequently adjusts the carrying amount of the liability for each warrant to its estimated fair value as of the end of each reporting period (or through the warrants’ respective dates of exercise or modification, if earlier).</w:t>
      </w:r>
    </w:p>
    <w:p>
      <w:pPr>
        <w:spacing w:after="0" w:line="142"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On October 24, 2025, the Company entered into amendments to certain liability-classified warrants to purchase an aggregate of 1,337,549 shares of its Class A Common Stock. The amendments revised certain terms of the warrants, including terms that could potentially require cash settlement, such that under the guidance in ASC 480 and ASC 815, the warrants are equity-classified financial instruments. The amendments did not affect any terms of the warrants that are inputs into the estimation of the fair value of warrants under the Black-Scholes option pricing model, which the Company uses to estimate the fair value of warrants.</w:t>
      </w:r>
    </w:p>
    <w:p>
      <w:pPr>
        <w:spacing w:after="0" w:line="140"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As a result of the amendments to the warrants, the Company remeasured the related liabilities to their estimated fair value of $6,912 as of the date of the amendments and reclassified this amount from “Liability-classified warrants” to “Additional paid-in capital” in the condensed consolidated balance sheet. As consideration for these amendments, the Company issued the warrant holder an additional warrant to purchase 100,000 shares of Class A Common Stock at a price of $10.80 per share. The Company recognized the $514 fair value of the additional warrant as an expense, included in “Other non-operating losses, net” in the condensed consolidated statements of operations and comprehensive loss for the six months ended March 31, 2026.</w:t>
      </w:r>
    </w:p>
    <w:p>
      <w:pPr>
        <w:spacing w:after="0" w:line="140"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As a result of changes in the fair value of liability-classified warrants outstanding during the periods, for the six months ended March 31, 2026 and 2025, the Company recognized net non-cash losses of $428 and net non-cash gains of $625, respectively, which are included in “Change in fair value of warrants” in the condensed consolidated statements of operations and comprehensive loss. As of March 31, 2026 and September 30, 2025, the related liabilities of $375 and $6,859, respectively, are included in “Liability-classified warrants” in the condensed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Stock-Based Compensation</w:t>
      </w:r>
    </w:p>
    <w:p>
      <w:pPr>
        <w:spacing w:after="0" w:line="182"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The Company’s 2023 Equity Incentive Plan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March 31, 2026, 94,209 shares of the Company’s Class A Common Stock are available for the grant of awards under the 2023 Equity Incentive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182"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During the six months ended March 31, 2025, the Company and a former employee entered into certain agreements wherein the Company agreed to accelerate the vesting of 99,999 common stock warrants and grant the holder an additional 25,000 warrants to purchase shares of its Class A Common Stock. The warrants are immediately exercisable and have an exercise price of $0.10 per share. Subsequently, the Company agreed to cancel 45,000 of these common stock warrants and replace them with the same number of fully vested RSUs. As a result of the acceleration of vesting and the grant of the warrants, during the six months ended March 31, 2025 the Company recognized additional stock-based compensation expense of $6,917.</w:t>
      </w:r>
    </w:p>
    <w:p>
      <w:pPr>
        <w:sectPr>
          <w:pgSz w:w="11900" w:h="16838" w:orient="portrait"/>
          <w:cols w:equalWidth="0" w:num="1">
            <w:col w:w="11280"/>
          </w:cols>
          <w:pgMar w:left="300" w:top="550" w:right="319" w:bottom="1440" w:gutter="0" w:footer="0" w:header="0"/>
        </w:sectPr>
      </w:pP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activity in the Company’s RSUs for the six months ended March 31, 2026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at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0895" cy="1149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11493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Granted</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60895" cy="1085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1085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Vested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at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089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128905"/>
                    </a:xfrm>
                    <a:prstGeom prst="rect">
                      <a:avLst/>
                    </a:prstGeom>
                    <a:noFill/>
                  </pic:spPr>
                </pic:pic>
              </a:graphicData>
            </a:graphic>
          </wp:anchor>
        </w:drawing>
      </w:r>
    </w:p>
    <w:p>
      <w:pPr>
        <w:spacing w:after="0" w:line="2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1"/>
        </w:trPr>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171"/>
        </w:trPr>
        <w:tc>
          <w:tcPr>
            <w:tcW w:w="22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7"/>
        </w:trPr>
        <w:tc>
          <w:tcPr>
            <w:tcW w:w="224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Unit</w:t>
            </w:r>
          </w:p>
        </w:tc>
      </w:tr>
      <w:tr>
        <w:trPr>
          <w:trHeight w:val="147"/>
        </w:trPr>
        <w:tc>
          <w:tcPr>
            <w:tcW w:w="19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954,562</w:t>
            </w:r>
          </w:p>
        </w:tc>
        <w:tc>
          <w:tcPr>
            <w:tcW w:w="320" w:type="dxa"/>
            <w:vAlign w:val="bottom"/>
          </w:tcPr>
          <w:p>
            <w:pPr>
              <w:spacing w:after="0"/>
              <w:rPr>
                <w:sz w:val="12"/>
                <w:szCs w:val="12"/>
                <w:color w:val="auto"/>
              </w:rPr>
            </w:pPr>
          </w:p>
        </w:tc>
        <w:tc>
          <w:tcPr>
            <w:tcW w:w="240" w:type="dxa"/>
            <w:vAlign w:val="bottom"/>
            <w:tcBorders>
              <w:top w:val="single" w:sz="8" w:color="auto"/>
            </w:tcBorders>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42.10</w:t>
            </w:r>
          </w:p>
        </w:tc>
        <w:tc>
          <w:tcPr>
            <w:tcW w:w="20" w:type="dxa"/>
            <w:vAlign w:val="bottom"/>
          </w:tcPr>
          <w:p>
            <w:pPr>
              <w:spacing w:after="0"/>
              <w:rPr>
                <w:sz w:val="12"/>
                <w:szCs w:val="12"/>
                <w:color w:val="auto"/>
              </w:rPr>
            </w:pPr>
          </w:p>
        </w:tc>
      </w:tr>
      <w:tr>
        <w:trPr>
          <w:trHeight w:val="171"/>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112,326</w:t>
            </w:r>
          </w:p>
        </w:tc>
        <w:tc>
          <w:tcPr>
            <w:tcW w:w="240" w:type="dxa"/>
            <w:vAlign w:val="bottom"/>
          </w:tcPr>
          <w:p>
            <w:pPr>
              <w:spacing w:after="0"/>
              <w:rPr>
                <w:sz w:val="14"/>
                <w:szCs w:val="14"/>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3.14</w:t>
            </w:r>
          </w:p>
        </w:tc>
      </w:tr>
      <w:tr>
        <w:trPr>
          <w:trHeight w:val="171"/>
        </w:trPr>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(20,741)</w:t>
            </w:r>
          </w:p>
        </w:tc>
        <w:tc>
          <w:tcPr>
            <w:tcW w:w="240" w:type="dxa"/>
            <w:vAlign w:val="bottom"/>
          </w:tcPr>
          <w:p>
            <w:pPr>
              <w:spacing w:after="0"/>
              <w:rPr>
                <w:sz w:val="14"/>
                <w:szCs w:val="14"/>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12.69</w:t>
            </w:r>
          </w:p>
        </w:tc>
      </w:tr>
      <w:tr>
        <w:trPr>
          <w:trHeight w:val="195"/>
        </w:trPr>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(486,415)</w:t>
            </w:r>
          </w:p>
        </w:tc>
        <w:tc>
          <w:tcPr>
            <w:tcW w:w="24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36.16</w:t>
            </w:r>
          </w:p>
        </w:tc>
      </w:tr>
      <w:tr>
        <w:trPr>
          <w:trHeight w:val="17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559,732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45.08</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6300" w:space="720"/>
            <w:col w:w="4260"/>
          </w:cols>
          <w:pgMar w:left="300" w:top="550" w:right="319" w:bottom="1440" w:gutter="0" w:footer="0" w:header="0"/>
          <w:type w:val="continuous"/>
        </w:sectPr>
      </w:pPr>
    </w:p>
    <w:bookmarkStart w:id="108" w:name="page109"/>
    <w:bookmarkEnd w:id="108"/>
    <w:p>
      <w:pPr>
        <w:ind w:left="260"/>
        <w:spacing w:after="0"/>
        <w:rPr>
          <w:sz w:val="20"/>
          <w:szCs w:val="20"/>
          <w:color w:val="auto"/>
        </w:rPr>
      </w:pPr>
      <w:r>
        <w:rPr>
          <w:rFonts w:ascii="Times New Roman" w:cs="Times New Roman" w:eastAsia="Times New Roman" w:hAnsi="Times New Roman"/>
          <w:sz w:val="14"/>
          <w:szCs w:val="14"/>
          <w:color w:val="auto"/>
        </w:rPr>
        <w:t>Unrecognized compensation expense related to RSUs was $7,796 as of March 31, 2026 and is expected to be recognized over a weighted-average period of 1.6 years.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Restricted Stock Awards</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1"/>
        </w:trPr>
        <w:tc>
          <w:tcPr>
            <w:tcW w:w="8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 summary of activity in the Company’s RSAs for the six months ended March 31, 2026 is as follows: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5"/>
        </w:trPr>
        <w:tc>
          <w:tcPr>
            <w:tcW w:w="7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1"/>
        </w:trPr>
        <w:tc>
          <w:tcPr>
            <w:tcW w:w="7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71"/>
        </w:trPr>
        <w:tc>
          <w:tcPr>
            <w:tcW w:w="7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171"/>
        </w:trPr>
        <w:tc>
          <w:tcPr>
            <w:tcW w:w="7020" w:type="dxa"/>
            <w:vAlign w:val="bottom"/>
          </w:tcPr>
          <w:p>
            <w:pPr>
              <w:spacing w:after="0"/>
              <w:rPr>
                <w:sz w:val="14"/>
                <w:szCs w:val="14"/>
                <w:color w:val="auto"/>
              </w:rPr>
            </w:pPr>
          </w:p>
        </w:tc>
        <w:tc>
          <w:tcPr>
            <w:tcW w:w="136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7"/>
        </w:trPr>
        <w:tc>
          <w:tcPr>
            <w:tcW w:w="7020" w:type="dxa"/>
            <w:vAlign w:val="bottom"/>
          </w:tcPr>
          <w:p>
            <w:pPr>
              <w:spacing w:after="0"/>
              <w:rPr>
                <w:sz w:val="16"/>
                <w:szCs w:val="16"/>
                <w:color w:val="auto"/>
              </w:rPr>
            </w:pPr>
          </w:p>
        </w:tc>
        <w:tc>
          <w:tcPr>
            <w:tcW w:w="136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62"/>
        </w:trPr>
        <w:tc>
          <w:tcPr>
            <w:tcW w:w="702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September 30, 2025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487,250</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r>
      <w:tr>
        <w:trPr>
          <w:trHeight w:val="181"/>
        </w:trPr>
        <w:tc>
          <w:tcPr>
            <w:tcW w:w="8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Vested</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(71,000)</w:t>
            </w:r>
          </w:p>
        </w:tc>
        <w:tc>
          <w:tcPr>
            <w:tcW w:w="34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r>
      <w:tr>
        <w:trPr>
          <w:trHeight w:val="172"/>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March 31, 2026</w:t>
            </w:r>
          </w:p>
        </w:tc>
        <w:tc>
          <w:tcPr>
            <w:tcW w:w="13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416,250</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6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r>
      <w:tr>
        <w:trPr>
          <w:trHeight w:val="20"/>
        </w:trPr>
        <w:tc>
          <w:tcPr>
            <w:tcW w:w="7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Unrecognized compensation expense related to RSAs was $1,912 as of March 31, 2026 and is expected to be recognized over a weighted-average period of 1.7 years.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Stock Options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Stock option activity for the six months ended March 31, 2026 is as follows: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380" w:type="dxa"/>
            <w:vAlign w:val="bottom"/>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138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0" w:type="dxa"/>
            <w:vAlign w:val="bottom"/>
          </w:tcPr>
          <w:p>
            <w:pPr>
              <w:spacing w:after="0"/>
              <w:rPr>
                <w:sz w:val="1"/>
                <w:szCs w:val="1"/>
                <w:color w:val="auto"/>
              </w:rPr>
            </w:pPr>
          </w:p>
        </w:tc>
      </w:tr>
      <w:tr>
        <w:trPr>
          <w:trHeight w:val="162"/>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September 30, 2025</w:t>
            </w:r>
          </w:p>
        </w:tc>
        <w:tc>
          <w:tcPr>
            <w:tcW w:w="13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245,215</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w:t>
            </w:r>
          </w:p>
        </w:tc>
        <w:tc>
          <w:tcPr>
            <w:tcW w:w="3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Exercised</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(32,353)</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1.70</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(1,124)</w:t>
            </w:r>
          </w:p>
        </w:tc>
        <w:tc>
          <w:tcPr>
            <w:tcW w:w="1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68.40</w:t>
            </w:r>
          </w:p>
        </w:tc>
        <w:tc>
          <w:tcPr>
            <w:tcW w:w="3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Expired</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(1,417)</w:t>
            </w: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50.60</w:t>
            </w:r>
          </w:p>
        </w:tc>
        <w:tc>
          <w:tcPr>
            <w:tcW w:w="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March 31, 2026</w:t>
            </w:r>
          </w:p>
        </w:tc>
        <w:tc>
          <w:tcPr>
            <w:tcW w:w="138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210,321</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20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Exercisable at March 31, 2026</w:t>
            </w: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320" w:type="dxa"/>
            <w:vAlign w:val="bottom"/>
            <w:vMerge w:val="restart"/>
          </w:tcPr>
          <w:p>
            <w:pPr>
              <w:spacing w:after="0" w:line="20" w:lineRule="exact"/>
              <w:rPr>
                <w:sz w:val="1"/>
                <w:szCs w:val="1"/>
                <w:color w:val="auto"/>
              </w:rPr>
            </w:pPr>
          </w:p>
        </w:tc>
        <w:tc>
          <w:tcPr>
            <w:tcW w:w="2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line="20" w:lineRule="exact"/>
              <w:rPr>
                <w:sz w:val="1"/>
                <w:szCs w:val="1"/>
                <w:color w:val="auto"/>
              </w:rPr>
            </w:pPr>
          </w:p>
        </w:tc>
      </w:tr>
      <w:tr>
        <w:trPr>
          <w:trHeight w:val="143"/>
        </w:trPr>
        <w:tc>
          <w:tcPr>
            <w:tcW w:w="4760" w:type="dxa"/>
            <w:vAlign w:val="bottom"/>
            <w:vMerge w:val="continue"/>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205,448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Unrecognized stock-based compensation expense related to stock options, totaling $237 as of March 31, 2026, is expected to be recognized over a weighted-average period of 0.6 months. The aggregate intrinsic value of stock options outstanding and stock options exercisable as of March 31, 2026 was $53 and $53, respectively. The total intrinsic value of options exercised during the six months ended March 31, 2026 and 2025 was $165 and $0, respectively. The total fair value of options that vested during the six months ended March 31, 2026 and 2025 was $224 and $342, respectively. No stock options were granted during the six months ended March 31, 2026 and 2025.</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condensed consolidated statements of operations and comprehensive loss include stock-based compensation expense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3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3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r>
      <w:tr>
        <w:trPr>
          <w:trHeight w:val="161"/>
        </w:trPr>
        <w:tc>
          <w:tcPr>
            <w:tcW w:w="3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 – product</w:t>
            </w:r>
          </w:p>
        </w:tc>
        <w:tc>
          <w:tcPr>
            <w:tcW w:w="1940" w:type="dxa"/>
            <w:vAlign w:val="bottom"/>
            <w:gridSpan w:val="2"/>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48</w:t>
            </w:r>
          </w:p>
        </w:tc>
        <w:tc>
          <w:tcPr>
            <w:tcW w:w="68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42</w:t>
            </w:r>
          </w:p>
        </w:tc>
        <w:tc>
          <w:tcPr>
            <w:tcW w:w="50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w:t>
            </w:r>
          </w:p>
        </w:tc>
      </w:tr>
      <w:tr>
        <w:trPr>
          <w:trHeight w:val="17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 – services</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146</w:t>
            </w:r>
          </w:p>
        </w:tc>
      </w:tr>
      <w:tr>
        <w:trPr>
          <w:trHeight w:val="18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2,351</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3,245</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7,345</w:t>
            </w: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12,950</w:t>
            </w:r>
          </w:p>
        </w:tc>
      </w:tr>
      <w:tr>
        <w:trPr>
          <w:trHeight w:val="172"/>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3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3"/>
        </w:trPr>
        <w:tc>
          <w:tcPr>
            <w:tcW w:w="3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F-16</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1"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color w:val="auto"/>
        </w:rPr>
        <w:t>Note 14 — Fair Value Measurements</w:t>
      </w:r>
    </w:p>
    <w:p>
      <w:pPr>
        <w:spacing w:after="0" w:line="182"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The carrying amounts of the Company’s cash, accounts receivable and accounts payable approximate their fair value due to the short-term nature of these instruments. The Company believes the aggregate carrying value of debt approximates its fair value as of March 31, 2026 and September 30, 2025 because the notes payable, the 7% promissory notes - related parties and the notes payable - related parties each mature within one to two years of the respective balance sheet dates.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Hierarchy</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Liabilities measured at fair value on a recurring basis as of March 31, 2026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Earnout liability</w:t>
            </w:r>
          </w:p>
        </w:tc>
        <w:tc>
          <w:tcPr>
            <w:tcW w:w="13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81"/>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Liability-classified warrants</w:t>
            </w: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Pr>
          <w:p>
            <w:pPr>
              <w:spacing w:after="0"/>
              <w:rPr>
                <w:sz w:val="15"/>
                <w:szCs w:val="15"/>
                <w:color w:val="auto"/>
              </w:rPr>
            </w:pPr>
          </w:p>
        </w:tc>
      </w:tr>
      <w:tr>
        <w:trPr>
          <w:trHeight w:val="161"/>
        </w:trPr>
        <w:tc>
          <w:tcPr>
            <w:tcW w:w="29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92"/>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480" w:type="dxa"/>
            <w:vAlign w:val="bottom"/>
            <w:gridSpan w:val="2"/>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32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tcPr>
          <w:p>
            <w:pPr>
              <w:spacing w:after="0"/>
              <w:rPr>
                <w:sz w:val="16"/>
                <w:szCs w:val="16"/>
                <w:color w:val="auto"/>
              </w:rPr>
            </w:pPr>
          </w:p>
        </w:tc>
      </w:tr>
      <w:tr>
        <w:trPr>
          <w:trHeight w:val="20"/>
        </w:trPr>
        <w:tc>
          <w:tcPr>
            <w:tcW w:w="2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The Company classifies the earnout liability and the liability-classified warrants as Level 3 financial instruments due to the judgment required to develop the assumptions used and the significance of those assumptions to the fair value measurement. No financial instruments were transferred between levels of the fair value hierarchy during the six months ended March 31, 2026 or 2025. The following table provides a reconciliation of the balance of financial instruments measured at fair value on a recurring basis using Level 3 inputs:</w:t>
      </w:r>
    </w:p>
    <w:p>
      <w:pPr>
        <w:sectPr>
          <w:pgSz w:w="11900" w:h="16838" w:orient="portrait"/>
          <w:cols w:equalWidth="0" w:num="1">
            <w:col w:w="11280"/>
          </w:cols>
          <w:pgMar w:left="300" w:top="549" w:right="319" w:bottom="1440" w:gutter="0" w:footer="0" w:header="0"/>
        </w:sect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March 31, 2026: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September 30, 2025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Reclassification of warrant liabilities to equity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 in fair value included in net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March 31, 2026</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186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Earnout</w:t>
            </w:r>
          </w:p>
        </w:tc>
        <w:tc>
          <w:tcPr>
            <w:tcW w:w="240" w:type="dxa"/>
            <w:vAlign w:val="bottom"/>
          </w:tcPr>
          <w:p>
            <w:pPr>
              <w:spacing w:after="0"/>
              <w:rPr>
                <w:sz w:val="14"/>
                <w:szCs w:val="14"/>
                <w:color w:val="auto"/>
              </w:rPr>
            </w:pPr>
          </w:p>
        </w:tc>
        <w:tc>
          <w:tcPr>
            <w:tcW w:w="17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r>
      <w:tr>
        <w:trPr>
          <w:trHeight w:val="187"/>
        </w:trPr>
        <w:tc>
          <w:tcPr>
            <w:tcW w:w="380" w:type="dxa"/>
            <w:vAlign w:val="bottom"/>
          </w:tcPr>
          <w:p>
            <w:pPr>
              <w:spacing w:after="0"/>
              <w:rPr>
                <w:sz w:val="16"/>
                <w:szCs w:val="16"/>
                <w:color w:val="auto"/>
              </w:rPr>
            </w:pPr>
          </w:p>
        </w:tc>
        <w:tc>
          <w:tcPr>
            <w:tcW w:w="186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40" w:type="dxa"/>
            <w:vAlign w:val="bottom"/>
          </w:tcPr>
          <w:p>
            <w:pPr>
              <w:spacing w:after="0"/>
              <w:rPr>
                <w:sz w:val="16"/>
                <w:szCs w:val="16"/>
                <w:color w:val="auto"/>
              </w:rPr>
            </w:pPr>
          </w:p>
        </w:tc>
        <w:tc>
          <w:tcPr>
            <w:tcW w:w="17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147"/>
        </w:trPr>
        <w:tc>
          <w:tcPr>
            <w:tcW w:w="38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1,240</w:t>
            </w:r>
          </w:p>
        </w:tc>
        <w:tc>
          <w:tcPr>
            <w:tcW w:w="320" w:type="dxa"/>
            <w:vAlign w:val="bottom"/>
          </w:tcPr>
          <w:p>
            <w:pPr>
              <w:spacing w:after="0"/>
              <w:rPr>
                <w:sz w:val="12"/>
                <w:szCs w:val="12"/>
                <w:color w:val="auto"/>
              </w:rPr>
            </w:pPr>
          </w:p>
        </w:tc>
        <w:tc>
          <w:tcPr>
            <w:tcW w:w="240" w:type="dxa"/>
            <w:vAlign w:val="bottom"/>
            <w:tcBorders>
              <w:top w:val="single" w:sz="8" w:color="auto"/>
            </w:tcBorders>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6,859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380" w:type="dxa"/>
            <w:vAlign w:val="bottom"/>
          </w:tcPr>
          <w:p>
            <w:pPr>
              <w:spacing w:after="0"/>
              <w:rPr>
                <w:sz w:val="14"/>
                <w:szCs w:val="14"/>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(6,912)</w:t>
            </w:r>
          </w:p>
        </w:tc>
      </w:tr>
      <w:tr>
        <w:trPr>
          <w:trHeight w:val="196"/>
        </w:trPr>
        <w:tc>
          <w:tcPr>
            <w:tcW w:w="380" w:type="dxa"/>
            <w:vAlign w:val="bottom"/>
          </w:tcPr>
          <w:p>
            <w:pPr>
              <w:spacing w:after="0"/>
              <w:rPr>
                <w:sz w:val="17"/>
                <w:szCs w:val="17"/>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(960)</w:t>
            </w:r>
          </w:p>
        </w:tc>
        <w:tc>
          <w:tcPr>
            <w:tcW w:w="2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428</w:t>
            </w:r>
          </w:p>
        </w:tc>
        <w:tc>
          <w:tcPr>
            <w:tcW w:w="20" w:type="dxa"/>
            <w:vAlign w:val="bottom"/>
          </w:tcPr>
          <w:p>
            <w:pPr>
              <w:spacing w:after="0"/>
              <w:rPr>
                <w:sz w:val="17"/>
                <w:szCs w:val="17"/>
                <w:color w:val="auto"/>
              </w:rPr>
            </w:pPr>
          </w:p>
        </w:tc>
      </w:tr>
      <w:tr>
        <w:trPr>
          <w:trHeight w:val="353"/>
        </w:trPr>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32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375</w:t>
            </w:r>
          </w:p>
        </w:tc>
        <w:tc>
          <w:tcPr>
            <w:tcW w:w="20" w:type="dxa"/>
            <w:vAlign w:val="bottom"/>
          </w:tcPr>
          <w:p>
            <w:pPr>
              <w:spacing w:after="0"/>
              <w:rPr>
                <w:sz w:val="24"/>
                <w:szCs w:val="24"/>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-372110</wp:posOffset>
            </wp:positionV>
            <wp:extent cx="7160895" cy="1149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11493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-141605</wp:posOffset>
            </wp:positionV>
            <wp:extent cx="7160895"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12890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-595630</wp:posOffset>
            </wp:positionV>
            <wp:extent cx="7160895" cy="1149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11493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6300" w:space="720"/>
            <w:col w:w="4260"/>
          </w:cols>
          <w:pgMar w:left="300" w:top="549"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March 31, 2025:</w:t>
            </w:r>
          </w:p>
        </w:tc>
        <w:tc>
          <w:tcPr>
            <w:tcW w:w="14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Earnout</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0" w:type="dxa"/>
            <w:vAlign w:val="bottom"/>
          </w:tcPr>
          <w:p>
            <w:pPr>
              <w:spacing w:after="0"/>
              <w:rPr>
                <w:sz w:val="1"/>
                <w:szCs w:val="1"/>
                <w:color w:val="auto"/>
              </w:rPr>
            </w:pPr>
          </w:p>
        </w:tc>
      </w:tr>
      <w:tr>
        <w:trPr>
          <w:trHeight w:val="187"/>
        </w:trPr>
        <w:tc>
          <w:tcPr>
            <w:tcW w:w="7020" w:type="dxa"/>
            <w:vAlign w:val="bottom"/>
            <w:gridSpan w:val="2"/>
            <w:vMerge w:val="continue"/>
          </w:tcPr>
          <w:p>
            <w:pPr>
              <w:spacing w:after="0"/>
              <w:rPr>
                <w:sz w:val="16"/>
                <w:szCs w:val="16"/>
                <w:color w:val="auto"/>
              </w:rPr>
            </w:pPr>
          </w:p>
        </w:tc>
        <w:tc>
          <w:tcPr>
            <w:tcW w:w="14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62"/>
        </w:trPr>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2024</w:t>
            </w:r>
          </w:p>
        </w:tc>
        <w:tc>
          <w:tcPr>
            <w:tcW w:w="24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ind w:right="127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fair value included in net loss</w:t>
            </w:r>
          </w:p>
        </w:tc>
        <w:tc>
          <w:tcPr>
            <w:tcW w:w="140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(280)</w:t>
            </w:r>
          </w:p>
        </w:tc>
        <w:tc>
          <w:tcPr>
            <w:tcW w:w="240" w:type="dxa"/>
            <w:vAlign w:val="bottom"/>
          </w:tcPr>
          <w:p>
            <w:pPr>
              <w:spacing w:after="0"/>
              <w:rPr>
                <w:sz w:val="15"/>
                <w:szCs w:val="15"/>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61"/>
        </w:trPr>
        <w:tc>
          <w:tcPr>
            <w:tcW w:w="67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March 31, 2025</w:t>
            </w:r>
          </w:p>
        </w:tc>
        <w:tc>
          <w:tcPr>
            <w:tcW w:w="1400" w:type="dxa"/>
            <w:vAlign w:val="bottom"/>
          </w:tcPr>
          <w:p>
            <w:pPr>
              <w:jc w:val="right"/>
              <w:ind w:right="127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32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1,514</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Liability-Classified Warrants</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02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As of March 31, 2026, liability-classified warrants consist of the Private Warrants. The Company estimates the fair value of the Private Warrants based on quoted market prices for the Public Warrants, which have substantially the same economic characteristics. As of September 30, 2025, the Company estimated the fair value of liability-classified warrants (other than the Private Warrants)—including those amended during the six months ended March 31, 2026—using the Black-Scholes option pricing model. The following table summarizes the significant assumptions used in estimating the fair value of liability-classified warrants under the Black-Scholes option pricing model:</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3300" w:type="dxa"/>
            <w:vAlign w:val="bottom"/>
            <w:tcBorders>
              <w:bottom w:val="single" w:sz="8" w:color="CCEEFF"/>
            </w:tcBorders>
          </w:tcPr>
          <w:p>
            <w:pPr>
              <w:spacing w:after="0"/>
              <w:rPr>
                <w:sz w:val="16"/>
                <w:szCs w:val="16"/>
                <w:color w:val="auto"/>
              </w:rPr>
            </w:pPr>
          </w:p>
        </w:tc>
        <w:tc>
          <w:tcPr>
            <w:tcW w:w="5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r>
      <w:tr>
        <w:trPr>
          <w:trHeight w:val="16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59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shd w:val="clear" w:color="auto" w:fill="CCEEFF"/>
          </w:tcPr>
          <w:p>
            <w:pPr>
              <w:spacing w:after="0"/>
              <w:rPr>
                <w:sz w:val="14"/>
                <w:szCs w:val="14"/>
                <w:color w:val="auto"/>
              </w:rPr>
            </w:pPr>
          </w:p>
        </w:tc>
      </w:tr>
      <w:tr>
        <w:trPr>
          <w:trHeight w:val="171"/>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79.0%</w:t>
            </w:r>
          </w:p>
        </w:tc>
      </w:tr>
      <w:tr>
        <w:trPr>
          <w:trHeight w:val="17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5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 – 4.9 years</w:t>
            </w:r>
          </w:p>
        </w:tc>
      </w:tr>
      <w:tr>
        <w:trPr>
          <w:trHeight w:val="327"/>
        </w:trPr>
        <w:tc>
          <w:tcPr>
            <w:tcW w:w="330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gridSpan w:val="2"/>
          </w:tcPr>
          <w:p>
            <w:pPr>
              <w:jc w:val="right"/>
              <w:ind w:right="3689"/>
              <w:spacing w:after="0"/>
              <w:rPr>
                <w:sz w:val="20"/>
                <w:szCs w:val="20"/>
                <w:color w:val="auto"/>
              </w:rPr>
            </w:pPr>
            <w:r>
              <w:rPr>
                <w:rFonts w:ascii="Times New Roman" w:cs="Times New Roman" w:eastAsia="Times New Roman" w:hAnsi="Times New Roman"/>
                <w:sz w:val="14"/>
                <w:szCs w:val="14"/>
                <w:color w:val="auto"/>
              </w:rPr>
              <w:t>F-17</w:t>
            </w: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49" w:right="31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color w:val="auto"/>
        </w:rPr>
        <w:t>Earnout Liability</w:t>
      </w:r>
    </w:p>
    <w:p>
      <w:pPr>
        <w:spacing w:after="0" w:line="182" w:lineRule="exact"/>
        <w:rPr>
          <w:sz w:val="20"/>
          <w:szCs w:val="20"/>
          <w:color w:val="auto"/>
        </w:rPr>
      </w:pPr>
    </w:p>
    <w:p>
      <w:pPr>
        <w:jc w:val="both"/>
        <w:ind w:firstLine="256"/>
        <w:spacing w:after="0" w:line="289" w:lineRule="auto"/>
        <w:rPr>
          <w:sz w:val="20"/>
          <w:szCs w:val="20"/>
          <w:color w:val="auto"/>
        </w:rPr>
      </w:pPr>
      <w:r>
        <w:rPr>
          <w:rFonts w:ascii="Times New Roman" w:cs="Times New Roman" w:eastAsia="Times New Roman" w:hAnsi="Times New Roman"/>
          <w:sz w:val="14"/>
          <w:szCs w:val="14"/>
          <w:color w:val="auto"/>
        </w:rPr>
        <w:t>The Company estimates the fair value of the earnout liability using a Monte Carlo simulation model that utilizes significant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34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69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r>
      <w:tr>
        <w:trPr>
          <w:trHeight w:val="16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1340" w:type="dxa"/>
            <w:vAlign w:val="bottom"/>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shd w:val="clear" w:color="auto" w:fill="CCEEFF"/>
          </w:tcPr>
          <w:p>
            <w:pPr>
              <w:spacing w:after="0"/>
              <w:rPr>
                <w:sz w:val="14"/>
                <w:szCs w:val="14"/>
                <w:color w:val="auto"/>
              </w:rPr>
            </w:pPr>
          </w:p>
        </w:tc>
      </w:tr>
      <w:tr>
        <w:trPr>
          <w:trHeight w:val="171"/>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3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90.0%</w:t>
            </w:r>
          </w:p>
        </w:tc>
        <w:tc>
          <w:tcPr>
            <w:tcW w:w="30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71"/>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1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w:t>
            </w:r>
          </w:p>
        </w:tc>
        <w:tc>
          <w:tcPr>
            <w:tcW w:w="3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134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5.7 years</w:t>
            </w:r>
          </w:p>
        </w:tc>
        <w:tc>
          <w:tcPr>
            <w:tcW w:w="300" w:type="dxa"/>
            <w:vAlign w:val="bottom"/>
          </w:tcPr>
          <w:p>
            <w:pPr>
              <w:spacing w:after="0"/>
              <w:rPr>
                <w:sz w:val="16"/>
                <w:szCs w:val="16"/>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 years</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Net Loss Per Share</w:t>
      </w:r>
    </w:p>
    <w:p>
      <w:pPr>
        <w:spacing w:after="0" w:line="182" w:lineRule="exact"/>
        <w:rPr>
          <w:sz w:val="20"/>
          <w:szCs w:val="20"/>
          <w:color w:val="auto"/>
        </w:rPr>
      </w:pPr>
    </w:p>
    <w:p>
      <w:pPr>
        <w:jc w:val="both"/>
        <w:ind w:firstLine="256"/>
        <w:spacing w:after="0" w:line="261" w:lineRule="auto"/>
        <w:rPr>
          <w:sz w:val="20"/>
          <w:szCs w:val="20"/>
          <w:color w:val="auto"/>
        </w:rPr>
      </w:pPr>
      <w:r>
        <w:rPr>
          <w:rFonts w:ascii="Times New Roman" w:cs="Times New Roman" w:eastAsia="Times New Roman" w:hAnsi="Times New Roman"/>
          <w:sz w:val="14"/>
          <w:szCs w:val="14"/>
          <w:color w:val="auto"/>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spacing w:after="0" w:line="145"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14"/>
                <w:szCs w:val="14"/>
                <w:color w:val="auto"/>
              </w:rPr>
            </w:pPr>
          </w:p>
        </w:tc>
        <w:tc>
          <w:tcPr>
            <w:tcW w:w="11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14"/>
                <w:szCs w:val="14"/>
                <w:color w:val="auto"/>
              </w:rPr>
            </w:pPr>
          </w:p>
        </w:tc>
        <w:tc>
          <w:tcPr>
            <w:tcW w:w="11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4"/>
                <w:szCs w:val="14"/>
                <w:color w:val="auto"/>
              </w:rPr>
            </w:pPr>
          </w:p>
        </w:tc>
      </w:tr>
      <w:tr>
        <w:trPr>
          <w:trHeight w:val="161"/>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net loss per share:</w:t>
            </w:r>
          </w:p>
        </w:tc>
        <w:tc>
          <w:tcPr>
            <w:tcW w:w="2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Numerator:</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Allocation of net loss</w:t>
            </w:r>
          </w:p>
        </w:tc>
        <w:tc>
          <w:tcPr>
            <w:tcW w:w="56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4"/>
                <w:szCs w:val="14"/>
                <w:color w:val="auto"/>
              </w:rPr>
              <w:t>(5,734)</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(119)</w:t>
            </w:r>
          </w:p>
        </w:tc>
        <w:tc>
          <w:tcPr>
            <w:tcW w:w="46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(2,177)</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(114)</w:t>
            </w:r>
          </w:p>
        </w:tc>
      </w:tr>
      <w:tr>
        <w:trPr>
          <w:trHeight w:val="17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Denominator:</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Weighted-average shares outstanding</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4"/>
                <w:szCs w:val="14"/>
                <w:color w:val="auto"/>
              </w:rPr>
              <w:t>9,638,233</w:t>
            </w:r>
          </w:p>
        </w:tc>
        <w:tc>
          <w:tcPr>
            <w:tcW w:w="3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200,491</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3,822,890</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200,491</w:t>
            </w:r>
          </w:p>
        </w:tc>
      </w:tr>
      <w:tr>
        <w:trPr>
          <w:trHeight w:val="212"/>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Basic net loss per share</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340" w:type="dxa"/>
            <w:vAlign w:val="bottom"/>
            <w:tcBorders>
              <w:bottom w:val="single" w:sz="8" w:color="CCEEFF"/>
            </w:tcBorders>
          </w:tcPr>
          <w:p>
            <w:pPr>
              <w:jc w:val="right"/>
              <w:ind w:right="25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2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3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r>
      <w:tr>
        <w:trPr>
          <w:trHeight w:val="143"/>
        </w:trPr>
        <w:tc>
          <w:tcPr>
            <w:tcW w:w="4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1"/>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Numerator:</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4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Allocation of net loss</w:t>
            </w:r>
          </w:p>
        </w:tc>
        <w:tc>
          <w:tcPr>
            <w:tcW w:w="56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(5,734)</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(119)</w:t>
            </w:r>
          </w:p>
        </w:tc>
        <w:tc>
          <w:tcPr>
            <w:tcW w:w="46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(2,177)</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(114)</w:t>
            </w:r>
          </w:p>
        </w:tc>
      </w:tr>
      <w:tr>
        <w:trPr>
          <w:trHeight w:val="156"/>
        </w:trPr>
        <w:tc>
          <w:tcPr>
            <w:tcW w:w="4060" w:type="dxa"/>
            <w:vAlign w:val="bottom"/>
            <w:shd w:val="clear" w:color="auto" w:fill="CCEEFF"/>
          </w:tcPr>
          <w:p>
            <w:pPr>
              <w:ind w:left="280"/>
              <w:spacing w:after="0" w:line="156" w:lineRule="exact"/>
              <w:rPr>
                <w:sz w:val="20"/>
                <w:szCs w:val="20"/>
                <w:color w:val="auto"/>
              </w:rPr>
            </w:pPr>
            <w:r>
              <w:rPr>
                <w:rFonts w:ascii="Times New Roman" w:cs="Times New Roman" w:eastAsia="Times New Roman" w:hAnsi="Times New Roman"/>
                <w:sz w:val="14"/>
                <w:szCs w:val="14"/>
                <w:color w:val="auto"/>
              </w:rPr>
              <w:t>Reallocation of net loss as a result of conversion of Class B to</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6"/>
        </w:trPr>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A Common Stock</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4"/>
                <w:szCs w:val="14"/>
                <w:color w:val="auto"/>
              </w:rPr>
              <w:t>(119)</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(114)</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4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Allocation of net loss</w:t>
            </w:r>
          </w:p>
        </w:tc>
        <w:tc>
          <w:tcPr>
            <w:tcW w:w="240" w:type="dxa"/>
            <w:vAlign w:val="bottom"/>
          </w:tcPr>
          <w:p>
            <w:pPr>
              <w:spacing w:after="0"/>
              <w:rPr>
                <w:sz w:val="14"/>
                <w:szCs w:val="14"/>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(5,853)</w:t>
            </w:r>
          </w:p>
        </w:tc>
        <w:tc>
          <w:tcPr>
            <w:tcW w:w="340" w:type="dxa"/>
            <w:vAlign w:val="bottom"/>
          </w:tcPr>
          <w:p>
            <w:pPr>
              <w:spacing w:after="0"/>
              <w:rPr>
                <w:sz w:val="14"/>
                <w:szCs w:val="14"/>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320" w:type="dxa"/>
            <w:vAlign w:val="bottom"/>
          </w:tcPr>
          <w:p>
            <w:pPr>
              <w:spacing w:after="0"/>
              <w:rPr>
                <w:sz w:val="14"/>
                <w:szCs w:val="14"/>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4"/>
                <w:szCs w:val="14"/>
                <w:color w:val="auto"/>
              </w:rPr>
            </w:pPr>
          </w:p>
        </w:tc>
      </w:tr>
      <w:tr>
        <w:trPr>
          <w:trHeight w:val="171"/>
        </w:trPr>
        <w:tc>
          <w:tcPr>
            <w:tcW w:w="4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Denominator:</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Number of shares used in basic earnings per share calculation</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4"/>
                <w:szCs w:val="14"/>
                <w:color w:val="auto"/>
              </w:rPr>
              <w:t>9,638,233</w:t>
            </w: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200,491</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3,822,890</w:t>
            </w: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200,491</w:t>
            </w:r>
          </w:p>
        </w:tc>
      </w:tr>
      <w:tr>
        <w:trPr>
          <w:trHeight w:val="181"/>
        </w:trPr>
        <w:tc>
          <w:tcPr>
            <w:tcW w:w="4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Conversion of Class B to Class A Common Stock</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200,491</w:t>
            </w:r>
          </w:p>
        </w:tc>
        <w:tc>
          <w:tcPr>
            <w:tcW w:w="320" w:type="dxa"/>
            <w:vAlign w:val="bottom"/>
          </w:tcPr>
          <w:p>
            <w:pPr>
              <w:spacing w:after="0"/>
              <w:rPr>
                <w:sz w:val="15"/>
                <w:szCs w:val="15"/>
                <w:color w:val="auto"/>
              </w:rPr>
            </w:pPr>
          </w:p>
        </w:tc>
        <w:tc>
          <w:tcPr>
            <w:tcW w:w="13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200,491</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40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Number of shares used in per share computation</w:t>
            </w:r>
          </w:p>
        </w:tc>
        <w:tc>
          <w:tcPr>
            <w:tcW w:w="2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9,838,724</w:t>
            </w:r>
          </w:p>
        </w:tc>
        <w:tc>
          <w:tcPr>
            <w:tcW w:w="3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200,491</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4,023,381</w:t>
            </w: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200,491</w:t>
            </w:r>
          </w:p>
        </w:tc>
        <w:tc>
          <w:tcPr>
            <w:tcW w:w="100" w:type="dxa"/>
            <w:vAlign w:val="bottom"/>
            <w:tcBorders>
              <w:top w:val="single" w:sz="8" w:color="CCEEFF"/>
            </w:tcBorders>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340" w:type="dxa"/>
            <w:vAlign w:val="bottom"/>
          </w:tcPr>
          <w:p>
            <w:pPr>
              <w:jc w:val="right"/>
              <w:ind w:right="25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32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3"/>
        </w:trPr>
        <w:tc>
          <w:tcPr>
            <w:tcW w:w="4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F-18</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0" w:right="31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ind w:right="1079"/>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14"/>
                <w:szCs w:val="14"/>
                <w:color w:val="auto"/>
              </w:rPr>
            </w:pPr>
          </w:p>
        </w:tc>
        <w:tc>
          <w:tcPr>
            <w:tcW w:w="11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14"/>
                <w:szCs w:val="14"/>
                <w:color w:val="auto"/>
              </w:rPr>
            </w:pPr>
          </w:p>
        </w:tc>
        <w:tc>
          <w:tcPr>
            <w:tcW w:w="11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gridSpan w:val="2"/>
          </w:tcPr>
          <w:p>
            <w:pPr>
              <w:spacing w:after="0"/>
              <w:rPr>
                <w:sz w:val="14"/>
                <w:szCs w:val="14"/>
                <w:color w:val="auto"/>
              </w:rPr>
            </w:pPr>
          </w:p>
        </w:tc>
      </w:tr>
      <w:tr>
        <w:trPr>
          <w:trHeight w:val="161"/>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net loss per share:</w:t>
            </w:r>
          </w:p>
        </w:tc>
        <w:tc>
          <w:tcPr>
            <w:tcW w:w="2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Numerator:</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Allocation of net loss</w:t>
            </w:r>
          </w:p>
        </w:tc>
        <w:tc>
          <w:tcPr>
            <w:tcW w:w="56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4"/>
                <w:szCs w:val="14"/>
                <w:color w:val="auto"/>
              </w:rPr>
              <w:t>(15,580)</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(398)</w:t>
            </w:r>
          </w:p>
        </w:tc>
        <w:tc>
          <w:tcPr>
            <w:tcW w:w="46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(20,974)</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(1,156)</w:t>
            </w:r>
          </w:p>
        </w:tc>
      </w:tr>
      <w:tr>
        <w:trPr>
          <w:trHeight w:val="17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Denominator:</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1"/>
        </w:trPr>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Weighted-average shares outstanding</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4"/>
                <w:szCs w:val="14"/>
                <w:color w:val="auto"/>
              </w:rPr>
              <w:t>7,857,772</w:t>
            </w:r>
          </w:p>
        </w:tc>
        <w:tc>
          <w:tcPr>
            <w:tcW w:w="3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200,491</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3,726,645</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205,367</w:t>
            </w:r>
          </w:p>
        </w:tc>
        <w:tc>
          <w:tcPr>
            <w:tcW w:w="80" w:type="dxa"/>
            <w:vAlign w:val="bottom"/>
            <w:shd w:val="clear" w:color="auto" w:fill="CCEEFF"/>
          </w:tcPr>
          <w:p>
            <w:pPr>
              <w:spacing w:after="0"/>
              <w:rPr>
                <w:sz w:val="15"/>
                <w:szCs w:val="15"/>
                <w:color w:val="auto"/>
              </w:rPr>
            </w:pPr>
          </w:p>
        </w:tc>
      </w:tr>
      <w:tr>
        <w:trPr>
          <w:trHeight w:val="212"/>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Basic net loss per share</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340" w:type="dxa"/>
            <w:vAlign w:val="bottom"/>
            <w:tcBorders>
              <w:bottom w:val="single" w:sz="8" w:color="CCEEFF"/>
            </w:tcBorders>
          </w:tcPr>
          <w:p>
            <w:pPr>
              <w:jc w:val="right"/>
              <w:ind w:right="25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3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43"/>
        </w:trPr>
        <w:tc>
          <w:tcPr>
            <w:tcW w:w="4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1"/>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Numerator:</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1"/>
        </w:trPr>
        <w:tc>
          <w:tcPr>
            <w:tcW w:w="4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Allocation of net loss</w:t>
            </w:r>
          </w:p>
        </w:tc>
        <w:tc>
          <w:tcPr>
            <w:tcW w:w="56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(15,580)</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(398)</w:t>
            </w:r>
          </w:p>
        </w:tc>
        <w:tc>
          <w:tcPr>
            <w:tcW w:w="46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(20,974)</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(1,156)</w:t>
            </w:r>
          </w:p>
        </w:tc>
      </w:tr>
      <w:tr>
        <w:trPr>
          <w:trHeight w:val="156"/>
        </w:trPr>
        <w:tc>
          <w:tcPr>
            <w:tcW w:w="4060" w:type="dxa"/>
            <w:vAlign w:val="bottom"/>
            <w:shd w:val="clear" w:color="auto" w:fill="CCEEFF"/>
          </w:tcPr>
          <w:p>
            <w:pPr>
              <w:ind w:left="280"/>
              <w:spacing w:after="0" w:line="156" w:lineRule="exact"/>
              <w:rPr>
                <w:sz w:val="20"/>
                <w:szCs w:val="20"/>
                <w:color w:val="auto"/>
              </w:rPr>
            </w:pPr>
            <w:r>
              <w:rPr>
                <w:rFonts w:ascii="Times New Roman" w:cs="Times New Roman" w:eastAsia="Times New Roman" w:hAnsi="Times New Roman"/>
                <w:sz w:val="14"/>
                <w:szCs w:val="14"/>
                <w:color w:val="auto"/>
              </w:rPr>
              <w:t>Reallocation of net loss as a result of conversion of Class B to</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96"/>
        </w:trPr>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A Common Stock</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4"/>
                <w:szCs w:val="14"/>
                <w:color w:val="auto"/>
              </w:rPr>
              <w:t>(398)</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(1,156)</w:t>
            </w:r>
          </w:p>
        </w:tc>
        <w:tc>
          <w:tcPr>
            <w:tcW w:w="3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4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Allocation of net loss</w:t>
            </w:r>
          </w:p>
        </w:tc>
        <w:tc>
          <w:tcPr>
            <w:tcW w:w="240" w:type="dxa"/>
            <w:vAlign w:val="bottom"/>
          </w:tcPr>
          <w:p>
            <w:pPr>
              <w:spacing w:after="0"/>
              <w:rPr>
                <w:sz w:val="14"/>
                <w:szCs w:val="14"/>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(15,978)</w:t>
            </w:r>
          </w:p>
        </w:tc>
        <w:tc>
          <w:tcPr>
            <w:tcW w:w="340" w:type="dxa"/>
            <w:vAlign w:val="bottom"/>
          </w:tcPr>
          <w:p>
            <w:pPr>
              <w:spacing w:after="0"/>
              <w:rPr>
                <w:sz w:val="14"/>
                <w:szCs w:val="14"/>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(22,130)</w:t>
            </w:r>
          </w:p>
        </w:tc>
        <w:tc>
          <w:tcPr>
            <w:tcW w:w="320" w:type="dxa"/>
            <w:vAlign w:val="bottom"/>
          </w:tcPr>
          <w:p>
            <w:pPr>
              <w:spacing w:after="0"/>
              <w:rPr>
                <w:sz w:val="14"/>
                <w:szCs w:val="14"/>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gridSpan w:val="2"/>
          </w:tcPr>
          <w:p>
            <w:pPr>
              <w:spacing w:after="0"/>
              <w:rPr>
                <w:sz w:val="14"/>
                <w:szCs w:val="14"/>
                <w:color w:val="auto"/>
              </w:rPr>
            </w:pPr>
          </w:p>
        </w:tc>
      </w:tr>
      <w:tr>
        <w:trPr>
          <w:trHeight w:val="171"/>
        </w:trPr>
        <w:tc>
          <w:tcPr>
            <w:tcW w:w="4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Denominator:</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Number of shares used in basic earnings per share calculation</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4"/>
                <w:szCs w:val="14"/>
                <w:color w:val="auto"/>
              </w:rPr>
              <w:t>7,857,772</w:t>
            </w: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200,491</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3,726,645</w:t>
            </w: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205,367</w:t>
            </w:r>
          </w:p>
        </w:tc>
        <w:tc>
          <w:tcPr>
            <w:tcW w:w="80" w:type="dxa"/>
            <w:vAlign w:val="bottom"/>
            <w:shd w:val="clear" w:color="auto" w:fill="CCEEFF"/>
          </w:tcPr>
          <w:p>
            <w:pPr>
              <w:spacing w:after="0"/>
              <w:rPr>
                <w:sz w:val="14"/>
                <w:szCs w:val="14"/>
                <w:color w:val="auto"/>
              </w:rPr>
            </w:pPr>
          </w:p>
        </w:tc>
      </w:tr>
      <w:tr>
        <w:trPr>
          <w:trHeight w:val="181"/>
        </w:trPr>
        <w:tc>
          <w:tcPr>
            <w:tcW w:w="4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Conversion of Class B to Class A Common Stock</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200,491</w:t>
            </w:r>
          </w:p>
        </w:tc>
        <w:tc>
          <w:tcPr>
            <w:tcW w:w="320" w:type="dxa"/>
            <w:vAlign w:val="bottom"/>
          </w:tcPr>
          <w:p>
            <w:pPr>
              <w:spacing w:after="0"/>
              <w:rPr>
                <w:sz w:val="15"/>
                <w:szCs w:val="15"/>
                <w:color w:val="auto"/>
              </w:rPr>
            </w:pPr>
          </w:p>
        </w:tc>
        <w:tc>
          <w:tcPr>
            <w:tcW w:w="13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205,367</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40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Number of shares used in per share computation</w:t>
            </w:r>
          </w:p>
        </w:tc>
        <w:tc>
          <w:tcPr>
            <w:tcW w:w="2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8,058,263</w:t>
            </w:r>
          </w:p>
        </w:tc>
        <w:tc>
          <w:tcPr>
            <w:tcW w:w="3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200,491</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3,932,012</w:t>
            </w: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205,367</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24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340" w:type="dxa"/>
            <w:vAlign w:val="bottom"/>
          </w:tcPr>
          <w:p>
            <w:pPr>
              <w:jc w:val="right"/>
              <w:ind w:right="25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32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For the purposes of applying the if converted method or treasury stock method for calculating diluted earnings per share, Warrants, RSAs, RSUs and stock options result in anti-dilution. Therefore, these securities are not included in the computation of diluted net loss per share. Shares potentially issuable under earnout arrangements were not included for purposes of calculating the number of diluted shares outstanding because the number of dilutive shares is, in each case, based on a contingency which had not been met during the periods presented herein.</w:t>
      </w:r>
    </w:p>
    <w:p>
      <w:pPr>
        <w:spacing w:after="0" w:line="135" w:lineRule="exact"/>
        <w:rPr>
          <w:sz w:val="20"/>
          <w:szCs w:val="20"/>
          <w:color w:val="auto"/>
        </w:rPr>
      </w:pPr>
    </w:p>
    <w:p>
      <w:pPr>
        <w:jc w:val="both"/>
        <w:ind w:firstLine="256"/>
        <w:spacing w:after="0" w:line="289" w:lineRule="auto"/>
        <w:rPr>
          <w:sz w:val="20"/>
          <w:szCs w:val="20"/>
          <w:color w:val="auto"/>
        </w:rPr>
      </w:pPr>
      <w:r>
        <w:rPr>
          <w:rFonts w:ascii="Times New Roman" w:cs="Times New Roman" w:eastAsia="Times New Roman" w:hAnsi="Times New Roman"/>
          <w:sz w:val="14"/>
          <w:szCs w:val="14"/>
          <w:color w:val="auto"/>
        </w:rPr>
        <w:t>The potential shares of Class A Common Stock that were excluded from the computation of diluted net loss per share for the periods presented because including them would have an antidilutive effect were as follows:</w:t>
      </w:r>
    </w:p>
    <w:p>
      <w:pPr>
        <w:spacing w:after="0" w:line="122"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6"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Borders>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CCEEFF"/>
            </w:tcBorders>
          </w:tcPr>
          <w:p>
            <w:pPr>
              <w:spacing w:after="0"/>
              <w:rPr>
                <w:sz w:val="15"/>
                <w:szCs w:val="15"/>
                <w:color w:val="auto"/>
              </w:rPr>
            </w:pPr>
          </w:p>
        </w:tc>
        <w:tc>
          <w:tcPr>
            <w:tcW w:w="192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6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w:t>
            </w:r>
          </w:p>
        </w:tc>
        <w:tc>
          <w:tcPr>
            <w:tcW w:w="1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2,608,568</w:t>
            </w:r>
          </w:p>
        </w:tc>
        <w:tc>
          <w:tcPr>
            <w:tcW w:w="32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1,551,878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1"/>
        </w:trPr>
        <w:tc>
          <w:tcPr>
            <w:tcW w:w="8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potentially issuable under earnout arrangements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320" w:type="dxa"/>
            <w:vAlign w:val="bottom"/>
          </w:tcPr>
          <w:p>
            <w:pPr>
              <w:spacing w:after="0"/>
              <w:rPr>
                <w:sz w:val="14"/>
                <w:szCs w:val="14"/>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414,281</w:t>
            </w:r>
          </w:p>
        </w:tc>
        <w:tc>
          <w:tcPr>
            <w:tcW w:w="80" w:type="dxa"/>
            <w:vAlign w:val="bottom"/>
          </w:tcPr>
          <w:p>
            <w:pPr>
              <w:spacing w:after="0"/>
              <w:rPr>
                <w:sz w:val="14"/>
                <w:szCs w:val="14"/>
                <w:color w:val="auto"/>
              </w:rPr>
            </w:pPr>
          </w:p>
        </w:tc>
      </w:tr>
      <w:tr>
        <w:trPr>
          <w:trHeight w:val="171"/>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RSAs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416,250</w:t>
            </w:r>
          </w:p>
        </w:tc>
        <w:tc>
          <w:tcPr>
            <w:tcW w:w="320" w:type="dxa"/>
            <w:vAlign w:val="bottom"/>
            <w:shd w:val="clear" w:color="auto" w:fill="CCEEFF"/>
          </w:tcPr>
          <w:p>
            <w:pPr>
              <w:spacing w:after="0"/>
              <w:rPr>
                <w:sz w:val="14"/>
                <w:szCs w:val="14"/>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RSUs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559,732</w:t>
            </w:r>
          </w:p>
        </w:tc>
        <w:tc>
          <w:tcPr>
            <w:tcW w:w="320" w:type="dxa"/>
            <w:vAlign w:val="bottom"/>
          </w:tcPr>
          <w:p>
            <w:pPr>
              <w:spacing w:after="0"/>
              <w:rPr>
                <w:sz w:val="14"/>
                <w:szCs w:val="14"/>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622,824</w:t>
            </w:r>
          </w:p>
        </w:tc>
        <w:tc>
          <w:tcPr>
            <w:tcW w:w="80" w:type="dxa"/>
            <w:vAlign w:val="bottom"/>
          </w:tcPr>
          <w:p>
            <w:pPr>
              <w:spacing w:after="0"/>
              <w:rPr>
                <w:sz w:val="14"/>
                <w:szCs w:val="14"/>
                <w:color w:val="auto"/>
              </w:rPr>
            </w:pPr>
          </w:p>
        </w:tc>
      </w:tr>
      <w:tr>
        <w:trPr>
          <w:trHeight w:val="181"/>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210,321</w:t>
            </w:r>
          </w:p>
        </w:tc>
        <w:tc>
          <w:tcPr>
            <w:tcW w:w="32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262,480</w:t>
            </w:r>
          </w:p>
        </w:tc>
        <w:tc>
          <w:tcPr>
            <w:tcW w:w="80" w:type="dxa"/>
            <w:vAlign w:val="bottom"/>
            <w:shd w:val="clear" w:color="auto" w:fill="CCEEFF"/>
          </w:tcPr>
          <w:p>
            <w:pPr>
              <w:spacing w:after="0"/>
              <w:rPr>
                <w:sz w:val="15"/>
                <w:szCs w:val="15"/>
                <w:color w:val="auto"/>
              </w:rPr>
            </w:pPr>
          </w:p>
        </w:tc>
      </w:tr>
      <w:tr>
        <w:trPr>
          <w:trHeight w:val="172"/>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4,144,871</w:t>
            </w:r>
          </w:p>
        </w:tc>
        <w:tc>
          <w:tcPr>
            <w:tcW w:w="320" w:type="dxa"/>
            <w:vAlign w:val="bottom"/>
          </w:tcPr>
          <w:p>
            <w:pPr>
              <w:spacing w:after="0"/>
              <w:rPr>
                <w:sz w:val="14"/>
                <w:szCs w:val="14"/>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2,851,463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70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Concentrations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Customers</w:t>
      </w:r>
    </w:p>
    <w:p>
      <w:pPr>
        <w:spacing w:after="0" w:line="182"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For the three months ended March 31, 2026, three customers accounted for 42% of the Company’s net revenue. For the three months ended March 31, 2025, one customer accounted for 60% of the Company’s net revenue. For the six months ended March 31, 2026, three customers accounted for 41% of the Company’s net revenue. For the six months ended March 31, 2025, one customer accounted for 64% of the Company’s net revenue. No other customer accounted for more than 10% of net revenue in the respective periods.</w:t>
      </w:r>
    </w:p>
    <w:p>
      <w:pPr>
        <w:spacing w:after="0" w:line="135" w:lineRule="exact"/>
        <w:rPr>
          <w:sz w:val="20"/>
          <w:szCs w:val="20"/>
          <w:color w:val="auto"/>
        </w:rPr>
      </w:pPr>
    </w:p>
    <w:p>
      <w:pPr>
        <w:jc w:val="both"/>
        <w:ind w:firstLine="256"/>
        <w:spacing w:after="0" w:line="289" w:lineRule="auto"/>
        <w:rPr>
          <w:sz w:val="20"/>
          <w:szCs w:val="20"/>
          <w:color w:val="auto"/>
        </w:rPr>
      </w:pPr>
      <w:r>
        <w:rPr>
          <w:rFonts w:ascii="Times New Roman" w:cs="Times New Roman" w:eastAsia="Times New Roman" w:hAnsi="Times New Roman"/>
          <w:sz w:val="14"/>
          <w:szCs w:val="14"/>
          <w:color w:val="auto"/>
        </w:rPr>
        <w:t>As of March 31, 2026, two customers had balances due that represented 34% of the Company’s total accounts receivable. As of September 30, 2025, two customers had balances due that represented 30% of the Company’s total accounts receivable.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60"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color w:val="auto"/>
        </w:rPr>
        <w:t>Note 17 — Segment Information</w:t>
      </w:r>
    </w:p>
    <w:p>
      <w:pPr>
        <w:spacing w:after="0" w:line="182" w:lineRule="exact"/>
        <w:rPr>
          <w:sz w:val="20"/>
          <w:szCs w:val="20"/>
          <w:color w:val="auto"/>
        </w:rPr>
      </w:pPr>
    </w:p>
    <w:p>
      <w:pPr>
        <w:jc w:val="both"/>
        <w:ind w:firstLine="256"/>
        <w:spacing w:after="0" w:line="289" w:lineRule="auto"/>
        <w:rPr>
          <w:sz w:val="20"/>
          <w:szCs w:val="20"/>
          <w:color w:val="auto"/>
        </w:rPr>
      </w:pPr>
      <w:r>
        <w:rPr>
          <w:rFonts w:ascii="Times New Roman" w:cs="Times New Roman" w:eastAsia="Times New Roman" w:hAnsi="Times New Roman"/>
          <w:sz w:val="14"/>
          <w:szCs w:val="14"/>
          <w:color w:val="auto"/>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spacing w:after="0" w:line="124"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condensed consolidated statements of operations and comprehensive loss when making operating decisions.</w:t>
      </w:r>
    </w:p>
    <w:p>
      <w:pPr>
        <w:spacing w:after="0" w:line="135" w:lineRule="exact"/>
        <w:rPr>
          <w:sz w:val="20"/>
          <w:szCs w:val="20"/>
          <w:color w:val="auto"/>
        </w:rPr>
      </w:pPr>
    </w:p>
    <w:p>
      <w:pPr>
        <w:jc w:val="both"/>
        <w:ind w:firstLine="256"/>
        <w:spacing w:after="0" w:line="289" w:lineRule="auto"/>
        <w:rPr>
          <w:sz w:val="20"/>
          <w:szCs w:val="20"/>
          <w:color w:val="auto"/>
        </w:rPr>
      </w:pPr>
      <w:r>
        <w:rPr>
          <w:rFonts w:ascii="Times New Roman" w:cs="Times New Roman" w:eastAsia="Times New Roman" w:hAnsi="Times New Roman"/>
          <w:sz w:val="14"/>
          <w:szCs w:val="14"/>
          <w:color w:val="auto"/>
        </w:rPr>
        <w:t>The measure of segment assets is reported on the condensed consolidated balance sheets as total assets. The CODM does not review segment assets at a level other than that presented in the Company’s condensed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Revenues by Geographic Region</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net revenue by geographic region, based on ship-to location, is summarized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6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25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25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r>
      <w:tr>
        <w:trPr>
          <w:trHeight w:val="161"/>
        </w:trPr>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927</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2,265</w:t>
            </w:r>
          </w:p>
        </w:tc>
        <w:tc>
          <w:tcPr>
            <w:tcW w:w="60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w:t>
            </w: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5,313</w:t>
            </w:r>
          </w:p>
        </w:tc>
      </w:tr>
      <w:tr>
        <w:trPr>
          <w:trHeight w:val="181"/>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246</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198</w:t>
            </w:r>
          </w:p>
        </w:tc>
        <w:tc>
          <w:tcPr>
            <w:tcW w:w="60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367</w:t>
            </w:r>
          </w:p>
        </w:tc>
      </w:tr>
      <w:tr>
        <w:trPr>
          <w:trHeight w:val="172"/>
        </w:trPr>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net revenue</w:t>
            </w: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2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Long-Lived Assets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Substantially all of the Company’s long-lived assets are located in the United States.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Subsequent Events</w:t>
      </w:r>
    </w:p>
    <w:p>
      <w:pPr>
        <w:spacing w:after="0" w:line="180" w:lineRule="exact"/>
        <w:rPr>
          <w:sz w:val="20"/>
          <w:szCs w:val="20"/>
          <w:color w:val="auto"/>
        </w:rPr>
      </w:pPr>
    </w:p>
    <w:p>
      <w:pPr>
        <w:jc w:val="both"/>
        <w:ind w:firstLine="256"/>
        <w:spacing w:after="0" w:line="258" w:lineRule="auto"/>
        <w:rPr>
          <w:sz w:val="20"/>
          <w:szCs w:val="20"/>
          <w:color w:val="auto"/>
        </w:rPr>
      </w:pPr>
      <w:r>
        <w:rPr>
          <w:rFonts w:ascii="Times New Roman" w:cs="Times New Roman" w:eastAsia="Times New Roman" w:hAnsi="Times New Roman"/>
          <w:sz w:val="14"/>
          <w:szCs w:val="14"/>
          <w:color w:val="auto"/>
        </w:rPr>
        <w:t xml:space="preserve">On April 2, 2026, the Company’s board of directors approved a reverse stock split of its Class A common stock and Class B common stock at a ratio of 1-for-10 (the </w:t>
      </w:r>
      <w:r>
        <w:rPr>
          <w:rFonts w:ascii="Times New Roman" w:cs="Times New Roman" w:eastAsia="Times New Roman" w:hAnsi="Times New Roman"/>
          <w:sz w:val="14"/>
          <w:szCs w:val="14"/>
          <w:i w:val="1"/>
          <w:iCs w:val="1"/>
          <w:color w:val="auto"/>
        </w:rPr>
        <w:t>“Reverse Stock Split”</w:t>
      </w:r>
      <w:r>
        <w:rPr>
          <w:rFonts w:ascii="Times New Roman" w:cs="Times New Roman" w:eastAsia="Times New Roman" w:hAnsi="Times New Roman"/>
          <w:sz w:val="14"/>
          <w:szCs w:val="14"/>
          <w:color w:val="auto"/>
        </w:rPr>
        <w: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The number of warrants outstanding was not reduced as a result of the Reverse Stock Split. Rather,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condensed consolidated financial statements. No fractional shares were issued in connection with the Reverse Stock Split, and cash was paid in lieu of fractional shares.</w:t>
      </w:r>
    </w:p>
    <w:p>
      <w:pPr>
        <w:spacing w:after="0" w:line="149" w:lineRule="exact"/>
        <w:rPr>
          <w:sz w:val="20"/>
          <w:szCs w:val="20"/>
          <w:color w:val="auto"/>
        </w:rPr>
      </w:pPr>
    </w:p>
    <w:p>
      <w:pPr>
        <w:jc w:val="both"/>
        <w:ind w:firstLine="256"/>
        <w:spacing w:after="0" w:line="261" w:lineRule="auto"/>
        <w:rPr>
          <w:sz w:val="20"/>
          <w:szCs w:val="20"/>
          <w:color w:val="auto"/>
        </w:rPr>
      </w:pPr>
      <w:r>
        <w:rPr>
          <w:rFonts w:ascii="Times New Roman" w:cs="Times New Roman" w:eastAsia="Times New Roman" w:hAnsi="Times New Roman"/>
          <w:sz w:val="14"/>
          <w:szCs w:val="14"/>
          <w:color w:val="auto"/>
        </w:rPr>
        <w:t>On May 13, 2026, the Company entered into a First Amendment to the Securities Purchase Agreement and Senior Secured Convertible Note (the “First Amendment”) with Leviston Resources, LLC (“Leviston”), amending the Senior Secured Convertible Note originally issued on March 31, 2026 (the “Original Note”). Pursuant to the First Amendment, Leviston advanced an additional $833 to the Company, increasing the total funded amount under the Original Note to $3,333. The First Amendment increased the aggregate principal amount of the Original Note, inclusive of a 16.667% original issue discount, from $3,000 to $4,000. Interest on the incremental $1,000 of principal created by the First Amendment commenced accruing on May 13, 2026; interest on the original $3,000 principal continues to accrue in accordance with the terms of the Original Note as in effect immediately prior to May 13, 2026. The Company intends to use the proceeds for working capital and general corporate purposes.</w:t>
      </w:r>
    </w:p>
    <w:p>
      <w:pPr>
        <w:spacing w:after="0" w:line="145" w:lineRule="exact"/>
        <w:rPr>
          <w:sz w:val="20"/>
          <w:szCs w:val="20"/>
          <w:color w:val="auto"/>
        </w:rPr>
      </w:pPr>
    </w:p>
    <w:p>
      <w:pPr>
        <w:jc w:val="both"/>
        <w:ind w:firstLine="256"/>
        <w:spacing w:after="0" w:line="258" w:lineRule="auto"/>
        <w:rPr>
          <w:sz w:val="20"/>
          <w:szCs w:val="20"/>
          <w:color w:val="auto"/>
        </w:rPr>
      </w:pPr>
      <w:r>
        <w:rPr>
          <w:rFonts w:ascii="Times New Roman" w:cs="Times New Roman" w:eastAsia="Times New Roman" w:hAnsi="Times New Roman"/>
          <w:sz w:val="14"/>
          <w:szCs w:val="14"/>
          <w:color w:val="auto"/>
        </w:rPr>
        <w:t>On May 13, 2026, the Company entered into an Investor Rights Agreement (the “IRA”) with Leviston, in connection with the Senior Secured Convertible Note originally entered into on March 31, 2026 and amended pursuant to the First Amendment described above. Pursuant to the IRA, the Company granted Leviston the right, but not the obligation, to purchase one or more additional senior secured convertible notes (each, an “Additional Note”) from the Company during the seven-month period commencing May 13, 2026 and ending December 13, 2026, in an aggregate principal amount not to exceed $4,000, with a corresponding maximum aggregate cash subscription amount of approximately $3,333, reflecting the same 16.667% original issue discount as the Original Note. Each Additional Note will be issued in minimum tranches of $300 of principal, will bear interest at 10% per annum (18% upon an event of default), will mature four months from its respective issuance date, and will be convertible into shares of the Company’s Class A Common Stock at a price equal to the lesser of (i) the closing price of the Common Stock on the applicable issuance date and (ii) 85% of the lowest 8-day volume-weighted average price immediately prior to and including the date of the applicable conversion notice. Any Additional Notes issued under the IRA will constitute senior secured indebtedness of the Company ranking pari passu with, and secured by the same collateral as, the Original Note. The Company intends to use any proceeds from exercises of the Investment Right for working capital and general corporate purposes.</w:t>
      </w:r>
    </w:p>
    <w:p>
      <w:pPr>
        <w:spacing w:after="0" w:line="150"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On May 18, 2026, the Company satisfied in full the entire $4,000 of outstanding principal under the Original Note, together with all accrued interest thereon, through the conversion of such amounts into an aggregate of 2,500,000 shares of Common Stock. Upon such full satisfaction, the Original Note, the Securities Purchase Agreement, dated March 31, 2026, between the Company and Leviston (as amended by the First Amendment), and the Registration Rights Agreement, dated March 31, 2026, between the Company and Leviston, terminated in accordance with their terms.</w:t>
      </w:r>
    </w:p>
    <w:p>
      <w:pPr>
        <w:spacing w:after="0" w:line="135" w:lineRule="exact"/>
        <w:rPr>
          <w:sz w:val="20"/>
          <w:szCs w:val="20"/>
          <w:color w:val="auto"/>
        </w:rPr>
      </w:pPr>
    </w:p>
    <w:p>
      <w:pPr>
        <w:jc w:val="both"/>
        <w:ind w:firstLine="256"/>
        <w:spacing w:after="0" w:line="259" w:lineRule="auto"/>
        <w:rPr>
          <w:sz w:val="20"/>
          <w:szCs w:val="20"/>
          <w:color w:val="auto"/>
        </w:rPr>
      </w:pPr>
      <w:r>
        <w:rPr>
          <w:rFonts w:ascii="Times New Roman" w:cs="Times New Roman" w:eastAsia="Times New Roman" w:hAnsi="Times New Roman"/>
          <w:sz w:val="14"/>
          <w:szCs w:val="14"/>
          <w:color w:val="auto"/>
        </w:rPr>
        <w:t>On May 19, 2026, the Company entered into a Securities Purchase Agreement (the “May 2026 Purchase Agreement”) with Kips Bay Select, LP (“Kips”), pursuant to which the Company agreed to sell to Kips (i) 2,000 shares of Series A 10% Convertible Preferred Stock (the “Preferred Shares”) for aggregate gross proceeds of $2,400, and (ii) a Preferred Stock Purchase Warrant (the “Warrant”) to purchase up to an additional 6,000 shares of Series A 10% Convertible Preferred Stock at an exercise price of $1,000 per share. Kips funded $2,000, reflecting an original issue discount of $400, and $25 was withheld for legal fees, resulting in net proceeds to the Company of $1,975. Dividends are payable in cash, or at the Company’s option, Preferred Shares. The Preferred Shares and any shares issued upon exercise of the Preferred Warrant are convertible into shares of our Class A Common Stock in accordance with the terms of the Certificate of Designation of Preferences, Rights and Limitations of Series A 10% Convertible Preferred Stock (the “COD”). In connection with the transaction, on May 19, 2026, we also entered into a Registration Rights Agreement with Kips (the “Registration Rights Agreement”) pursuant to which we agreed to register the resale of shares of Class A Common Stock issuable upon conversion of the Preferred Shares and upon exercise of the Preferred Warrant.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Mobix Labs,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 on the Financial Statements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Mobix Labs, Inc. and its subsidiaries (the “Company”) as of September 30, 2025 and 2024, and the related consolidated statements of operations and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September 30, 2025 and 2024, and the results of its operations and its cash flows for the years then ended in conformity with accounting principles generally accepted in the United States of America.</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Substantial Doubt About the Company’s Ability to Continue as a Going Concern</w:t>
      </w:r>
    </w:p>
    <w:p>
      <w:pPr>
        <w:spacing w:after="0" w:line="1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As discussed in Note 1 to the consolidated financial statements, the Company has incurred operating losses and negative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18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Irvine, California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12, 2026, except for the effects of the reverse stock split discussed in Note 21 to the consolidated financial statements, as to which the date is April 27,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70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r>
      <w:tr>
        <w:trPr>
          <w:trHeight w:val="161"/>
        </w:trPr>
        <w:tc>
          <w:tcPr>
            <w:tcW w:w="702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w:t>
            </w:r>
          </w:p>
        </w:tc>
        <w:tc>
          <w:tcPr>
            <w:tcW w:w="1260" w:type="dxa"/>
            <w:vAlign w:val="bottom"/>
            <w:shd w:val="clear" w:color="auto" w:fill="CCEEFF"/>
          </w:tcPr>
          <w:p>
            <w:pPr>
              <w:jc w:val="right"/>
              <w:ind w:right="1141"/>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266</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2,813</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1,725</w:t>
            </w:r>
          </w:p>
        </w:tc>
      </w:tr>
      <w:tr>
        <w:trPr>
          <w:trHeight w:val="18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60" w:type="dxa"/>
            <w:vAlign w:val="bottom"/>
          </w:tcPr>
          <w:p>
            <w:pPr>
              <w:spacing w:after="0"/>
              <w:rPr>
                <w:sz w:val="15"/>
                <w:szCs w:val="15"/>
                <w:color w:val="auto"/>
              </w:rPr>
            </w:pPr>
          </w:p>
        </w:tc>
        <w:tc>
          <w:tcPr>
            <w:tcW w:w="9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593</w:t>
            </w:r>
          </w:p>
        </w:tc>
        <w:tc>
          <w:tcPr>
            <w:tcW w:w="54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467</w:t>
            </w:r>
          </w:p>
        </w:tc>
      </w:tr>
      <w:tr>
        <w:trPr>
          <w:trHeight w:val="161"/>
        </w:trPr>
        <w:tc>
          <w:tcPr>
            <w:tcW w:w="70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12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3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w:t>
            </w:r>
          </w:p>
        </w:tc>
        <w:tc>
          <w:tcPr>
            <w:tcW w:w="100" w:type="dxa"/>
            <w:vAlign w:val="bottom"/>
            <w:tcBorders>
              <w:top w:val="single" w:sz="8" w:color="CCEEFF"/>
            </w:tcBorders>
            <w:shd w:val="clear" w:color="auto" w:fill="CCEEFF"/>
          </w:tcPr>
          <w:p>
            <w:pPr>
              <w:spacing w:after="0"/>
              <w:rPr>
                <w:sz w:val="14"/>
                <w:szCs w:val="14"/>
                <w:color w:val="auto"/>
              </w:rPr>
            </w:pPr>
          </w:p>
        </w:tc>
      </w:tr>
      <w:tr>
        <w:trPr>
          <w:trHeight w:val="171"/>
        </w:trPr>
        <w:tc>
          <w:tcPr>
            <w:tcW w:w="7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328</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1,177</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260" w:type="dxa"/>
            <w:vAlign w:val="bottom"/>
          </w:tcPr>
          <w:p>
            <w:pPr>
              <w:spacing w:after="0"/>
              <w:rPr>
                <w:sz w:val="14"/>
                <w:szCs w:val="14"/>
                <w:color w:val="auto"/>
              </w:rPr>
            </w:pPr>
          </w:p>
        </w:tc>
        <w:tc>
          <w:tcPr>
            <w:tcW w:w="9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13,519</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15,211</w:t>
            </w: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16,066</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16,066</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260" w:type="dxa"/>
            <w:vAlign w:val="bottom"/>
          </w:tcPr>
          <w:p>
            <w:pPr>
              <w:spacing w:after="0"/>
              <w:rPr>
                <w:sz w:val="14"/>
                <w:szCs w:val="14"/>
                <w:color w:val="auto"/>
              </w:rPr>
            </w:pPr>
          </w:p>
        </w:tc>
        <w:tc>
          <w:tcPr>
            <w:tcW w:w="9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370</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1,022</w:t>
            </w:r>
          </w:p>
        </w:tc>
      </w:tr>
      <w:tr>
        <w:trPr>
          <w:trHeight w:val="18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115</w:t>
            </w:r>
          </w:p>
        </w:tc>
        <w:tc>
          <w:tcPr>
            <w:tcW w:w="5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341</w:t>
            </w:r>
          </w:p>
        </w:tc>
      </w:tr>
      <w:tr>
        <w:trPr>
          <w:trHeight w:val="212"/>
        </w:trPr>
        <w:tc>
          <w:tcPr>
            <w:tcW w:w="7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1260" w:type="dxa"/>
            <w:vAlign w:val="bottom"/>
            <w:tcBorders>
              <w:top w:val="single" w:sz="8" w:color="auto"/>
              <w:bottom w:val="single" w:sz="8" w:color="auto"/>
            </w:tcBorders>
          </w:tcPr>
          <w:p>
            <w:pPr>
              <w:jc w:val="right"/>
              <w:ind w:right="1141"/>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37,113</w:t>
            </w:r>
          </w:p>
        </w:tc>
        <w:tc>
          <w:tcPr>
            <w:tcW w:w="3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100" w:type="dxa"/>
            <w:vAlign w:val="bottom"/>
            <w:tcBorders>
              <w:bottom w:val="single" w:sz="8" w:color="CCEEFF"/>
            </w:tcBorders>
          </w:tcPr>
          <w:p>
            <w:pPr>
              <w:spacing w:after="0"/>
              <w:rPr>
                <w:sz w:val="18"/>
                <w:szCs w:val="18"/>
                <w:color w:val="auto"/>
              </w:rPr>
            </w:pPr>
          </w:p>
        </w:tc>
      </w:tr>
      <w:tr>
        <w:trPr>
          <w:trHeight w:val="143"/>
        </w:trPr>
        <w:tc>
          <w:tcPr>
            <w:tcW w:w="70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1"/>
        </w:trPr>
        <w:tc>
          <w:tcPr>
            <w:tcW w:w="702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260" w:type="dxa"/>
            <w:vAlign w:val="bottom"/>
          </w:tcPr>
          <w:p>
            <w:pPr>
              <w:jc w:val="right"/>
              <w:ind w:right="1141"/>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8,981</w:t>
            </w:r>
          </w:p>
        </w:tc>
        <w:tc>
          <w:tcPr>
            <w:tcW w:w="320" w:type="dxa"/>
            <w:vAlign w:val="bottom"/>
          </w:tcPr>
          <w:p>
            <w:pPr>
              <w:spacing w:after="0"/>
              <w:rPr>
                <w:sz w:val="14"/>
                <w:szCs w:val="14"/>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10,833</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10,325</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purchase consideration</w:t>
            </w:r>
          </w:p>
        </w:tc>
        <w:tc>
          <w:tcPr>
            <w:tcW w:w="1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2,380</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payable, current</w:t>
            </w: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398</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 payable – related parties, current</w:t>
            </w:r>
          </w:p>
        </w:tc>
        <w:tc>
          <w:tcPr>
            <w:tcW w:w="1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1,743</w:t>
            </w:r>
          </w:p>
        </w:tc>
      </w:tr>
      <w:tr>
        <w:trPr>
          <w:trHeight w:val="18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274</w:t>
            </w:r>
          </w:p>
        </w:tc>
        <w:tc>
          <w:tcPr>
            <w:tcW w:w="5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428</w:t>
            </w:r>
          </w:p>
        </w:tc>
      </w:tr>
      <w:tr>
        <w:trPr>
          <w:trHeight w:val="161"/>
        </w:trPr>
        <w:tc>
          <w:tcPr>
            <w:tcW w:w="7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27,786</w:t>
            </w:r>
          </w:p>
        </w:tc>
        <w:tc>
          <w:tcPr>
            <w:tcW w:w="3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26,107</w:t>
            </w: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noncurrent</w:t>
            </w:r>
          </w:p>
        </w:tc>
        <w:tc>
          <w:tcPr>
            <w:tcW w:w="1260" w:type="dxa"/>
            <w:vAlign w:val="bottom"/>
          </w:tcPr>
          <w:p>
            <w:pPr>
              <w:spacing w:after="0"/>
              <w:rPr>
                <w:sz w:val="14"/>
                <w:szCs w:val="14"/>
                <w:color w:val="auto"/>
              </w:rPr>
            </w:pPr>
          </w:p>
        </w:tc>
        <w:tc>
          <w:tcPr>
            <w:tcW w:w="9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 related parties, noncurrent</w:t>
            </w: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1,082</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Earnout liability</w:t>
            </w:r>
          </w:p>
        </w:tc>
        <w:tc>
          <w:tcPr>
            <w:tcW w:w="1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1,680</w:t>
            </w: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1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321</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320</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1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1,024</w:t>
            </w: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Liability-classified warrants</w:t>
            </w: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2,139</w:t>
            </w:r>
          </w:p>
        </w:tc>
      </w:tr>
      <w:tr>
        <w:trPr>
          <w:trHeight w:val="18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1,006</w:t>
            </w:r>
          </w:p>
        </w:tc>
      </w:tr>
      <w:tr>
        <w:trPr>
          <w:trHeight w:val="161"/>
        </w:trPr>
        <w:tc>
          <w:tcPr>
            <w:tcW w:w="7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2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37,449</w:t>
            </w:r>
          </w:p>
        </w:tc>
        <w:tc>
          <w:tcPr>
            <w:tcW w:w="3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33,558</w:t>
            </w:r>
          </w:p>
        </w:tc>
        <w:tc>
          <w:tcPr>
            <w:tcW w:w="100" w:type="dxa"/>
            <w:vAlign w:val="bottom"/>
            <w:tcBorders>
              <w:top w:val="single" w:sz="8" w:color="CCEEFF"/>
            </w:tcBorders>
            <w:shd w:val="clear" w:color="auto" w:fill="CCEEFF"/>
          </w:tcPr>
          <w:p>
            <w:pPr>
              <w:spacing w:after="0"/>
              <w:rPr>
                <w:sz w:val="14"/>
                <w:szCs w:val="14"/>
                <w:color w:val="auto"/>
              </w:rPr>
            </w:pPr>
          </w:p>
        </w:tc>
      </w:tr>
      <w:tr>
        <w:trPr>
          <w:trHeight w:val="171"/>
        </w:trPr>
        <w:tc>
          <w:tcPr>
            <w:tcW w:w="7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702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Class A Common Stock, $0.00001 par value, 285,000,000 shares authorized; 5,883,842 and 3,282,423 shares issued</w:t>
            </w: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outstanding at September 30, 2025 and 2024, respectively</w:t>
            </w:r>
          </w:p>
        </w:tc>
        <w:tc>
          <w:tcPr>
            <w:tcW w:w="1260" w:type="dxa"/>
            <w:vAlign w:val="bottom"/>
          </w:tcPr>
          <w:p>
            <w:pPr>
              <w:spacing w:after="0"/>
              <w:rPr>
                <w:sz w:val="16"/>
                <w:szCs w:val="16"/>
                <w:color w:val="auto"/>
              </w:rPr>
            </w:pPr>
          </w:p>
        </w:tc>
        <w:tc>
          <w:tcPr>
            <w:tcW w:w="9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6"/>
        </w:trPr>
        <w:tc>
          <w:tcPr>
            <w:tcW w:w="7020" w:type="dxa"/>
            <w:vAlign w:val="bottom"/>
            <w:shd w:val="clear" w:color="auto" w:fill="CCEEFF"/>
          </w:tcPr>
          <w:p>
            <w:pPr>
              <w:ind w:left="140"/>
              <w:spacing w:after="0" w:line="157" w:lineRule="exact"/>
              <w:rPr>
                <w:sz w:val="20"/>
                <w:szCs w:val="20"/>
                <w:color w:val="auto"/>
              </w:rPr>
            </w:pPr>
            <w:r>
              <w:rPr>
                <w:rFonts w:ascii="Times New Roman" w:cs="Times New Roman" w:eastAsia="Times New Roman" w:hAnsi="Times New Roman"/>
                <w:sz w:val="14"/>
                <w:szCs w:val="14"/>
                <w:color w:val="auto"/>
              </w:rPr>
              <w:t>Class B Common Stock, $0.00001 par value, 5,000,000 shares authorized; 200,491 and 212,991 shares issued and</w:t>
            </w:r>
          </w:p>
        </w:tc>
        <w:tc>
          <w:tcPr>
            <w:tcW w:w="1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5"/>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outstanding at September 30, 2025 and 2024, respectively</w:t>
            </w:r>
          </w:p>
        </w:tc>
        <w:tc>
          <w:tcPr>
            <w:tcW w:w="1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150,252</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109,987</w:t>
            </w:r>
          </w:p>
        </w:tc>
      </w:tr>
      <w:tr>
        <w:trPr>
          <w:trHeight w:val="18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(150,588)</w:t>
            </w:r>
          </w:p>
        </w:tc>
        <w:tc>
          <w:tcPr>
            <w:tcW w:w="5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(104,457)</w:t>
            </w:r>
          </w:p>
        </w:tc>
      </w:tr>
      <w:tr>
        <w:trPr>
          <w:trHeight w:val="161"/>
        </w:trPr>
        <w:tc>
          <w:tcPr>
            <w:tcW w:w="7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12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3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5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5,530</w:t>
            </w:r>
          </w:p>
        </w:tc>
        <w:tc>
          <w:tcPr>
            <w:tcW w:w="100" w:type="dxa"/>
            <w:vAlign w:val="bottom"/>
            <w:tcBorders>
              <w:bottom w:val="single" w:sz="8" w:color="CCEEFF"/>
            </w:tcBorders>
          </w:tcPr>
          <w:p>
            <w:pPr>
              <w:spacing w:after="0"/>
              <w:rPr>
                <w:sz w:val="14"/>
                <w:szCs w:val="14"/>
                <w:color w:val="auto"/>
              </w:rPr>
            </w:pPr>
          </w:p>
        </w:tc>
      </w:tr>
      <w:tr>
        <w:trPr>
          <w:trHeight w:val="172"/>
        </w:trPr>
        <w:tc>
          <w:tcPr>
            <w:tcW w:w="7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and stockholders’ equity (deficit)</w:t>
            </w:r>
          </w:p>
        </w:tc>
        <w:tc>
          <w:tcPr>
            <w:tcW w:w="1260" w:type="dxa"/>
            <w:vAlign w:val="bottom"/>
            <w:tcBorders>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37,113</w:t>
            </w:r>
          </w:p>
        </w:tc>
        <w:tc>
          <w:tcPr>
            <w:tcW w:w="3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20"/>
        </w:trPr>
        <w:tc>
          <w:tcPr>
            <w:tcW w:w="7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COMPREHENSIVE LOSS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8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9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Products</w:t>
            </w: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5,996</w:t>
            </w:r>
          </w:p>
        </w:tc>
        <w:tc>
          <w:tcPr>
            <w:tcW w:w="320" w:type="dxa"/>
            <w:vAlign w:val="bottom"/>
          </w:tcPr>
          <w:p>
            <w:pPr>
              <w:spacing w:after="0"/>
              <w:rPr>
                <w:sz w:val="14"/>
                <w:szCs w:val="14"/>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5,890</w:t>
            </w:r>
          </w:p>
        </w:tc>
        <w:tc>
          <w:tcPr>
            <w:tcW w:w="0" w:type="dxa"/>
            <w:vAlign w:val="bottom"/>
          </w:tcPr>
          <w:p>
            <w:pPr>
              <w:spacing w:after="0"/>
              <w:rPr>
                <w:sz w:val="1"/>
                <w:szCs w:val="1"/>
                <w:color w:val="auto"/>
              </w:rPr>
            </w:pPr>
          </w:p>
        </w:tc>
      </w:tr>
      <w:tr>
        <w:trPr>
          <w:trHeight w:val="181"/>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9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w:t>
            </w: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6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net revenue</w:t>
            </w:r>
          </w:p>
        </w:tc>
        <w:tc>
          <w:tcPr>
            <w:tcW w:w="9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9,912</w:t>
            </w:r>
          </w:p>
        </w:tc>
        <w:tc>
          <w:tcPr>
            <w:tcW w:w="3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Products</w:t>
            </w:r>
          </w:p>
        </w:tc>
        <w:tc>
          <w:tcPr>
            <w:tcW w:w="9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3,752</w:t>
            </w:r>
          </w:p>
        </w:tc>
        <w:tc>
          <w:tcPr>
            <w:tcW w:w="0" w:type="dxa"/>
            <w:vAlign w:val="bottom"/>
          </w:tcPr>
          <w:p>
            <w:pPr>
              <w:spacing w:after="0"/>
              <w:rPr>
                <w:sz w:val="1"/>
                <w:szCs w:val="1"/>
                <w:color w:val="auto"/>
              </w:rPr>
            </w:pPr>
          </w:p>
        </w:tc>
      </w:tr>
      <w:tr>
        <w:trPr>
          <w:trHeight w:val="181"/>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9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61"/>
        </w:trPr>
        <w:tc>
          <w:tcPr>
            <w:tcW w:w="78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cost of revenue</w:t>
            </w: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w:t>
            </w:r>
          </w:p>
        </w:tc>
        <w:tc>
          <w:tcPr>
            <w:tcW w:w="3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Gross profit</w:t>
            </w:r>
          </w:p>
        </w:tc>
        <w:tc>
          <w:tcPr>
            <w:tcW w:w="9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9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5,779</w:t>
            </w:r>
          </w:p>
        </w:tc>
        <w:tc>
          <w:tcPr>
            <w:tcW w:w="0" w:type="dxa"/>
            <w:vAlign w:val="bottom"/>
          </w:tcPr>
          <w:p>
            <w:pPr>
              <w:spacing w:after="0"/>
              <w:rPr>
                <w:sz w:val="1"/>
                <w:szCs w:val="1"/>
                <w:color w:val="auto"/>
              </w:rPr>
            </w:pPr>
          </w:p>
        </w:tc>
      </w:tr>
      <w:tr>
        <w:trPr>
          <w:trHeight w:val="171"/>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980" w:type="dxa"/>
            <w:vAlign w:val="bottom"/>
          </w:tcPr>
          <w:p>
            <w:pPr>
              <w:spacing w:after="0"/>
              <w:rPr>
                <w:sz w:val="14"/>
                <w:szCs w:val="14"/>
                <w:color w:val="auto"/>
              </w:rPr>
            </w:pPr>
          </w:p>
        </w:tc>
        <w:tc>
          <w:tcPr>
            <w:tcW w:w="94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39,556</w:t>
            </w:r>
          </w:p>
        </w:tc>
        <w:tc>
          <w:tcPr>
            <w:tcW w:w="420" w:type="dxa"/>
            <w:vAlign w:val="bottom"/>
          </w:tcPr>
          <w:p>
            <w:pPr>
              <w:spacing w:after="0"/>
              <w:rPr>
                <w:sz w:val="14"/>
                <w:szCs w:val="14"/>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41,835</w:t>
            </w:r>
          </w:p>
        </w:tc>
        <w:tc>
          <w:tcPr>
            <w:tcW w:w="0" w:type="dxa"/>
            <w:vAlign w:val="bottom"/>
          </w:tcPr>
          <w:p>
            <w:pPr>
              <w:spacing w:after="0"/>
              <w:rPr>
                <w:sz w:val="1"/>
                <w:szCs w:val="1"/>
                <w:color w:val="auto"/>
              </w:rPr>
            </w:pPr>
          </w:p>
        </w:tc>
      </w:tr>
      <w:tr>
        <w:trPr>
          <w:trHeight w:val="18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9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1,333</w:t>
            </w:r>
          </w:p>
        </w:tc>
        <w:tc>
          <w:tcPr>
            <w:tcW w:w="0" w:type="dxa"/>
            <w:vAlign w:val="bottom"/>
          </w:tcPr>
          <w:p>
            <w:pPr>
              <w:spacing w:after="0"/>
              <w:rPr>
                <w:sz w:val="1"/>
                <w:szCs w:val="1"/>
                <w:color w:val="auto"/>
              </w:rPr>
            </w:pPr>
          </w:p>
        </w:tc>
      </w:tr>
      <w:tr>
        <w:trPr>
          <w:trHeight w:val="161"/>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from operations</w:t>
            </w:r>
          </w:p>
        </w:tc>
        <w:tc>
          <w:tcPr>
            <w:tcW w:w="9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(37,693)</w:t>
            </w:r>
          </w:p>
        </w:tc>
        <w:tc>
          <w:tcPr>
            <w:tcW w:w="3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9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1,582</w:t>
            </w:r>
          </w:p>
        </w:tc>
        <w:tc>
          <w:tcPr>
            <w:tcW w:w="0" w:type="dxa"/>
            <w:vAlign w:val="bottom"/>
          </w:tcPr>
          <w:p>
            <w:pPr>
              <w:spacing w:after="0"/>
              <w:rPr>
                <w:sz w:val="1"/>
                <w:szCs w:val="1"/>
                <w:color w:val="auto"/>
              </w:rPr>
            </w:pPr>
          </w:p>
        </w:tc>
      </w:tr>
      <w:tr>
        <w:trPr>
          <w:trHeight w:val="17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9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(440)</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(31,879)</w:t>
            </w:r>
          </w:p>
        </w:tc>
        <w:tc>
          <w:tcPr>
            <w:tcW w:w="0" w:type="dxa"/>
            <w:vAlign w:val="bottom"/>
          </w:tcPr>
          <w:p>
            <w:pPr>
              <w:spacing w:after="0"/>
              <w:rPr>
                <w:sz w:val="1"/>
                <w:szCs w:val="1"/>
                <w:color w:val="auto"/>
              </w:rPr>
            </w:pPr>
          </w:p>
        </w:tc>
      </w:tr>
      <w:tr>
        <w:trPr>
          <w:trHeight w:val="171"/>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980" w:type="dxa"/>
            <w:vAlign w:val="bottom"/>
          </w:tcPr>
          <w:p>
            <w:pPr>
              <w:spacing w:after="0"/>
              <w:rPr>
                <w:sz w:val="14"/>
                <w:szCs w:val="14"/>
                <w:color w:val="auto"/>
              </w:rPr>
            </w:pPr>
          </w:p>
        </w:tc>
        <w:tc>
          <w:tcPr>
            <w:tcW w:w="94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(804)</w:t>
            </w:r>
          </w:p>
        </w:tc>
        <w:tc>
          <w:tcPr>
            <w:tcW w:w="420" w:type="dxa"/>
            <w:vAlign w:val="bottom"/>
          </w:tcPr>
          <w:p>
            <w:pPr>
              <w:spacing w:after="0"/>
              <w:rPr>
                <w:sz w:val="14"/>
                <w:szCs w:val="14"/>
                <w:color w:val="auto"/>
              </w:rPr>
            </w:pP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(1,415)</w:t>
            </w:r>
          </w:p>
        </w:tc>
        <w:tc>
          <w:tcPr>
            <w:tcW w:w="0" w:type="dxa"/>
            <w:vAlign w:val="bottom"/>
          </w:tcPr>
          <w:p>
            <w:pPr>
              <w:spacing w:after="0"/>
              <w:rPr>
                <w:sz w:val="1"/>
                <w:szCs w:val="1"/>
                <w:color w:val="auto"/>
              </w:rPr>
            </w:pPr>
          </w:p>
        </w:tc>
      </w:tr>
      <w:tr>
        <w:trPr>
          <w:trHeight w:val="17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PIPE make-whole liability</w:t>
            </w:r>
          </w:p>
        </w:tc>
        <w:tc>
          <w:tcPr>
            <w:tcW w:w="9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171"/>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Merger-related transaction costs expensed</w:t>
            </w:r>
          </w:p>
        </w:tc>
        <w:tc>
          <w:tcPr>
            <w:tcW w:w="980" w:type="dxa"/>
            <w:vAlign w:val="bottom"/>
          </w:tcPr>
          <w:p>
            <w:pPr>
              <w:spacing w:after="0"/>
              <w:rPr>
                <w:sz w:val="14"/>
                <w:szCs w:val="14"/>
                <w:color w:val="auto"/>
              </w:rPr>
            </w:pPr>
          </w:p>
        </w:tc>
        <w:tc>
          <w:tcPr>
            <w:tcW w:w="94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4,009</w:t>
            </w:r>
          </w:p>
        </w:tc>
        <w:tc>
          <w:tcPr>
            <w:tcW w:w="0" w:type="dxa"/>
            <w:vAlign w:val="bottom"/>
          </w:tcPr>
          <w:p>
            <w:pPr>
              <w:spacing w:after="0"/>
              <w:rPr>
                <w:sz w:val="1"/>
                <w:szCs w:val="1"/>
                <w:color w:val="auto"/>
              </w:rPr>
            </w:pPr>
          </w:p>
        </w:tc>
      </w:tr>
      <w:tr>
        <w:trPr>
          <w:trHeight w:val="17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costs expensed</w:t>
            </w:r>
          </w:p>
        </w:tc>
        <w:tc>
          <w:tcPr>
            <w:tcW w:w="9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7,266</w:t>
            </w: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2,894</w:t>
            </w:r>
          </w:p>
        </w:tc>
        <w:tc>
          <w:tcPr>
            <w:tcW w:w="0" w:type="dxa"/>
            <w:vAlign w:val="bottom"/>
          </w:tcPr>
          <w:p>
            <w:pPr>
              <w:spacing w:after="0"/>
              <w:rPr>
                <w:sz w:val="1"/>
                <w:szCs w:val="1"/>
                <w:color w:val="auto"/>
              </w:rPr>
            </w:pPr>
          </w:p>
        </w:tc>
      </w:tr>
      <w:tr>
        <w:trPr>
          <w:trHeight w:val="181"/>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losses, net</w:t>
            </w:r>
          </w:p>
        </w:tc>
        <w:tc>
          <w:tcPr>
            <w:tcW w:w="9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1,707</w:t>
            </w:r>
          </w:p>
        </w:tc>
        <w:tc>
          <w:tcPr>
            <w:tcW w:w="0" w:type="dxa"/>
            <w:vAlign w:val="bottom"/>
          </w:tcPr>
          <w:p>
            <w:pPr>
              <w:spacing w:after="0"/>
              <w:rPr>
                <w:sz w:val="1"/>
                <w:szCs w:val="1"/>
                <w:color w:val="auto"/>
              </w:rPr>
            </w:pPr>
          </w:p>
        </w:tc>
      </w:tr>
      <w:tr>
        <w:trPr>
          <w:trHeight w:val="161"/>
        </w:trPr>
        <w:tc>
          <w:tcPr>
            <w:tcW w:w="78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before income taxes</w:t>
            </w:r>
          </w:p>
        </w:tc>
        <w:tc>
          <w:tcPr>
            <w:tcW w:w="9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(46,124)</w:t>
            </w:r>
          </w:p>
        </w:tc>
        <w:tc>
          <w:tcPr>
            <w:tcW w:w="3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(22,463)</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9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(2,429)</w:t>
            </w:r>
          </w:p>
        </w:tc>
        <w:tc>
          <w:tcPr>
            <w:tcW w:w="0" w:type="dxa"/>
            <w:vAlign w:val="bottom"/>
          </w:tcPr>
          <w:p>
            <w:pPr>
              <w:spacing w:after="0"/>
              <w:rPr>
                <w:sz w:val="1"/>
                <w:szCs w:val="1"/>
                <w:color w:val="auto"/>
              </w:rPr>
            </w:pPr>
          </w:p>
        </w:tc>
      </w:tr>
      <w:tr>
        <w:trPr>
          <w:trHeight w:val="161"/>
        </w:trPr>
        <w:tc>
          <w:tcPr>
            <w:tcW w:w="78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9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(46,131)</w:t>
            </w:r>
          </w:p>
        </w:tc>
        <w:tc>
          <w:tcPr>
            <w:tcW w:w="3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(20,034)</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Deemed dividend from warrant price adjustment</w:t>
            </w:r>
          </w:p>
        </w:tc>
        <w:tc>
          <w:tcPr>
            <w:tcW w:w="980" w:type="dxa"/>
            <w:vAlign w:val="bottom"/>
          </w:tcPr>
          <w:p>
            <w:pPr>
              <w:spacing w:after="0"/>
              <w:rPr>
                <w:sz w:val="15"/>
                <w:szCs w:val="15"/>
                <w:color w:val="auto"/>
              </w:rPr>
            </w:pPr>
          </w:p>
        </w:tc>
        <w:tc>
          <w:tcPr>
            <w:tcW w:w="94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172"/>
        </w:trPr>
        <w:tc>
          <w:tcPr>
            <w:tcW w:w="7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 available to common stockholders</w:t>
            </w:r>
          </w:p>
        </w:tc>
        <w:tc>
          <w:tcPr>
            <w:tcW w:w="980" w:type="dxa"/>
            <w:vAlign w:val="bottom"/>
            <w:tcBorders>
              <w:top w:val="single" w:sz="8" w:color="auto"/>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(46,131</w:t>
            </w:r>
          </w:p>
        </w:tc>
        <w:tc>
          <w:tcPr>
            <w:tcW w:w="320" w:type="dxa"/>
            <w:vAlign w:val="bottom"/>
            <w:tcBorders>
              <w:top w:val="single" w:sz="8" w:color="CCEEFF"/>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(20,695</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of Class A and Class B Common Stock:</w:t>
            </w:r>
          </w:p>
        </w:tc>
        <w:tc>
          <w:tcPr>
            <w:tcW w:w="9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(10.15)</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143"/>
        </w:trPr>
        <w:tc>
          <w:tcPr>
            <w:tcW w:w="7800" w:type="dxa"/>
            <w:vAlign w:val="bottom"/>
            <w:tcBorders>
              <w:top w:val="single" w:sz="8" w:color="CCEEFF"/>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980" w:type="dxa"/>
            <w:vAlign w:val="bottom"/>
            <w:tcBorders>
              <w:top w:val="single" w:sz="8" w:color="auto"/>
              <w:bottom w:val="single" w:sz="8" w:color="auto"/>
            </w:tcBorders>
            <w:shd w:val="clear" w:color="auto" w:fill="CCEEFF"/>
          </w:tcPr>
          <w:p>
            <w:pPr>
              <w:jc w:val="right"/>
              <w:ind w:right="8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(10.15</w:t>
            </w:r>
          </w:p>
        </w:tc>
        <w:tc>
          <w:tcPr>
            <w:tcW w:w="320" w:type="dxa"/>
            <w:vAlign w:val="bottom"/>
            <w:tcBorders>
              <w:top w:val="single" w:sz="8" w:color="CCEEFF"/>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tcBorders>
              <w:top w:val="single" w:sz="8" w:color="auto"/>
              <w:bottom w:val="single" w:sz="8" w:color="auto"/>
            </w:tcBorders>
            <w:shd w:val="clear" w:color="auto" w:fill="CCEEFF"/>
          </w:tcPr>
          <w:p>
            <w:pPr>
              <w:jc w:val="right"/>
              <w:ind w:right="2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(7.53</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9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4,546,509</w:t>
            </w: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2,841,958</w:t>
            </w:r>
          </w:p>
        </w:tc>
        <w:tc>
          <w:tcPr>
            <w:tcW w:w="0" w:type="dxa"/>
            <w:vAlign w:val="bottom"/>
          </w:tcPr>
          <w:p>
            <w:pPr>
              <w:spacing w:after="0"/>
              <w:rPr>
                <w:sz w:val="1"/>
                <w:szCs w:val="1"/>
                <w:color w:val="auto"/>
              </w:rPr>
            </w:pPr>
          </w:p>
        </w:tc>
      </w:tr>
      <w:tr>
        <w:trPr>
          <w:trHeight w:val="185"/>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4,546,509</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2,948,302</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16" w:name="page117"/>
    <w:bookmarkEnd w:id="116"/>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REDEEMABLE CONVERTIBLE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 AND STOCKHOLDERS’ EQUITY (DEFICIT)</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5"/>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w w:val="98"/>
              </w:rPr>
              <w:t>Founders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5"/>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60" w:type="dxa"/>
            <w:vAlign w:val="bottom"/>
          </w:tcPr>
          <w:p>
            <w:pPr>
              <w:spacing w:after="0"/>
              <w:rPr>
                <w:sz w:val="12"/>
                <w:szCs w:val="12"/>
                <w:color w:val="auto"/>
              </w:rPr>
            </w:pPr>
          </w:p>
        </w:tc>
        <w:tc>
          <w:tcPr>
            <w:tcW w:w="120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Contingently</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5"/>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w w:val="97"/>
              </w:rPr>
              <w:t>Convertible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Convertible</w:t>
            </w:r>
          </w:p>
        </w:tc>
        <w:tc>
          <w:tcPr>
            <w:tcW w:w="60" w:type="dxa"/>
            <w:vAlign w:val="bottom"/>
          </w:tcPr>
          <w:p>
            <w:pPr>
              <w:spacing w:after="0"/>
              <w:rPr>
                <w:sz w:val="13"/>
                <w:szCs w:val="13"/>
                <w:color w:val="auto"/>
              </w:rPr>
            </w:pPr>
          </w:p>
        </w:tc>
        <w:tc>
          <w:tcPr>
            <w:tcW w:w="120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40" w:type="dxa"/>
            <w:vAlign w:val="bottom"/>
          </w:tcPr>
          <w:p>
            <w:pPr>
              <w:spacing w:after="0"/>
              <w:rPr>
                <w:sz w:val="13"/>
                <w:szCs w:val="13"/>
                <w:color w:val="auto"/>
              </w:rPr>
            </w:pPr>
          </w:p>
        </w:tc>
        <w:tc>
          <w:tcPr>
            <w:tcW w:w="132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Legacy</w:t>
            </w:r>
          </w:p>
        </w:tc>
        <w:tc>
          <w:tcPr>
            <w:tcW w:w="60" w:type="dxa"/>
            <w:vAlign w:val="bottom"/>
          </w:tcPr>
          <w:p>
            <w:pPr>
              <w:spacing w:after="0"/>
              <w:rPr>
                <w:sz w:val="13"/>
                <w:szCs w:val="13"/>
                <w:color w:val="auto"/>
              </w:rPr>
            </w:pPr>
          </w:p>
        </w:tc>
        <w:tc>
          <w:tcPr>
            <w:tcW w:w="130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60" w:type="dxa"/>
            <w:vAlign w:val="bottom"/>
          </w:tcPr>
          <w:p>
            <w:pPr>
              <w:spacing w:after="0"/>
              <w:rPr>
                <w:sz w:val="13"/>
                <w:szCs w:val="13"/>
                <w:color w:val="auto"/>
              </w:rPr>
            </w:pPr>
          </w:p>
        </w:tc>
        <w:tc>
          <w:tcPr>
            <w:tcW w:w="1080" w:type="dxa"/>
            <w:vAlign w:val="bottom"/>
            <w:gridSpan w:val="4"/>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79"/>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7"/>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Preferred Stock</w:t>
            </w:r>
          </w:p>
        </w:tc>
        <w:tc>
          <w:tcPr>
            <w:tcW w:w="60" w:type="dxa"/>
            <w:vAlign w:val="bottom"/>
          </w:tcPr>
          <w:p>
            <w:pPr>
              <w:spacing w:after="0"/>
              <w:rPr>
                <w:sz w:val="15"/>
                <w:szCs w:val="15"/>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60" w:type="dxa"/>
            <w:vAlign w:val="bottom"/>
          </w:tcPr>
          <w:p>
            <w:pPr>
              <w:spacing w:after="0"/>
              <w:rPr>
                <w:sz w:val="15"/>
                <w:szCs w:val="15"/>
                <w:color w:val="auto"/>
              </w:rPr>
            </w:pPr>
          </w:p>
        </w:tc>
        <w:tc>
          <w:tcPr>
            <w:tcW w:w="120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5"/>
                <w:szCs w:val="15"/>
                <w:color w:val="auto"/>
              </w:rPr>
            </w:pPr>
          </w:p>
        </w:tc>
        <w:tc>
          <w:tcPr>
            <w:tcW w:w="13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60" w:type="dxa"/>
            <w:vAlign w:val="bottom"/>
          </w:tcPr>
          <w:p>
            <w:pPr>
              <w:spacing w:after="0"/>
              <w:rPr>
                <w:sz w:val="15"/>
                <w:szCs w:val="15"/>
                <w:color w:val="auto"/>
              </w:rPr>
            </w:pPr>
          </w:p>
        </w:tc>
        <w:tc>
          <w:tcPr>
            <w:tcW w:w="130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60" w:type="dxa"/>
            <w:vAlign w:val="bottom"/>
          </w:tcPr>
          <w:p>
            <w:pPr>
              <w:spacing w:after="0"/>
              <w:rPr>
                <w:sz w:val="15"/>
                <w:szCs w:val="15"/>
                <w:color w:val="auto"/>
              </w:rPr>
            </w:pPr>
          </w:p>
        </w:tc>
        <w:tc>
          <w:tcPr>
            <w:tcW w:w="1080" w:type="dxa"/>
            <w:vAlign w:val="bottom"/>
            <w:gridSpan w:val="4"/>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5"/>
                <w:szCs w:val="15"/>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52"/>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9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58,823</w:t>
            </w: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166,666  $</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2,300</w:t>
            </w:r>
          </w:p>
        </w:tc>
        <w:tc>
          <w:tcPr>
            <w:tcW w:w="60" w:type="dxa"/>
            <w:vAlign w:val="bottom"/>
            <w:shd w:val="clear" w:color="auto" w:fill="CCEEFF"/>
          </w:tcPr>
          <w:p>
            <w:pPr>
              <w:spacing w:after="0"/>
              <w:rPr>
                <w:sz w:val="15"/>
                <w:szCs w:val="15"/>
                <w:color w:val="auto"/>
              </w:rPr>
            </w:pPr>
          </w:p>
        </w:tc>
        <w:tc>
          <w:tcPr>
            <w:tcW w:w="6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  $</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1,669,217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78,421</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(83,762)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(5,341)</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48,217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43,783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contingently</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redeemable</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 acquisition</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 EMI</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Solutions, Inc.</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96,491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8,856</w:t>
            </w: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Lapse of</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redemption</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feature on</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(96,491)</w:t>
            </w: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(8,856)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96,491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Reverse</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recapitalization</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transactions, net</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 3)</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(58,823)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(166,666)</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(2,300)</w:t>
            </w:r>
          </w:p>
        </w:tc>
        <w:tc>
          <w:tcPr>
            <w:tcW w:w="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(1,813,925)</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2,290,180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225,490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(16,083)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(16,083)</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for acquisition</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of RaGE</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Systems, Inc.</w:t>
            </w:r>
          </w:p>
        </w:tc>
        <w:tc>
          <w:tcPr>
            <w:tcW w:w="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321,404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warrants in</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connection with</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payable</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placement agent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upon exercise</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 stock options</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152,163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upon exercise</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of warrants</w:t>
            </w:r>
          </w:p>
        </w:tc>
        <w:tc>
          <w:tcPr>
            <w:tcW w:w="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341,035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upon vesting of</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RSUs</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PIPE make-</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whole shares</w:t>
            </w:r>
          </w:p>
        </w:tc>
        <w:tc>
          <w:tcPr>
            <w:tcW w:w="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105,202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of</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B</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 Class A</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(12,500)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Deemed</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dividend from</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warrant price</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adjustment</w:t>
            </w:r>
          </w:p>
        </w:tc>
        <w:tc>
          <w:tcPr>
            <w:tcW w:w="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(661)</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21,383</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(20,034)</w:t>
            </w: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(20,034)</w:t>
            </w:r>
          </w:p>
        </w:tc>
        <w:tc>
          <w:tcPr>
            <w:tcW w:w="0" w:type="dxa"/>
            <w:vAlign w:val="bottom"/>
          </w:tcPr>
          <w:p>
            <w:pPr>
              <w:spacing w:after="0"/>
              <w:rPr>
                <w:sz w:val="1"/>
                <w:szCs w:val="1"/>
                <w:color w:val="auto"/>
              </w:rPr>
            </w:pPr>
          </w:p>
        </w:tc>
      </w:tr>
      <w:tr>
        <w:trPr>
          <w:trHeight w:val="130"/>
        </w:trPr>
        <w:tc>
          <w:tcPr>
            <w:tcW w:w="90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3,282,423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212,991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109,987</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(104,457)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5,530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Class A</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and warrants in</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private</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placement</w:t>
            </w:r>
          </w:p>
        </w:tc>
        <w:tc>
          <w:tcPr>
            <w:tcW w:w="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385,000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205,821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Class A</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for RaGE</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earnout</w:t>
            </w:r>
          </w:p>
        </w:tc>
        <w:tc>
          <w:tcPr>
            <w:tcW w:w="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64,280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A</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 settlement of</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143,540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1,535</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upon exercise</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of warrants</w:t>
            </w:r>
          </w:p>
        </w:tc>
        <w:tc>
          <w:tcPr>
            <w:tcW w:w="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903,852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upon vesting of</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RSUs</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226,425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80"/>
          </w:cols>
          <w:pgMar w:left="300" w:top="549" w:right="319" w:bottom="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awards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pledged as</w:t>
            </w: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940" w:type="dxa"/>
            <w:vAlign w:val="bottom"/>
            <w:gridSpan w:val="3"/>
            <w:vMerge w:val="restart"/>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collateral</w:t>
            </w: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right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vMerge w:val="continue"/>
            <w:shd w:val="clear" w:color="auto" w:fill="CCEEFF"/>
          </w:tcPr>
          <w:p>
            <w:pPr>
              <w:spacing w:after="0"/>
              <w:rPr>
                <w:sz w:val="14"/>
                <w:szCs w:val="14"/>
                <w:color w:val="auto"/>
              </w:rPr>
            </w:pP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Conversion of</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Class B</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to Class A</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vMerge w:val="continue"/>
          </w:tcPr>
          <w:p>
            <w:pPr>
              <w:spacing w:after="0"/>
              <w:rPr>
                <w:sz w:val="14"/>
                <w:szCs w:val="14"/>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(12,500)</w:t>
            </w:r>
          </w:p>
        </w:tc>
        <w:tc>
          <w:tcPr>
            <w:tcW w:w="240" w:type="dxa"/>
            <w:vAlign w:val="bottom"/>
          </w:tcPr>
          <w:p>
            <w:pPr>
              <w:spacing w:after="0"/>
              <w:rPr>
                <w:sz w:val="14"/>
                <w:szCs w:val="14"/>
                <w:color w:val="auto"/>
              </w:rPr>
            </w:pP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w:t>
            </w: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right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25,619</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25,619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(46,131)</w:t>
            </w:r>
          </w:p>
        </w:tc>
        <w:tc>
          <w:tcPr>
            <w:tcW w:w="2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(46,131)</w:t>
            </w:r>
          </w:p>
        </w:tc>
        <w:tc>
          <w:tcPr>
            <w:tcW w:w="0" w:type="dxa"/>
            <w:vAlign w:val="bottom"/>
          </w:tcPr>
          <w:p>
            <w:pPr>
              <w:spacing w:after="0"/>
              <w:rPr>
                <w:sz w:val="1"/>
                <w:szCs w:val="1"/>
                <w:color w:val="auto"/>
              </w:rPr>
            </w:pPr>
          </w:p>
        </w:tc>
      </w:tr>
      <w:tr>
        <w:trPr>
          <w:trHeight w:val="130"/>
        </w:trPr>
        <w:tc>
          <w:tcPr>
            <w:tcW w:w="90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right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right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rPr>
              <w:t>—  $</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5,883,842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200,491</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150,252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(150,588) $</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(336)</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70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70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r>
      <w:tr>
        <w:trPr>
          <w:trHeight w:val="16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280" w:type="dxa"/>
            <w:vAlign w:val="bottom"/>
          </w:tcPr>
          <w:p>
            <w:pPr>
              <w:jc w:val="right"/>
              <w:ind w:right="1161"/>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(46,131)</w:t>
            </w: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(20,034)</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w:t>
            </w:r>
          </w:p>
        </w:tc>
        <w:tc>
          <w:tcPr>
            <w:tcW w:w="1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366</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472</w:t>
            </w:r>
          </w:p>
        </w:tc>
      </w:tr>
      <w:tr>
        <w:trPr>
          <w:trHeight w:val="171"/>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1,543</w:t>
            </w:r>
          </w:p>
        </w:tc>
      </w:tr>
      <w:tr>
        <w:trPr>
          <w:trHeight w:val="171"/>
        </w:trPr>
        <w:tc>
          <w:tcPr>
            <w:tcW w:w="7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725</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1,333</w:t>
            </w:r>
          </w:p>
        </w:tc>
      </w:tr>
      <w:tr>
        <w:trPr>
          <w:trHeight w:val="171"/>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Issuance of warrants in connection with financing activities, charged to expense</w:t>
            </w: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6,458</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1,023</w:t>
            </w:r>
          </w:p>
        </w:tc>
      </w:tr>
      <w:tr>
        <w:trPr>
          <w:trHeight w:val="171"/>
        </w:trPr>
        <w:tc>
          <w:tcPr>
            <w:tcW w:w="7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12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(440)</w:t>
            </w:r>
          </w:p>
        </w:tc>
        <w:tc>
          <w:tcPr>
            <w:tcW w:w="54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(31,879)</w:t>
            </w:r>
          </w:p>
        </w:tc>
      </w:tr>
      <w:tr>
        <w:trPr>
          <w:trHeight w:val="171"/>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1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(804)</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(1,415)</w:t>
            </w:r>
          </w:p>
        </w:tc>
      </w:tr>
      <w:tr>
        <w:trPr>
          <w:trHeight w:val="171"/>
        </w:trPr>
        <w:tc>
          <w:tcPr>
            <w:tcW w:w="7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PIPE make-whole liability</w:t>
            </w:r>
          </w:p>
        </w:tc>
        <w:tc>
          <w:tcPr>
            <w:tcW w:w="1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(830)</w:t>
            </w:r>
          </w:p>
        </w:tc>
      </w:tr>
      <w:tr>
        <w:trPr>
          <w:trHeight w:val="171"/>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Merger-related transaction costs expensed</w:t>
            </w:r>
          </w:p>
        </w:tc>
        <w:tc>
          <w:tcPr>
            <w:tcW w:w="1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4,009</w:t>
            </w:r>
          </w:p>
        </w:tc>
      </w:tr>
      <w:tr>
        <w:trPr>
          <w:trHeight w:val="171"/>
        </w:trPr>
        <w:tc>
          <w:tcPr>
            <w:tcW w:w="7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Private placement costs expensed</w:t>
            </w:r>
          </w:p>
        </w:tc>
        <w:tc>
          <w:tcPr>
            <w:tcW w:w="1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280</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2,894</w:t>
            </w:r>
          </w:p>
        </w:tc>
      </w:tr>
      <w:tr>
        <w:trPr>
          <w:trHeight w:val="171"/>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25,619</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21,383</w:t>
            </w:r>
          </w:p>
        </w:tc>
      </w:tr>
      <w:tr>
        <w:trPr>
          <w:trHeight w:val="171"/>
        </w:trPr>
        <w:tc>
          <w:tcPr>
            <w:tcW w:w="7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income taxes</w:t>
            </w:r>
          </w:p>
        </w:tc>
        <w:tc>
          <w:tcPr>
            <w:tcW w:w="1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w:t>
            </w:r>
          </w:p>
        </w:tc>
        <w:tc>
          <w:tcPr>
            <w:tcW w:w="54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(2,432)</w:t>
            </w:r>
          </w:p>
        </w:tc>
      </w:tr>
      <w:tr>
        <w:trPr>
          <w:trHeight w:val="171"/>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non-cash items</w:t>
            </w:r>
          </w:p>
        </w:tc>
        <w:tc>
          <w:tcPr>
            <w:tcW w:w="1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751</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693</w:t>
            </w:r>
          </w:p>
        </w:tc>
      </w:tr>
      <w:tr>
        <w:trPr>
          <w:trHeight w:val="171"/>
        </w:trPr>
        <w:tc>
          <w:tcPr>
            <w:tcW w:w="7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 of businesses:</w:t>
            </w: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receivable</w:t>
            </w: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(1,817)</w:t>
            </w:r>
          </w:p>
        </w:tc>
      </w:tr>
      <w:tr>
        <w:trPr>
          <w:trHeight w:val="171"/>
        </w:trPr>
        <w:tc>
          <w:tcPr>
            <w:tcW w:w="7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Inventory</w:t>
            </w:r>
          </w:p>
        </w:tc>
        <w:tc>
          <w:tcPr>
            <w:tcW w:w="1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290</w:t>
            </w:r>
          </w:p>
        </w:tc>
        <w:tc>
          <w:tcPr>
            <w:tcW w:w="54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w:t>
            </w:r>
          </w:p>
        </w:tc>
      </w:tr>
      <w:tr>
        <w:trPr>
          <w:trHeight w:val="171"/>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w:t>
            </w:r>
          </w:p>
        </w:tc>
      </w:tr>
      <w:tr>
        <w:trPr>
          <w:trHeight w:val="171"/>
        </w:trPr>
        <w:tc>
          <w:tcPr>
            <w:tcW w:w="7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payable</w:t>
            </w:r>
          </w:p>
        </w:tc>
        <w:tc>
          <w:tcPr>
            <w:tcW w:w="12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(1,283)</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3,862</w:t>
            </w:r>
          </w:p>
        </w:tc>
      </w:tr>
      <w:tr>
        <w:trPr>
          <w:trHeight w:val="181"/>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922</w:t>
            </w:r>
          </w:p>
        </w:tc>
        <w:tc>
          <w:tcPr>
            <w:tcW w:w="5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2,852</w:t>
            </w:r>
          </w:p>
        </w:tc>
      </w:tr>
      <w:tr>
        <w:trPr>
          <w:trHeight w:val="161"/>
        </w:trPr>
        <w:tc>
          <w:tcPr>
            <w:tcW w:w="7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2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(10,113)</w:t>
            </w:r>
          </w:p>
        </w:tc>
        <w:tc>
          <w:tcPr>
            <w:tcW w:w="3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(18,388)</w:t>
            </w: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12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(26)</w:t>
            </w:r>
          </w:p>
        </w:tc>
        <w:tc>
          <w:tcPr>
            <w:tcW w:w="54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w:t>
            </w:r>
          </w:p>
        </w:tc>
      </w:tr>
      <w:tr>
        <w:trPr>
          <w:trHeight w:val="18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1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(1,064)</w:t>
            </w:r>
          </w:p>
        </w:tc>
      </w:tr>
      <w:tr>
        <w:trPr>
          <w:trHeight w:val="161"/>
        </w:trPr>
        <w:tc>
          <w:tcPr>
            <w:tcW w:w="7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2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common stock and warrants in private placements</w:t>
            </w: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3,645</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3,585</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3,529</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exercise of common stock warrants</w:t>
            </w: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4,520</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notes payable</w:t>
            </w: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5,317</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1,198</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notes payable – related parties</w:t>
            </w:r>
          </w:p>
        </w:tc>
        <w:tc>
          <w:tcPr>
            <w:tcW w:w="1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450</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Principal payments on notes payable</w:t>
            </w:r>
          </w:p>
        </w:tc>
        <w:tc>
          <w:tcPr>
            <w:tcW w:w="1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(1,215)</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(1,749)</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payments on notes payable – related parties</w:t>
            </w:r>
          </w:p>
        </w:tc>
        <w:tc>
          <w:tcPr>
            <w:tcW w:w="12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(574)</w:t>
            </w:r>
          </w:p>
        </w:tc>
        <w:tc>
          <w:tcPr>
            <w:tcW w:w="54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(1,463)</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consideration paid for acquisitions of businesses</w:t>
            </w:r>
          </w:p>
        </w:tc>
        <w:tc>
          <w:tcPr>
            <w:tcW w:w="1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(174)</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(174)</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the Merger and PIPE</w:t>
            </w:r>
          </w:p>
        </w:tc>
        <w:tc>
          <w:tcPr>
            <w:tcW w:w="1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21,014</w:t>
            </w:r>
          </w:p>
        </w:tc>
      </w:tr>
      <w:tr>
        <w:trPr>
          <w:trHeight w:val="18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Merger-related transaction costs paid</w:t>
            </w:r>
          </w:p>
        </w:tc>
        <w:tc>
          <w:tcPr>
            <w:tcW w:w="1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(6,946)</w:t>
            </w:r>
          </w:p>
        </w:tc>
      </w:tr>
      <w:tr>
        <w:trPr>
          <w:trHeight w:val="161"/>
        </w:trPr>
        <w:tc>
          <w:tcPr>
            <w:tcW w:w="702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13,119</w:t>
            </w:r>
          </w:p>
        </w:tc>
        <w:tc>
          <w:tcPr>
            <w:tcW w:w="32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19,673</w:t>
            </w:r>
          </w:p>
        </w:tc>
        <w:tc>
          <w:tcPr>
            <w:tcW w:w="100" w:type="dxa"/>
            <w:vAlign w:val="bottom"/>
            <w:tcBorders>
              <w:bottom w:val="single" w:sz="8" w:color="CCEEFF"/>
            </w:tcBorders>
          </w:tcPr>
          <w:p>
            <w:pPr>
              <w:spacing w:after="0"/>
              <w:rPr>
                <w:sz w:val="14"/>
                <w:szCs w:val="14"/>
                <w:color w:val="auto"/>
              </w:rPr>
            </w:pPr>
          </w:p>
        </w:tc>
      </w:tr>
      <w:tr>
        <w:trPr>
          <w:trHeight w:val="161"/>
        </w:trPr>
        <w:tc>
          <w:tcPr>
            <w:tcW w:w="70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in cash</w:t>
            </w:r>
          </w:p>
        </w:tc>
        <w:tc>
          <w:tcPr>
            <w:tcW w:w="1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177</w:t>
            </w:r>
          </w:p>
        </w:tc>
      </w:tr>
      <w:tr>
        <w:trPr>
          <w:trHeight w:val="18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beginning of period</w:t>
            </w:r>
          </w:p>
        </w:tc>
        <w:tc>
          <w:tcPr>
            <w:tcW w:w="1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266</w:t>
            </w:r>
          </w:p>
        </w:tc>
        <w:tc>
          <w:tcPr>
            <w:tcW w:w="5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w:t>
            </w:r>
          </w:p>
        </w:tc>
      </w:tr>
      <w:tr>
        <w:trPr>
          <w:trHeight w:val="212"/>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1280" w:type="dxa"/>
            <w:vAlign w:val="bottom"/>
            <w:tcBorders>
              <w:top w:val="single" w:sz="8" w:color="auto"/>
              <w:bottom w:val="single" w:sz="8" w:color="auto"/>
            </w:tcBorders>
          </w:tcPr>
          <w:p>
            <w:pPr>
              <w:jc w:val="right"/>
              <w:ind w:right="116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3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CCEEFF"/>
            </w:tcBorders>
          </w:tcPr>
          <w:p>
            <w:pPr>
              <w:spacing w:after="0"/>
              <w:rPr>
                <w:sz w:val="18"/>
                <w:szCs w:val="18"/>
                <w:color w:val="auto"/>
              </w:rPr>
            </w:pPr>
          </w:p>
        </w:tc>
      </w:tr>
      <w:tr>
        <w:trPr>
          <w:trHeight w:val="143"/>
        </w:trPr>
        <w:tc>
          <w:tcPr>
            <w:tcW w:w="70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1280" w:type="dxa"/>
            <w:vAlign w:val="bottom"/>
            <w:shd w:val="clear" w:color="auto" w:fill="CCEEFF"/>
          </w:tcPr>
          <w:p>
            <w:pPr>
              <w:jc w:val="right"/>
              <w:ind w:right="116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521</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0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Settlement of notes payable and other liabilities in Class A Common Stock</w:t>
            </w:r>
          </w:p>
        </w:tc>
        <w:tc>
          <w:tcPr>
            <w:tcW w:w="1280" w:type="dxa"/>
            <w:vAlign w:val="bottom"/>
            <w:shd w:val="clear" w:color="auto" w:fill="CCEEFF"/>
          </w:tcPr>
          <w:p>
            <w:pPr>
              <w:jc w:val="right"/>
              <w:ind w:right="116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A Common Stock issued for RaGE earnout</w:t>
            </w:r>
          </w:p>
        </w:tc>
        <w:tc>
          <w:tcPr>
            <w:tcW w:w="1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Unpaid Merger-related transaction costs</w:t>
            </w:r>
          </w:p>
        </w:tc>
        <w:tc>
          <w:tcPr>
            <w:tcW w:w="1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1,423</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Contingently redeemable convertible stock issued for acquisition of EMI Solutions, Inc.</w:t>
            </w:r>
          </w:p>
        </w:tc>
        <w:tc>
          <w:tcPr>
            <w:tcW w:w="1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8,856</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 Common Stock issued for acquisition of RaGE Systems, Inc.</w:t>
            </w:r>
          </w:p>
        </w:tc>
        <w:tc>
          <w:tcPr>
            <w:tcW w:w="1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7,682</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purchase consideration for acquisitions of businesses</w:t>
            </w:r>
          </w:p>
        </w:tc>
        <w:tc>
          <w:tcPr>
            <w:tcW w:w="1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3,522</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 of SAFEs to common stock</w:t>
            </w:r>
          </w:p>
        </w:tc>
        <w:tc>
          <w:tcPr>
            <w:tcW w:w="1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1,522</w:t>
            </w: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Deemed dividend from warrant price adjustment</w:t>
            </w:r>
          </w:p>
        </w:tc>
        <w:tc>
          <w:tcPr>
            <w:tcW w:w="12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661</w:t>
            </w: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warrants in connection with notes payable, recorded as debt discount</w:t>
            </w:r>
          </w:p>
        </w:tc>
        <w:tc>
          <w:tcPr>
            <w:tcW w:w="1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Company Information</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December 21, 2023, (the “Closing Date”), Chavant Capital Acquisition Corp. (“Chavant”) consummated the merger pursuant to the Business Combination Agreement, dated November 15, 2022 (as amended, supplemented or otherwise modified, the “Business Combination Agreement”), by and among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and Legacy Mobix changed its name from “Mobix Labs, Inc.” to “Mobix Labs Operations, Inc.” As a result of the Merger, the Company raised gross proceeds of $21,014, including the contribution of $1,264 of cash held in Chavant’s trust account and the $19,750 private investment in public equity (“PIPE”) at $10.00 per share of Chavant’s Class A Common Stock. The common stock and public warrants of the combined company began trading on The Nasdaq Stock Market LLC under the symbols “MOBX” and “MOBXW,” respectively, on December 22, 2023.</w:t>
      </w:r>
    </w:p>
    <w:p>
      <w:pPr>
        <w:spacing w:after="0" w:line="14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Throughout the notes to the consolidated financial statements, unless otherwise noted or otherwise suggested by context, the “Company” refers to Legacy Mobix prior to the consummation of the Merger, and to the Company after the consummation of the Merger.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Going Concern</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For the years ended September 30, 2025 and 2024, the Company incurred losses from operations of $37,693 and $46,395, respectively, and as of September 30, 2025, the Company had an accumulated deficit of $150,588.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consolidated financial statements do not include any adjustments that might result from the outcome of these uncertainties. Accordingly, the consolidated financial statements have been prepared on a basis that assumes the Company will continue as a going concern and which contemplates the realization of assets and the satisfaction of liabilities and commitments in the ordinary course of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The Merger was accounted for as a reverse recapitalization of the Company because Legacy Mobix has been determined to be the accounting acquirer under ASC Topic 805 –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Combinations</w:t>
      </w:r>
      <w:r>
        <w:rPr>
          <w:rFonts w:ascii="Times New Roman" w:cs="Times New Roman" w:eastAsia="Times New Roman" w:hAnsi="Times New Roman"/>
          <w:sz w:val="14"/>
          <w:szCs w:val="14"/>
          <w:color w:val="auto"/>
        </w:rPr>
        <w:t>. Under this method of accounting, Chavant is treated as the “acquired” company for financial reporting purposes. This determination was primarily based on holders of Legacy Mobix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capital stock comprising a relative majority of the voting power of the Company upon consummation of the Merger and having the ability to nominate the majority of the governing body of the Company, Legacy Mobix senior management comprising the senior management of the Company, and Legacy Mobix operations comprising the ongoing operations of the Company. Accordingly, for accounting purposes, the financial statements of the Company represent a continuation of the financial statements of Legacy Mobix with the Merger being treated as the equivalent of Legacy Mobix issuing shares for the net assets of Chavant, accompanied by a recapitalization. The net assets of Chavant were recognized as of the Closing at historical cost, with no goodwill or other intangible assets recorded. Operations prior to the Merger are presented as those of Legacy Mobix and the accumulated deficit of Legacy Mobix has been carried forward after Closing. All issued and outstanding securities of Chavant upon Closing were treated as issuances of securities of the Company upon the consummation of the Merger.</w:t>
      </w:r>
    </w:p>
    <w:p>
      <w:pPr>
        <w:spacing w:after="0" w:line="14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consolidated financial statements have been prepared in accordance with accounting principles generally accepted in the United States of America (“GAAP”) and include the accounts of Mobix Labs, Inc. and its subsidiaries. The Company’s fiscal year ends on September 30.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its wholly owned subsidiaries. All intercompany balances and transactions have been eliminated in consolidation.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prior year amounts have been reclassified for consistency with the current year presentation.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preparation of the Company’s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spacing w:after="0" w:line="319" w:lineRule="exact"/>
        <w:rPr>
          <w:sz w:val="20"/>
          <w:szCs w:val="20"/>
          <w:color w:val="auto"/>
        </w:rPr>
      </w:pPr>
    </w:p>
    <w:p>
      <w:pPr>
        <w:ind w:left="520" w:hanging="259"/>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of stock-based compensation and equity-based awards;</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of common stock for periods prior to the Merger;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p>
      <w:pPr>
        <w:ind w:left="520" w:hanging="259"/>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assessments of goodwill and long-lived assets;</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measurement of liabilities carried at fair value, including the earnout liability, the PIPE make-whole liability and liability-classified warrants;</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price allocations and valuations of net assets acquired in business combinations; and,</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income taxes and related valuation allowances and tax uncertainties.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w:t>
      </w:r>
    </w:p>
    <w:p>
      <w:pPr>
        <w:spacing w:after="0" w:line="1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As of September 30, 2025 and 2024, the Company’s cash balance consisted of demand deposits held at large financial institutions. The Company considers all highly liquid investments with a maturity of three months or less to be cash equivalents. The Company had no cash equivalents as of September 30, 2025 or 2024. The amount of deposits maintained at any financial institution may exceed federally insured limits. The Company places its cash with high credit quality financial institutions and has not experienced any losses on its deposits of cash.</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Accounts Receivable, net</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Accounts receivable are recorded at the invoiced amount and do not bear interest. For trade accounts receivable from customers, the Company performs ongoing credit evaluations of its customers and maintains an allowance for expected credit losses. The allowance for expected credit losses represents the Company’s best estimate based on current and historical information, and reasonable and supportable forecasts of future events and circumstances. Accounts receivable deemed uncollectible are charged against the allowance for expected credit losses when identified. The allowance for expected credit losses as of September 30, 2025 and 2024 and bad debt expense for the years ended September 30, 2025 and 2024 were not material.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Inventory</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Inventory is stated at the lower of cost, determined on a first-in, first-out basis, or net realizable value. Inventory costs consist of purchased materials, outside manufacturing costs, inbound freight and receiving costs, and capitalized overhead. The Company records an inventory reserve for losses associated with excess and obsolete items, based on available information and the Company’s current expectations of future demand, product obsolescence and market conditions. Any provision for excess and obsolete inventory is charged to cost of revenue and is a permanent reduction of the carrying value of inventory. The reserve for excess and obsolete inventory as of September 30, 2025 and 2024 and write-downs of obsolete inventory for the years ended September 30, 2025 and 2024 were not material.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Property and equipment, net</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The Company’s property and equipment primarily consists of laboratory equipment, computer hardware, equipment, furniture and fixtures and leasehold improvements. Property and equipment are recorded at cost less accumulated depreciation and any accumulated impairment losses. Depreciation and amortization are computed using the straight-line method over the assets’ estimated useful lives. Major improvements are capitalized, while routine maintenance and repairs which do not significantly improve or extend the useful life of an asset are expensed when incurred. Upon the sale or retirement of assets, costs and the related accumulated depreciation and amortization are removed from the accounts and any gain or loss is included in the consolidated statements of operations and comprehensive loss. See Note 6, </w:t>
      </w:r>
      <w:r>
        <w:rPr>
          <w:rFonts w:ascii="Times New Roman" w:cs="Times New Roman" w:eastAsia="Times New Roman" w:hAnsi="Times New Roman"/>
          <w:sz w:val="14"/>
          <w:szCs w:val="14"/>
          <w:i w:val="1"/>
          <w:iCs w:val="1"/>
          <w:color w:val="auto"/>
        </w:rPr>
        <w:t>Property and Equipment, net</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Intangible Assets, net</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Company’s intangible assets principally consist of acquired developed technology and customer relationships and have finite lives ranging from one to fifteen years. The Company amortizes intangible assets over their useful lives on a straight-line basis, which the Company believes approximates the pattern in which the economic benefits of the intangible assets are expected to be utilized. To the extent that an acquired developed technology is incorporated in, or used to produce, a product the Company currently produces and sells, the related amortization expense is included in cost of revenue in the consolidated statements of operations and comprehensive loss. Amortization expense on other acquisition-related intangible assets is included in operating expenses.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Long-Lived Assets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recognized impairment losses on long-lived assets of $725 and $1,333, respectively, for the years ended September 30, 2025 and 2024. See Note 7, </w:t>
      </w:r>
      <w:r>
        <w:rPr>
          <w:rFonts w:ascii="Times New Roman" w:cs="Times New Roman" w:eastAsia="Times New Roman" w:hAnsi="Times New Roman"/>
          <w:sz w:val="14"/>
          <w:szCs w:val="14"/>
          <w:i w:val="1"/>
          <w:iCs w:val="1"/>
          <w:color w:val="auto"/>
        </w:rPr>
        <w:t>Intangible Assets, net</w:t>
      </w:r>
      <w:r>
        <w:rPr>
          <w:rFonts w:ascii="Times New Roman" w:cs="Times New Roman" w:eastAsia="Times New Roman" w:hAnsi="Times New Roman"/>
          <w:sz w:val="14"/>
          <w:szCs w:val="14"/>
          <w:color w:val="auto"/>
        </w:rPr>
        <w:t xml:space="preserve"> and Note 11, </w:t>
      </w:r>
      <w:r>
        <w:rPr>
          <w:rFonts w:ascii="Times New Roman" w:cs="Times New Roman" w:eastAsia="Times New Roman" w:hAnsi="Times New Roman"/>
          <w:sz w:val="14"/>
          <w:szCs w:val="14"/>
          <w:i w:val="1"/>
          <w:iCs w:val="1"/>
          <w:color w:val="auto"/>
        </w:rPr>
        <w:t>Leases.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1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Significant judgment may be required when goodwill is assessed for impairment. Qualitative factors may be assessed to determine whether it is more likely than not that the fair value of a reporting unit is less than its carrying amount. If the assessment of all relevant qualitative factors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the Company will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the Company will recognize an impairment loss equal to the amount of the excess, limited to the amount of goodwill allocated to that reporting unit. Application of the impairment test requires judgment, including the identification of reporting units, assignment of assets and liabilities to reporting units and the determination of fair value of each reporting unit. The Company performed its annual qualitative impairment test and determined it was not more likely than not that the fair value of its reporting unit was less than its carrying amount. The Company did not record any goodwill impairment losses for the years ended September 30, 2025 and 2024.</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Combinations</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Company allocates the purchase price of an acquisition to the tangible assets acquired, liabilities assumed, and intangible assets acquired, based on their estimated fair values. The excess of the purchase price over the fair values of the net assets acquired is recorded as goodwill.</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Accounting for business combinations requires that management make significant estimates and assumptions to determine the fair value of assets acquired and liabilities assumed at the acquisition date. Although management believes the assumptions and estimates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expected costs to develop acquired technology into commercially viable products, estimated cash flows from the projects when completed, including assumptions associated with the technology migration curve and expected selling, general and administrative costs. The discount rates used to discount expected future cash flows to present value are typically derived from a weighted-average cost of capital analysis and are adjusted to reflect inherent risks. Unanticipated events and circumstances may occur that could affect either the accuracy or validity of such assumptions, estimates or actual results.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Measurements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(an exit price) in an orderly transaction between market participants at the measurement date. The Company uses a three-tiered hierarchy for inputs used in measuring fair value that emphasizes the use of observable inputs over the use of unobservable inputs by requiring that the most observable inputs be used when available. Observable inputs are market participant assumptions based on market data obtained from sources independent of the Company. Unobservable inputs are the Company’s own assumptions of what market participants would use in pricing an asset or liability based on the best information available in the circumstances. The financial and nonfinancial assets and liabilities are classified based on the lowest level of input that is significant to the fair value measurement.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basis for considering such assumptions, a three-tier hierarchy is used in management’s determination of fair value based on the reliability and observability of inputs as follows: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1 — Observable inputs that include quoted prices in active markets for identical assets or liabilities.</w:t>
      </w:r>
    </w:p>
    <w:p>
      <w:pPr>
        <w:spacing w:after="0" w:line="180" w:lineRule="exact"/>
        <w:rPr>
          <w:sz w:val="20"/>
          <w:szCs w:val="20"/>
          <w:color w:val="auto"/>
        </w:rPr>
      </w:pPr>
    </w:p>
    <w:p>
      <w:pPr>
        <w:ind w:left="260"/>
        <w:spacing w:after="0" w:line="289" w:lineRule="auto"/>
        <w:rPr>
          <w:sz w:val="20"/>
          <w:szCs w:val="20"/>
          <w:color w:val="auto"/>
        </w:rPr>
      </w:pPr>
      <w:r>
        <w:rPr>
          <w:rFonts w:ascii="Times New Roman" w:cs="Times New Roman" w:eastAsia="Times New Roman" w:hAnsi="Times New Roman"/>
          <w:sz w:val="14"/>
          <w:szCs w:val="14"/>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3 — Unobservable pricing inputs that are generally less observable from objective sources, such as discounted cash flow models or valuations.</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Company’s non-financial assets, including property and equipment, intangible assets and goodwill, are measured at estimated fair value on a nonrecurring basis. These assets are adjusted to fair value only when an impairment is recognized, or in the event an asset is held for sale.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Common Stock</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determines the fair value of shares of its common stock by reference to quoted market prices. Prior to the Closing, there was no public market for the Company’s common stock, and the Company determined the fair value of shares of its common stock considering a number of objective and subjective factors, including: third-party valuations of its common stock, the valuation of comparable companies, sales of the Company’s common stock to outside investors in arms-length transactions, the Company’s forecasted financial performance, operational developments and milestones, the lack of marketability, the likelihood of achieving a liquidity event and the general and industry specific economic outlook.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Classification of Warrants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The Company accounts for warrants to purchase its common stock as either equity-classified or liability-classified instruments based on an assessment of the warrant’s specific terms and applicable authoritative guidance in ASC Topic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xml:space="preserve"> (“ASC 480”) and ASC Topic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(“ASC 815”). The assessment considers whether the warrants are freestanding financial instruments pursuant to ASC 480, meet the liability classification requirements pursuant to ASC 480, and whether the warrants meet all of the requirements for equity classification under ASC 815, including whether the warrants are indexed to the Company’s own stock, among other conditions for equity classification. This assessment, which requires the use of professional judgment, is conducted when warrants are issued or modified and as of each subsequent period end date while the warrants are outstanding.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Loss Per Share</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Basic and diluted net loss per share attributable to common stockholders is presented using the two-class method required for participating securities. Under the two-class method, net loss is attributed to the Class A and Class B Common Stock and other participating securities according to dividends declared or accumulated and participation rights in undistributed earnings. Basic net loss per share is computed by dividing the net loss by the weighted-average number of shares of common stock outstanding during the period. Diluted net loss per share is computed using the weighted-average number of shares and the effect of potentially dilutive securities outstanding during the period. For a period in which the Company reports a net loss, diluted net loss per share is similar to basic net loss per share because potentially dilutive common shares are not assumed to have been issued if their effect is antidilutive. See Note 18, </w:t>
      </w:r>
      <w:r>
        <w:rPr>
          <w:rFonts w:ascii="Times New Roman" w:cs="Times New Roman" w:eastAsia="Times New Roman" w:hAnsi="Times New Roman"/>
          <w:sz w:val="14"/>
          <w:szCs w:val="14"/>
          <w:i w:val="1"/>
          <w:iCs w:val="1"/>
          <w:color w:val="auto"/>
        </w:rPr>
        <w:t>Net Loss Per Share.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Stock-based compensation awards principally consist of restricted stock units (“RSUs”) or restricted stock awards (“RSAs”). RSUs entitle the holder to receive a number of shares of the Company’s Class A Common Stock, subject to service-based vesting conditions or, in some cases, other conditions. RSAs consist of shares of the Company’s common stock which are contingently returnable to the Company (i.e., subject to “clawback”) in the event that specified service-based vesting conditions or other conditions are not met. The Company establishes the fair value of each RSU or RSA based on the grant-date fair value of the underlying shares of its common stock. The Company recognizes stock-based compensation expense for RSUs and RSAs over the requisite service period, as applicable, or upon determination that the satisfaction of performance-based conditions is probable.</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Stock-based compensation awards also include stock option awards. The Company estimates the fair value of stock option awards using the Black-Scholes-Merton (“Black-Scholes”) option-pricing model. The fair value of each stock option award is recognized as compensation expense on a straight-line basis over the requisite service period, which is typically four years. The Black-Scholes model considers several variables and assumptions in estimating the fair value of stock-based awards. These variables include:</w:t>
      </w:r>
    </w:p>
    <w:p>
      <w:pPr>
        <w:spacing w:after="0" w:line="135" w:lineRule="exact"/>
        <w:rPr>
          <w:sz w:val="20"/>
          <w:szCs w:val="20"/>
          <w:color w:val="auto"/>
        </w:rPr>
      </w:pPr>
    </w:p>
    <w:p>
      <w:pPr>
        <w:ind w:left="520" w:hanging="259"/>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fair value of the underlying common stock;</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term;</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stock price volatility over the expected term; and,</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annual dividend yield.</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expected term represents the period over which the stock-based award is expected to remain outstanding and is estimated based on historical experience of similar awards, vesting schedules and expectations of future employee behavior. The risk-free interest rate is based on the yield available on U.S. Treasury zero-coupon issues similar in duration to the expected term of the stock-based award. Because there is a limited trading history for the Class A Common Stock, the Company estimates expected stock price volatility based on the historical price volatility of its common stock as well as the historical stock price volatility of similar publicly traded peer companies. The Company estimates the expected annual dividend yield will be zero because the Company does not currently expect to declare dividends on its common stock.</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 has elected to account for forfeitures as they occur and initially records stock-based compensation expense assuming all holders of RSUs, RSAs or stock option awards will complete the requisite service period. If the holder forfeits an award because they fail to complete the requisite service period, the Company reverses any previously recognized stock-based compensation expense in the period the award is forfeited.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Comprehensive Loss</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Comprehensive loss includes the Company’s net loss as well as other changes in stockholders’ equity that result from transactions and economic events other than those with stockholders. There were no differences between the Company’s net loss and comprehensive loss for the years ended September 30, 2025 and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The Company accounts for revenue from contracts with customers in accordance with ASC Topic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The Company derives its revenues primarily from product sales to equipment manufacturers. The Company recognizes product revenue when it satisfies performance obligations under the terms of its contracts and upon transfer of control when title transfers (either upon shipment to or receipt by the customer, as determined by the terms of the contract) net of accruals for estimated sales returns and allowances. Such sales returns and allowances were not material for the years ended September 30, 2025 and 2024.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Company also derives revenue from engineering services. Contracts with customers generally contain a single distinct performance obligation, to provide research or design services for products based on the customer’s specifications. The Company recognizes services revenue over time as the services are delivered on an input basis, using costs incurred as the measure of progress.</w:t>
      </w:r>
    </w:p>
    <w:p>
      <w:pPr>
        <w:spacing w:after="0" w:line="1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Company does not have material variable consideration, and the Company’s revenue arrangements do not contain significant financing components. Payment terms are principally net 30 days to net 45 days.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The Company generally offers a limited warranty to customers covering a period of twelve months which obligates the Company to repair or replace defective products. The warranty is not sold separately and does not represent a separate performance obligation. Therefore, the Company accounts for such warranties under ASC Topic 460, </w:t>
      </w:r>
      <w:r>
        <w:rPr>
          <w:rFonts w:ascii="Times New Roman" w:cs="Times New Roman" w:eastAsia="Times New Roman" w:hAnsi="Times New Roman"/>
          <w:sz w:val="14"/>
          <w:szCs w:val="14"/>
          <w:i w:val="1"/>
          <w:iCs w:val="1"/>
          <w:color w:val="auto"/>
        </w:rPr>
        <w:t>Guarantees</w:t>
      </w:r>
      <w:r>
        <w:rPr>
          <w:rFonts w:ascii="Times New Roman" w:cs="Times New Roman" w:eastAsia="Times New Roman" w:hAnsi="Times New Roman"/>
          <w:sz w:val="14"/>
          <w:szCs w:val="14"/>
          <w:color w:val="auto"/>
        </w:rPr>
        <w:t>, and the estimated costs of warranty claims are accrued as cost of revenue in the period the related revenue is recorded. The Company accrues for warranty and indemnification issues if a loss is probable and can be reasonably estimated. Warranty and indemnification expenses have historically been insignificant.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includes shipping and handling fees billed to customers as part of net revenue. The Company includes shipping and handling costs associated with outbound freight in cost of revenue.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and other taxes the Company collects, if any, are excluded from revenue.</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There were no significant contract assets recorded on the consolidated balance sheets as of September 30, 2025 or 2024. In some instances, the Company receives a partial payment of the sales price from the customer at the time an order is placed. Any such prepayments are recorded as a liability included in “Accrued expenses and other current liabilities” on the consolidated balance sheets and are recognized in net revenue when the Company satisfies the related performance obligations, typically as products are shipped. All incremental customer contract acquisition costs are expensed as incurred as the amortization period of the asset that the Company otherwise would have recognized is one year or less in duration.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 Cost of services revenue principally consists of employee compensation and benefits of employees engaged in the delivery of engineering services, along with any related materials, equipment, supplies or other costs to perform a contract.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Advertising Expense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costs include spending for items such as marketing and promotional items, trade shows, sponsorships, and other programs. The Company expenses advertising costs as incurred.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expenses were $31 and $91 for the years ended September 30, 2025 and 2024,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w:t>
      </w:r>
    </w:p>
    <w:p>
      <w:pPr>
        <w:spacing w:after="0" w:line="1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Research and development expenses consist of costs incurred to perform product design and development activities, including employee compensation and benefits (including stock-based compensation), outside services, design tools, supplies, facility costs, depreciation and amortization of acquired developed technology. The Company expenses all research and development costs as incurred.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Selling, general and administrative expenses consist of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ongoing tax planning, and forecasts of future taxable income on a jurisdiction-by-jurisdiction basis. Based on the level of historical losses, the Company has established a valuation allowance to reduce its net deferred tax assets to the amount that is more likely than not to be realized.</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recognizes liabilities for uncertain tax positions based on a two-step process regarding recognition and measurement. The Company recognizes a tax benefit only if it is more likely than not the tax position will be sustained on examination by the local taxing authorities based on the technical merits of the position. Then the Company measures the tax benefits recognized in the financial statements from such positions based on the largest amount that is greater than 50% likely to be realized upon ultimate settlement with the related tax authority. Subsequent changes in recognition or measurement are reflected in the period in which the change in judgment occurs based on new information not previously available.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Pronouncements Recently Adopted</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is an “emerging growth company,” as defined in the Securities Act. Under the Jumpstart Our Business Startups Act of 2012, an emerging growth company has the option to adopt new or revised accounting guidance either (i) within the same periods as otherwise applicable to public business entities, or (ii) within the same time periods as non-public business entities, including early adoption when permissible. With the exception of accounting guidance the Company elected to early adopt, when permissible, the Company has elected to adopt new or revised accounting guidance within the same time periods as non-public business entities.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(“ASU 2023-07”). ASU 2023-07 expands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disclosures required under ASU 2023-07 are also required for public entities with a single reportable segment. The Company adopted ASU 2023-07 for its fiscal year ended September 30, 2025, with no material impact on its financial position or results of operations. See Note 20,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Issued Accounting Pronouncements Not Yet Adopted</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(“ASU 2023-09”). ASU 2023-09 requires disaggregated information about a reporting entity’s effective tax rate reconciliation as well as information on income taxes paid. The ASU is effective for the Company’s fiscal year beginning October 1, 2025. The guidance will be applied on a prospective basis with the option to apply the standard retrospectively. Early adoption is permitted. The Company does not expect adoption of ASU 2023-09 will have a material impact on its financial position or results of operations.</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w:t>
      </w:r>
      <w:r>
        <w:rPr>
          <w:rFonts w:ascii="Times New Roman" w:cs="Times New Roman" w:eastAsia="Times New Roman" w:hAnsi="Times New Roman"/>
          <w:sz w:val="14"/>
          <w:szCs w:val="14"/>
          <w:color w:val="auto"/>
        </w:rPr>
        <w:t xml:space="preserve"> (“ASU 2024-03”). ASU 2024-03 requires disclosure in the notes to the financial statements of specified information about certain costs and expenses. The ASU is effective for the Company’s fiscal year beginning October 1, 2027, and for interim periods within the Company’s fiscal year beginning October 1, 2028, with early adoption permitted. The Company is currently evaluating the ASU to determine the impact it will have on the Company’s financial statements and related disclosures.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Reverse Recapitalization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As discussed in Note 1, </w:t>
      </w:r>
      <w:r>
        <w:rPr>
          <w:rFonts w:ascii="Times New Roman" w:cs="Times New Roman" w:eastAsia="Times New Roman" w:hAnsi="Times New Roman"/>
          <w:sz w:val="14"/>
          <w:szCs w:val="14"/>
          <w:i w:val="1"/>
          <w:iCs w:val="1"/>
          <w:color w:val="auto"/>
        </w:rPr>
        <w:t>Company Information</w:t>
      </w:r>
      <w:r>
        <w:rPr>
          <w:rFonts w:ascii="Times New Roman" w:cs="Times New Roman" w:eastAsia="Times New Roman" w:hAnsi="Times New Roman"/>
          <w:sz w:val="14"/>
          <w:szCs w:val="14"/>
          <w:color w:val="auto"/>
        </w:rPr>
        <w:t>, the Closing of the Merger occurred on December 21, 2023. In the Merger, as provided for in the Business Combination Agreement:</w:t>
      </w:r>
    </w:p>
    <w:p>
      <w:pPr>
        <w:spacing w:after="0" w:line="182" w:lineRule="exact"/>
        <w:rPr>
          <w:sz w:val="20"/>
          <w:szCs w:val="20"/>
          <w:color w:val="auto"/>
        </w:rPr>
      </w:pPr>
    </w:p>
    <w:p>
      <w:pPr>
        <w:ind w:left="520" w:hanging="259"/>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1,813,925 issued and outstanding shares of common stock were cancelled and converted into the same number of shares of the Company’s Class A Common Stock;</w:t>
      </w:r>
    </w:p>
    <w:p>
      <w:pPr>
        <w:spacing w:after="0" w:line="180" w:lineRule="exact"/>
        <w:rPr>
          <w:rFonts w:ascii="Times New Roman" w:cs="Times New Roman" w:eastAsia="Times New Roman" w:hAnsi="Times New Roman"/>
          <w:sz w:val="14"/>
          <w:szCs w:val="14"/>
          <w:color w:val="auto"/>
        </w:rPr>
      </w:pPr>
    </w:p>
    <w:p>
      <w:pPr>
        <w:ind w:left="520" w:hanging="259"/>
        <w:spacing w:after="0" w:line="289" w:lineRule="auto"/>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Founders Redeemable Convertible Preferred Stock and Series A Redeemable Convertible Preferred Stock, totaling 225,490 shares, was converted into the same number of shares of the Company’s Class B Common Stock;</w:t>
      </w:r>
    </w:p>
    <w:p>
      <w:pPr>
        <w:spacing w:after="0" w:line="124" w:lineRule="exact"/>
        <w:rPr>
          <w:rFonts w:ascii="Times New Roman" w:cs="Times New Roman" w:eastAsia="Times New Roman" w:hAnsi="Times New Roman"/>
          <w:sz w:val="14"/>
          <w:szCs w:val="14"/>
          <w:color w:val="auto"/>
        </w:rPr>
      </w:pPr>
    </w:p>
    <w:p>
      <w:pPr>
        <w:ind w:left="520" w:hanging="259"/>
        <w:spacing w:after="0" w:line="289" w:lineRule="auto"/>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convertible notes were converted into shares of Legacy Mobix common stock immediately prior to Closing and pursuant to their terms, totaling 3,004 shares, which were then cancelled and converted into the same number of shares of the Company’s Class A Common Stock;</w:t>
      </w:r>
    </w:p>
    <w:p>
      <w:pPr>
        <w:spacing w:after="0" w:line="124"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simple agreements for future equity (“SAFEs”) were converted into 15,095 shares of the Company’s Class A Common Stock;</w:t>
      </w:r>
    </w:p>
    <w:p>
      <w:pPr>
        <w:spacing w:after="0" w:line="180" w:lineRule="exact"/>
        <w:rPr>
          <w:rFonts w:ascii="Times New Roman" w:cs="Times New Roman" w:eastAsia="Times New Roman" w:hAnsi="Times New Roman"/>
          <w:sz w:val="14"/>
          <w:szCs w:val="14"/>
          <w:color w:val="auto"/>
        </w:rPr>
      </w:pPr>
    </w:p>
    <w:p>
      <w:pPr>
        <w:ind w:left="520" w:hanging="259"/>
        <w:spacing w:after="0" w:line="289" w:lineRule="auto"/>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stock options and warrants were assumed by the Company and converted into the same number of stock options or warrants to purchase shares of the Company’s Class A Common Stock, with no change to their exercise prices, vesting conditions or other terms; and</w:t>
      </w:r>
    </w:p>
    <w:p>
      <w:pPr>
        <w:spacing w:after="0" w:line="124"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RSUs were assumed by the Company and converted into RSUs covering the same number of shares of the Company’s Class A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other related events that occurred in connection with the Closing include the following:</w:t>
      </w:r>
    </w:p>
    <w:p>
      <w:pPr>
        <w:spacing w:after="0" w:line="180" w:lineRule="exact"/>
        <w:rPr>
          <w:sz w:val="20"/>
          <w:szCs w:val="20"/>
          <w:color w:val="auto"/>
        </w:rPr>
      </w:pPr>
    </w:p>
    <w:p>
      <w:pPr>
        <w:ind w:left="520" w:hanging="259"/>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the PIPE Subscription Agreements, as described below;</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the Sponsor PIPE Subscription Agreement, Sponsor Warrant and Sponsor Letter Agreement, as described below;</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 non-redemption agreement with a stockholder, as described below;</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an amendment to its Business Combination Marketing Agreement, as described below;</w:t>
      </w:r>
    </w:p>
    <w:p>
      <w:pPr>
        <w:spacing w:after="0" w:line="180" w:lineRule="exact"/>
        <w:rPr>
          <w:rFonts w:ascii="Times New Roman" w:cs="Times New Roman" w:eastAsia="Times New Roman" w:hAnsi="Times New Roman"/>
          <w:sz w:val="14"/>
          <w:szCs w:val="14"/>
          <w:color w:val="auto"/>
        </w:rPr>
      </w:pPr>
    </w:p>
    <w:p>
      <w:pPr>
        <w:ind w:left="520" w:hanging="259"/>
        <w:spacing w:after="0" w:line="289" w:lineRule="auto"/>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assumed the 6,000,000 public warrants (“Public Warrants”) and 3,400,000 private placement warrants (“Private Warrants”) originally issued by Chavant in 2021 in connection with its initial public offering, as described in Note 15,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w:t>
      </w:r>
    </w:p>
    <w:p>
      <w:pPr>
        <w:spacing w:after="0" w:line="122"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adopted the 2023 Employee Stock Purchase Plan and the 2023 Equity Incentive Plan, as described in Note 16,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adopted an amended and restated certificate of incorporation and amended and restated bylaws; and</w:t>
      </w:r>
    </w:p>
    <w:p>
      <w:pPr>
        <w:spacing w:after="0" w:line="180"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indemnification agreements with each of its directors and officers.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PIPE Subscription Agreements</w:t>
      </w:r>
    </w:p>
    <w:p>
      <w:pPr>
        <w:spacing w:after="0" w:line="1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connection with the Merger, Chavant entered into the PIPE Subscription Agreements with certain accredited investors and pursuant to which the investors agreed to purchase an aggregate of 197,500 shares of Class A Common Stock of Chavant at a price of $100.00 per share for an aggregate amount of $19,750 in cash. Subsequent to the Closing, the number of shares purchased by the PIPE investors was adjusted through the issuance of additional shares of Class A Common Stock. See “</w:t>
      </w:r>
      <w:r>
        <w:rPr>
          <w:rFonts w:ascii="Times New Roman" w:cs="Times New Roman" w:eastAsia="Times New Roman" w:hAnsi="Times New Roman"/>
          <w:sz w:val="14"/>
          <w:szCs w:val="14"/>
          <w:i w:val="1"/>
          <w:iCs w:val="1"/>
          <w:color w:val="auto"/>
        </w:rPr>
        <w:t>Make-Whole Shares</w:t>
      </w:r>
      <w:r>
        <w:rPr>
          <w:rFonts w:ascii="Times New Roman" w:cs="Times New Roman" w:eastAsia="Times New Roman" w:hAnsi="Times New Roman"/>
          <w:sz w:val="14"/>
          <w:szCs w:val="14"/>
          <w:color w:val="auto"/>
        </w:rPr>
        <w:t>,” below.</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PIPE investors also received warrants to purchase 195,000 shares of Class A Common Stock at an exercise price of $0.10 per share, of which warrants to purchase 20,000 shares are immediately exercisable and warrants to purchase 175,000 shares became exercisable upon approval by the Company’s stockholders, which was obtained on January 3, 2025. During the year ended September 30, 2025, warrants to purchase 150,000 shares of Class A Common Stock were exercised, for net proceeds to the Company of $15.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Sponsor PIPE Subscription Agreements, Sponsor Warrant and Sponsor Letter Agreement</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December 19, 2023, Chavant entered into the Sponsor PIPE Subscription Agreement with the Sponsor pursuant to which the Sponsor agreed to purchase, in a private placement that closed substantially concurrently with the Closing, 19,973 shares of Class A Common Stock at a price of $100.00 per share. The aggregate purchase price of $1,997 was paid through the forgiveness of certain obligations of Chavant. Subsequent to the Closing, the number of shares purchased by the Sponsor was adjusted through the issuance of additional shares of Class A Common Stock. See “</w:t>
      </w:r>
      <w:r>
        <w:rPr>
          <w:rFonts w:ascii="Times New Roman" w:cs="Times New Roman" w:eastAsia="Times New Roman" w:hAnsi="Times New Roman"/>
          <w:sz w:val="14"/>
          <w:szCs w:val="14"/>
          <w:i w:val="1"/>
          <w:iCs w:val="1"/>
          <w:color w:val="auto"/>
        </w:rPr>
        <w:t>Make-Whole Shares</w:t>
      </w:r>
      <w:r>
        <w:rPr>
          <w:rFonts w:ascii="Times New Roman" w:cs="Times New Roman" w:eastAsia="Times New Roman" w:hAnsi="Times New Roman"/>
          <w:sz w:val="14"/>
          <w:szCs w:val="14"/>
          <w:color w:val="auto"/>
        </w:rPr>
        <w:t>,” below.</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connection with the execution of the Sponsor PIPE Subscription Agreement, Legacy Mobix issued to the Sponsor a warrant to purchase 27,245 shares of Legacy Mobix common stock at an exercise price of $0.10 per share, exercisable upon the closing of the Sponsor PIPE Subscription Agreement (the “Sponsor Warrant”). The Sponsor Warrant was exercised at the closing of the Sponsor PIPE Subscription Agreement and, following net settlement into 27,218 shares of Legacy Mobix common stock, converted into 27,218 shares of Class A Common Stock of the Company in connection with the Closing.</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 December 20, 2023, Chavant also entered into a Sponsor Letter Agreement with the Sponsor pursuant to which, as consideration for the 19,973 shares issued pursuant to the Sponsor PIPE Subscription Agreement described above, the Sponsor agreed to forgive approximately $1,997 of aggregate outstanding obligations of Chavant. In addition, the Sponsor agreed to forfeit 65,863 Founder Shares and 40,000 Private Warrants that it held, in each case upon the Closing.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Non-Redemption Agreement</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December 20, 2023, Chavant and Mobix Labs entered into a non-redemption agreement with a stockholder of Chavant, pursuant to which the stockholder agreed to withdraw its redemption of 7,370 ordinary shares of Chavant (“Ordinary Shares”) prior to the Merger. In consideration therefor, Mobix Labs issued the stockholder a warrant to purchase 20,269 shares of Legacy Mobix common stock at an exercise price of $0.10 per share, exercisable upon the Closing. The warrant was exercised at the Closing and, following net settlement into 20,248 shares of Legacy Mobix common stock, converted into 20,248 shares of Class A Common Stock of the Company in connection with the Closing.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Amendment to Business Combination Marketing Agreement</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December 21, 2023, Chavant entered into an amendment to the Business Combination Marketing Agreement, dated as of July 19, 2021 between Chavant and certain advisors wherein the parties agreed to resolve their differences with respect to marketing fees contemplated by the agreement and the advisors agreed to receive, in lieu of any cash payment of fees or reimbursement of expenses, an aggregate of 28,000 shares of Class A Common Stock. Subsequent to the Closing, the number of shares the advisors received was adjusted through the issuance of additional shares of Class A Common Stock. See “</w:t>
      </w:r>
      <w:r>
        <w:rPr>
          <w:rFonts w:ascii="Times New Roman" w:cs="Times New Roman" w:eastAsia="Times New Roman" w:hAnsi="Times New Roman"/>
          <w:sz w:val="14"/>
          <w:szCs w:val="14"/>
          <w:i w:val="1"/>
          <w:iCs w:val="1"/>
          <w:color w:val="auto"/>
        </w:rPr>
        <w:t>Make-Whole Shares</w:t>
      </w:r>
      <w:r>
        <w:rPr>
          <w:rFonts w:ascii="Times New Roman" w:cs="Times New Roman" w:eastAsia="Times New Roman" w:hAnsi="Times New Roman"/>
          <w:sz w:val="14"/>
          <w:szCs w:val="14"/>
          <w:color w:val="auto"/>
        </w:rPr>
        <w:t>,” below.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Earnout Shares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addition to the consideration paid at Closing, certain Legacy Mobix stockholders and certain holders of Legacy Mobix stock options (the “Earnout Recipients”) will be entitled to receive an additional aggregate 350,000 shares of Class A Common Stock issuable as earnout shares (the “Earnout Shares”) based on the achievement of trading price targets following the Closing and subject to the terms provided in the Business Combination Agreement. The Earnout Shares have a seven-year “Earnout Period,” commencing on the date that is the one year anniversary of the Closing, pursuant to which up to 175,000 shares of Class A Common Stock will be distributed to the Earnout Recipients if the volume-weighted average price (“VWAP”) of the Class A Common Stock exceeds $125.00 for any twenty trading days within a period of thirty consecutive trading days during the Earnout Period and an additional 175,000 shares of Class A Common Stock will be distributed to the Earnout Recipients if the VWAP of the Class A Common Stock exceeds $150.00 for any twenty trading days within a period of thirty consecutive trading days during the Earnout Period.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Earnout Shares are accounted for as liability-classified instruments because the events that determine the number of Earnout Shares to which the Earnout Recipients will be entitled include events that are not solely indexed to the Company’s common stock. At the time of Closing, the Company estimated the aggregate fair value of its liability for the Earnout Shares using a Monte Carlo simulation model and recorded a liability of $33,559. As of September 30, 2025 and 2024, none of the conditions for the issuance of any Earnout Shares had been achieved and the Company adjusted the carrying amount of the liability to its estimated fair value of $1,240 and $1,680, respectively. As a result of decreases in the fair value of the liability, which were primarily the result of decreases in the price of the Company’s Class A Common Stock subsequent to the Closing, the Company recognized non-cash gains of $440 and $31,879 for the years ended September 30, 2025 and 2024, respectively, which are included in “Change in fair value of earnout liability” in the consolidated statements of operations and comprehensive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Make-Whole Shares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Pursuant to the PIPE Subscription Agreements, the Sponsor PIPE Subscription Agreement and the Amendment to Business Combination Marketing Agreement described above, Chavant agreed to issue additional shares of its Class A Common Stock (the “Make-Whole Shares”) to the PIPE Investors, the Sponsor and certain advisors with respect to 245,473 shares of the Company’s Class A Common Stock in the event that the VWAP per share of the Class A Common Stock during a specified period (the “Adjustment Period VWAP”) is less than $100.00 per share. In such case, the PIPE Investors were entitled to receive a number of Make-Whole Shares equal to the number of shares of Class A Common Stock issued to the PIPE Investor multiplied by a fraction, the numerator of which is $100.00 minus the Adjustment Period VWAP and the denominator of which is the Adjustment Period VWAP. In the event that the Adjustment Period VWAP is less than $70.00, the Adjustment Period VWAP was deemed to be $70.00. The adjustment period ended on August 30, 2024. The Company issued 105,202 shares of its Class A Common Stock to the PIPE Investors, the Sponsor and certain advisors in settlement of the liability for the Make-Whole Shares.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Make-Whole Shares were accounted for as liability-classified instruments because the events that determine the number of Make-Whole Shares issuable include events that are not solely indexed to the Company’s common stock. At the time of Closing, the Company estimated the aggregate fair value of its liability for the Make-Whole Shares using a Monte Carlo simulation model and recorded a liability of $2,071. The fair value of the 105,202 shares of Class A Common Stock issued in settlement of the liability for the Make-Whole Shares was $1,241. As a result of the decrease in the fair value of the liability, the Company recorded a non-cash gain of $830 for the year ended September 30, 2024, which is included in “Change in fair value of PIPE make-whole liability” in the consolidated statements of operations and comprehensive loss.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17,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for additional information on the Company’s measurements with respect to the financial instruments issued in connection with the foregoing agreements.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Legacy Mobix incurred $6,363 of transaction costs in connection with the Merger, which was determined to be a capital-raising transaction for Legacy Mobix. At the time of the Closing, the Company allocated this amount between the equity-classified instruments and liability-classified instruments, based on their relative fair values, and recorded the $2,354 of costs associated with equity-classified instruments as a reduction of additional paid-in capital and charged the remaining $4,009 of costs associated with liability-classified instruments to expense. The Company also recognized a liability for unpaid transaction costs of Chavant totaling $3,090, which the Company recorded as a reduction of the proceeds of the Merger at the time of the Closing.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reconcile elements of the Merger to the Company’s consolidated financial statements, and should be read in conjunction with the footnotes referenced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6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62"/>
        </w:trPr>
        <w:tc>
          <w:tcPr>
            <w:tcW w:w="89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Chavant public shares, net of redemptions</w:t>
            </w:r>
          </w:p>
        </w:tc>
        <w:tc>
          <w:tcPr>
            <w:tcW w:w="5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11,100</w:t>
            </w:r>
          </w:p>
        </w:tc>
        <w:tc>
          <w:tcPr>
            <w:tcW w:w="80" w:type="dxa"/>
            <w:vAlign w:val="bottom"/>
            <w:shd w:val="clear" w:color="auto" w:fill="CCEEFF"/>
          </w:tcPr>
          <w:p>
            <w:pPr>
              <w:spacing w:after="0"/>
              <w:rPr>
                <w:sz w:val="14"/>
                <w:szCs w:val="14"/>
                <w:color w:val="auto"/>
              </w:rPr>
            </w:pPr>
          </w:p>
        </w:tc>
      </w:tr>
      <w:tr>
        <w:trPr>
          <w:trHeight w:val="171"/>
        </w:trPr>
        <w:tc>
          <w:tcPr>
            <w:tcW w:w="8920" w:type="dxa"/>
            <w:vAlign w:val="bottom"/>
          </w:tcPr>
          <w:p>
            <w:pPr>
              <w:spacing w:after="0"/>
              <w:rPr>
                <w:sz w:val="20"/>
                <w:szCs w:val="20"/>
                <w:color w:val="auto"/>
              </w:rPr>
            </w:pPr>
            <w:r>
              <w:rPr>
                <w:rFonts w:ascii="Times New Roman" w:cs="Times New Roman" w:eastAsia="Times New Roman" w:hAnsi="Times New Roman"/>
                <w:sz w:val="14"/>
                <w:szCs w:val="14"/>
                <w:color w:val="auto"/>
              </w:rPr>
              <w:t>Chavant founder shares, net of shares forfeited</w:t>
            </w:r>
          </w:p>
        </w:tc>
        <w:tc>
          <w:tcPr>
            <w:tcW w:w="5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134,137</w:t>
            </w:r>
          </w:p>
        </w:tc>
        <w:tc>
          <w:tcPr>
            <w:tcW w:w="80" w:type="dxa"/>
            <w:vAlign w:val="bottom"/>
          </w:tcPr>
          <w:p>
            <w:pPr>
              <w:spacing w:after="0"/>
              <w:rPr>
                <w:sz w:val="14"/>
                <w:szCs w:val="14"/>
                <w:color w:val="auto"/>
              </w:rPr>
            </w:pPr>
          </w:p>
        </w:tc>
      </w:tr>
      <w:tr>
        <w:trPr>
          <w:trHeight w:val="171"/>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PIPE investors’ shares</w:t>
            </w:r>
          </w:p>
        </w:tc>
        <w:tc>
          <w:tcPr>
            <w:tcW w:w="5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197,500</w:t>
            </w:r>
          </w:p>
        </w:tc>
        <w:tc>
          <w:tcPr>
            <w:tcW w:w="80" w:type="dxa"/>
            <w:vAlign w:val="bottom"/>
            <w:shd w:val="clear" w:color="auto" w:fill="CCEEFF"/>
          </w:tcPr>
          <w:p>
            <w:pPr>
              <w:spacing w:after="0"/>
              <w:rPr>
                <w:sz w:val="14"/>
                <w:szCs w:val="14"/>
                <w:color w:val="auto"/>
              </w:rPr>
            </w:pPr>
          </w:p>
        </w:tc>
      </w:tr>
      <w:tr>
        <w:trPr>
          <w:trHeight w:val="171"/>
        </w:trPr>
        <w:tc>
          <w:tcPr>
            <w:tcW w:w="8920" w:type="dxa"/>
            <w:vAlign w:val="bottom"/>
          </w:tcPr>
          <w:p>
            <w:pPr>
              <w:spacing w:after="0"/>
              <w:rPr>
                <w:sz w:val="20"/>
                <w:szCs w:val="20"/>
                <w:color w:val="auto"/>
              </w:rPr>
            </w:pPr>
            <w:r>
              <w:rPr>
                <w:rFonts w:ascii="Times New Roman" w:cs="Times New Roman" w:eastAsia="Times New Roman" w:hAnsi="Times New Roman"/>
                <w:sz w:val="14"/>
                <w:szCs w:val="14"/>
                <w:color w:val="auto"/>
              </w:rPr>
              <w:t>Settlement of PIPE warrant</w:t>
            </w:r>
          </w:p>
        </w:tc>
        <w:tc>
          <w:tcPr>
            <w:tcW w:w="5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19,980</w:t>
            </w:r>
          </w:p>
        </w:tc>
        <w:tc>
          <w:tcPr>
            <w:tcW w:w="80" w:type="dxa"/>
            <w:vAlign w:val="bottom"/>
          </w:tcPr>
          <w:p>
            <w:pPr>
              <w:spacing w:after="0"/>
              <w:rPr>
                <w:sz w:val="14"/>
                <w:szCs w:val="14"/>
                <w:color w:val="auto"/>
              </w:rPr>
            </w:pPr>
          </w:p>
        </w:tc>
      </w:tr>
      <w:tr>
        <w:trPr>
          <w:trHeight w:val="171"/>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Sponsor PIPE subscription</w:t>
            </w:r>
          </w:p>
        </w:tc>
        <w:tc>
          <w:tcPr>
            <w:tcW w:w="5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19,973</w:t>
            </w:r>
          </w:p>
        </w:tc>
        <w:tc>
          <w:tcPr>
            <w:tcW w:w="80" w:type="dxa"/>
            <w:vAlign w:val="bottom"/>
            <w:shd w:val="clear" w:color="auto" w:fill="CCEEFF"/>
          </w:tcPr>
          <w:p>
            <w:pPr>
              <w:spacing w:after="0"/>
              <w:rPr>
                <w:sz w:val="14"/>
                <w:szCs w:val="14"/>
                <w:color w:val="auto"/>
              </w:rPr>
            </w:pPr>
          </w:p>
        </w:tc>
      </w:tr>
      <w:tr>
        <w:trPr>
          <w:trHeight w:val="171"/>
        </w:trPr>
        <w:tc>
          <w:tcPr>
            <w:tcW w:w="8920" w:type="dxa"/>
            <w:vAlign w:val="bottom"/>
          </w:tcPr>
          <w:p>
            <w:pPr>
              <w:spacing w:after="0"/>
              <w:rPr>
                <w:sz w:val="20"/>
                <w:szCs w:val="20"/>
                <w:color w:val="auto"/>
              </w:rPr>
            </w:pPr>
            <w:r>
              <w:rPr>
                <w:rFonts w:ascii="Times New Roman" w:cs="Times New Roman" w:eastAsia="Times New Roman" w:hAnsi="Times New Roman"/>
                <w:sz w:val="14"/>
                <w:szCs w:val="14"/>
                <w:color w:val="auto"/>
              </w:rPr>
              <w:t>Settlement of Sponsor Warrant</w:t>
            </w:r>
          </w:p>
        </w:tc>
        <w:tc>
          <w:tcPr>
            <w:tcW w:w="5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27,218</w:t>
            </w:r>
          </w:p>
        </w:tc>
        <w:tc>
          <w:tcPr>
            <w:tcW w:w="80" w:type="dxa"/>
            <w:vAlign w:val="bottom"/>
          </w:tcPr>
          <w:p>
            <w:pPr>
              <w:spacing w:after="0"/>
              <w:rPr>
                <w:sz w:val="14"/>
                <w:szCs w:val="14"/>
                <w:color w:val="auto"/>
              </w:rPr>
            </w:pPr>
          </w:p>
        </w:tc>
      </w:tr>
      <w:tr>
        <w:trPr>
          <w:trHeight w:val="171"/>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 of warrant to non-redeeming shareholder</w:t>
            </w:r>
          </w:p>
        </w:tc>
        <w:tc>
          <w:tcPr>
            <w:tcW w:w="5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20,248</w:t>
            </w:r>
          </w:p>
        </w:tc>
        <w:tc>
          <w:tcPr>
            <w:tcW w:w="80" w:type="dxa"/>
            <w:vAlign w:val="bottom"/>
            <w:shd w:val="clear" w:color="auto" w:fill="CCEEFF"/>
          </w:tcPr>
          <w:p>
            <w:pPr>
              <w:spacing w:after="0"/>
              <w:rPr>
                <w:sz w:val="14"/>
                <w:szCs w:val="14"/>
                <w:color w:val="auto"/>
              </w:rPr>
            </w:pPr>
          </w:p>
        </w:tc>
      </w:tr>
      <w:tr>
        <w:trPr>
          <w:trHeight w:val="181"/>
        </w:trPr>
        <w:tc>
          <w:tcPr>
            <w:tcW w:w="8920" w:type="dxa"/>
            <w:vAlign w:val="bottom"/>
          </w:tcPr>
          <w:p>
            <w:pPr>
              <w:spacing w:after="0"/>
              <w:rPr>
                <w:sz w:val="20"/>
                <w:szCs w:val="20"/>
                <w:color w:val="auto"/>
              </w:rPr>
            </w:pPr>
            <w:r>
              <w:rPr>
                <w:rFonts w:ascii="Times New Roman" w:cs="Times New Roman" w:eastAsia="Times New Roman" w:hAnsi="Times New Roman"/>
                <w:sz w:val="14"/>
                <w:szCs w:val="14"/>
                <w:color w:val="auto"/>
              </w:rPr>
              <w:t>Amendment to Business Combination Marketing Agreement</w:t>
            </w:r>
          </w:p>
        </w:tc>
        <w:tc>
          <w:tcPr>
            <w:tcW w:w="50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28,000</w:t>
            </w:r>
          </w:p>
        </w:tc>
        <w:tc>
          <w:tcPr>
            <w:tcW w:w="80" w:type="dxa"/>
            <w:vAlign w:val="bottom"/>
          </w:tcPr>
          <w:p>
            <w:pPr>
              <w:spacing w:after="0"/>
              <w:rPr>
                <w:sz w:val="15"/>
                <w:szCs w:val="15"/>
                <w:color w:val="auto"/>
              </w:rPr>
            </w:pPr>
          </w:p>
        </w:tc>
      </w:tr>
      <w:tr>
        <w:trPr>
          <w:trHeight w:val="161"/>
        </w:trPr>
        <w:tc>
          <w:tcPr>
            <w:tcW w:w="89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Chavant shares outstanding immediately prior to the Merger</w:t>
            </w:r>
          </w:p>
        </w:tc>
        <w:tc>
          <w:tcPr>
            <w:tcW w:w="500" w:type="dxa"/>
            <w:vAlign w:val="bottom"/>
            <w:tcBorders>
              <w:top w:val="single" w:sz="8" w:color="auto"/>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458,156</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1"/>
        </w:trPr>
        <w:tc>
          <w:tcPr>
            <w:tcW w:w="8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Legacy Mobix rollover shares</w:t>
            </w:r>
          </w:p>
        </w:tc>
        <w:tc>
          <w:tcPr>
            <w:tcW w:w="5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1,813,925</w:t>
            </w:r>
          </w:p>
        </w:tc>
        <w:tc>
          <w:tcPr>
            <w:tcW w:w="80" w:type="dxa"/>
            <w:vAlign w:val="bottom"/>
            <w:shd w:val="clear" w:color="auto" w:fill="CCEEFF"/>
          </w:tcPr>
          <w:p>
            <w:pPr>
              <w:spacing w:after="0"/>
              <w:rPr>
                <w:sz w:val="14"/>
                <w:szCs w:val="14"/>
                <w:color w:val="auto"/>
              </w:rPr>
            </w:pPr>
          </w:p>
        </w:tc>
      </w:tr>
      <w:tr>
        <w:trPr>
          <w:trHeight w:val="171"/>
        </w:trPr>
        <w:tc>
          <w:tcPr>
            <w:tcW w:w="8920" w:type="dxa"/>
            <w:vAlign w:val="bottom"/>
          </w:tcPr>
          <w:p>
            <w:pPr>
              <w:spacing w:after="0"/>
              <w:rPr>
                <w:sz w:val="20"/>
                <w:szCs w:val="20"/>
                <w:color w:val="auto"/>
              </w:rPr>
            </w:pPr>
            <w:r>
              <w:rPr>
                <w:rFonts w:ascii="Times New Roman" w:cs="Times New Roman" w:eastAsia="Times New Roman" w:hAnsi="Times New Roman"/>
                <w:sz w:val="14"/>
                <w:szCs w:val="14"/>
                <w:color w:val="auto"/>
              </w:rPr>
              <w:t>Conversion of Legacy Mobix convertible notes</w:t>
            </w:r>
          </w:p>
        </w:tc>
        <w:tc>
          <w:tcPr>
            <w:tcW w:w="5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80" w:type="dxa"/>
            <w:vAlign w:val="bottom"/>
          </w:tcPr>
          <w:p>
            <w:pPr>
              <w:spacing w:after="0"/>
              <w:rPr>
                <w:sz w:val="14"/>
                <w:szCs w:val="14"/>
                <w:color w:val="auto"/>
              </w:rPr>
            </w:pPr>
          </w:p>
        </w:tc>
      </w:tr>
      <w:tr>
        <w:trPr>
          <w:trHeight w:val="181"/>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 Legacy Mobix SAFEs</w:t>
            </w:r>
          </w:p>
        </w:tc>
        <w:tc>
          <w:tcPr>
            <w:tcW w:w="5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15,095</w:t>
            </w:r>
          </w:p>
        </w:tc>
        <w:tc>
          <w:tcPr>
            <w:tcW w:w="80" w:type="dxa"/>
            <w:vAlign w:val="bottom"/>
            <w:shd w:val="clear" w:color="auto" w:fill="CCEEFF"/>
          </w:tcPr>
          <w:p>
            <w:pPr>
              <w:spacing w:after="0"/>
              <w:rPr>
                <w:sz w:val="15"/>
                <w:szCs w:val="15"/>
                <w:color w:val="auto"/>
              </w:rPr>
            </w:pPr>
          </w:p>
        </w:tc>
      </w:tr>
      <w:tr>
        <w:trPr>
          <w:trHeight w:val="212"/>
        </w:trPr>
        <w:tc>
          <w:tcPr>
            <w:tcW w:w="8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number of Class A common shares issued in the Merger</w:t>
            </w:r>
          </w:p>
        </w:tc>
        <w:tc>
          <w:tcPr>
            <w:tcW w:w="5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2,290,180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43"/>
        </w:trPr>
        <w:tc>
          <w:tcPr>
            <w:tcW w:w="8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1"/>
        </w:trPr>
        <w:tc>
          <w:tcPr>
            <w:tcW w:w="8920" w:type="dxa"/>
            <w:vAlign w:val="bottom"/>
          </w:tcPr>
          <w:p>
            <w:pPr>
              <w:spacing w:after="0"/>
              <w:rPr>
                <w:sz w:val="20"/>
                <w:szCs w:val="20"/>
                <w:color w:val="auto"/>
              </w:rPr>
            </w:pPr>
            <w:r>
              <w:rPr>
                <w:rFonts w:ascii="Times New Roman" w:cs="Times New Roman" w:eastAsia="Times New Roman" w:hAnsi="Times New Roman"/>
                <w:sz w:val="14"/>
                <w:szCs w:val="14"/>
                <w:color w:val="auto"/>
              </w:rPr>
              <w:t>Closing proceeds:</w:t>
            </w:r>
          </w:p>
        </w:tc>
        <w:tc>
          <w:tcPr>
            <w:tcW w:w="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Chavant trust fund</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shd w:val="clear" w:color="auto" w:fill="CCEEFF"/>
          </w:tcPr>
          <w:p>
            <w:pPr>
              <w:spacing w:after="0"/>
              <w:rPr>
                <w:sz w:val="14"/>
                <w:szCs w:val="14"/>
                <w:color w:val="auto"/>
              </w:rPr>
            </w:pPr>
          </w:p>
        </w:tc>
      </w:tr>
      <w:tr>
        <w:trPr>
          <w:trHeight w:val="171"/>
        </w:trPr>
        <w:tc>
          <w:tcPr>
            <w:tcW w:w="8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PIPE investment</w:t>
            </w:r>
          </w:p>
        </w:tc>
        <w:tc>
          <w:tcPr>
            <w:tcW w:w="5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19,750</w:t>
            </w:r>
          </w:p>
        </w:tc>
        <w:tc>
          <w:tcPr>
            <w:tcW w:w="80" w:type="dxa"/>
            <w:vAlign w:val="bottom"/>
          </w:tcPr>
          <w:p>
            <w:pPr>
              <w:spacing w:after="0"/>
              <w:rPr>
                <w:sz w:val="14"/>
                <w:szCs w:val="14"/>
                <w:color w:val="auto"/>
              </w:rPr>
            </w:pPr>
          </w:p>
        </w:tc>
      </w:tr>
      <w:tr>
        <w:trPr>
          <w:trHeight w:val="171"/>
        </w:trPr>
        <w:tc>
          <w:tcPr>
            <w:tcW w:w="8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1"/>
        </w:trPr>
        <w:tc>
          <w:tcPr>
            <w:tcW w:w="8920" w:type="dxa"/>
            <w:vAlign w:val="bottom"/>
          </w:tcPr>
          <w:p>
            <w:pPr>
              <w:spacing w:after="0"/>
              <w:rPr>
                <w:sz w:val="20"/>
                <w:szCs w:val="20"/>
                <w:color w:val="auto"/>
              </w:rPr>
            </w:pPr>
            <w:r>
              <w:rPr>
                <w:rFonts w:ascii="Times New Roman" w:cs="Times New Roman" w:eastAsia="Times New Roman" w:hAnsi="Times New Roman"/>
                <w:sz w:val="14"/>
                <w:szCs w:val="14"/>
                <w:color w:val="auto"/>
              </w:rPr>
              <w:t>Closing disbursements:</w:t>
            </w:r>
          </w:p>
        </w:tc>
        <w:tc>
          <w:tcPr>
            <w:tcW w:w="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Legacy Mobix Merger-related transaction costs</w:t>
            </w:r>
          </w:p>
        </w:tc>
        <w:tc>
          <w:tcPr>
            <w:tcW w:w="5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(3,747)</w:t>
            </w:r>
          </w:p>
        </w:tc>
      </w:tr>
      <w:tr>
        <w:trPr>
          <w:trHeight w:val="181"/>
        </w:trPr>
        <w:tc>
          <w:tcPr>
            <w:tcW w:w="8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Chavant Merger-related transaction costs</w:t>
            </w:r>
          </w:p>
        </w:tc>
        <w:tc>
          <w:tcPr>
            <w:tcW w:w="500" w:type="dxa"/>
            <w:vAlign w:val="bottom"/>
          </w:tcPr>
          <w:p>
            <w:pPr>
              <w:spacing w:after="0"/>
              <w:rPr>
                <w:sz w:val="15"/>
                <w:szCs w:val="15"/>
                <w:color w:val="auto"/>
              </w:rPr>
            </w:pP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(2,219)</w:t>
            </w:r>
          </w:p>
        </w:tc>
      </w:tr>
      <w:tr>
        <w:trPr>
          <w:trHeight w:val="161"/>
        </w:trPr>
        <w:tc>
          <w:tcPr>
            <w:tcW w:w="89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cash proceeds from the Merger at Closing</w:t>
            </w:r>
          </w:p>
        </w:tc>
        <w:tc>
          <w:tcPr>
            <w:tcW w:w="500" w:type="dxa"/>
            <w:vAlign w:val="bottom"/>
            <w:tcBorders>
              <w:top w:val="single" w:sz="8" w:color="auto"/>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15,048</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1"/>
        </w:trPr>
        <w:tc>
          <w:tcPr>
            <w:tcW w:w="8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1"/>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Legacy Mobix Merger-related transaction costs paid prior to closing</w:t>
            </w:r>
          </w:p>
        </w:tc>
        <w:tc>
          <w:tcPr>
            <w:tcW w:w="50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(983)</w:t>
            </w:r>
          </w:p>
        </w:tc>
      </w:tr>
      <w:tr>
        <w:trPr>
          <w:trHeight w:val="161"/>
        </w:trPr>
        <w:tc>
          <w:tcPr>
            <w:tcW w:w="8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cash proceeds</w:t>
            </w:r>
          </w:p>
        </w:tc>
        <w:tc>
          <w:tcPr>
            <w:tcW w:w="5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1"/>
        </w:trPr>
        <w:tc>
          <w:tcPr>
            <w:tcW w:w="8920" w:type="dxa"/>
            <w:vAlign w:val="bottom"/>
          </w:tcPr>
          <w:p>
            <w:pPr>
              <w:spacing w:after="0"/>
              <w:rPr>
                <w:sz w:val="20"/>
                <w:szCs w:val="20"/>
                <w:color w:val="auto"/>
              </w:rPr>
            </w:pPr>
            <w:r>
              <w:rPr>
                <w:rFonts w:ascii="Times New Roman" w:cs="Times New Roman" w:eastAsia="Times New Roman" w:hAnsi="Times New Roman"/>
                <w:sz w:val="14"/>
                <w:szCs w:val="14"/>
                <w:color w:val="auto"/>
              </w:rPr>
              <w:t>Non-cash activity:</w:t>
            </w:r>
          </w:p>
        </w:tc>
        <w:tc>
          <w:tcPr>
            <w:tcW w:w="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 of Legacy Mobix convertible notes to Class A Common Stock</w:t>
            </w:r>
          </w:p>
        </w:tc>
        <w:tc>
          <w:tcPr>
            <w:tcW w:w="5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4"/>
                <w:szCs w:val="14"/>
                <w:color w:val="auto"/>
              </w:rPr>
            </w:pPr>
          </w:p>
        </w:tc>
      </w:tr>
      <w:tr>
        <w:trPr>
          <w:trHeight w:val="171"/>
        </w:trPr>
        <w:tc>
          <w:tcPr>
            <w:tcW w:w="8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Conversion of Legacy Mobix SAFEs to Class A Common Stock</w:t>
            </w:r>
          </w:p>
        </w:tc>
        <w:tc>
          <w:tcPr>
            <w:tcW w:w="5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80" w:type="dxa"/>
            <w:vAlign w:val="bottom"/>
          </w:tcPr>
          <w:p>
            <w:pPr>
              <w:spacing w:after="0"/>
              <w:rPr>
                <w:sz w:val="14"/>
                <w:szCs w:val="14"/>
                <w:color w:val="auto"/>
              </w:rPr>
            </w:pPr>
          </w:p>
        </w:tc>
      </w:tr>
      <w:tr>
        <w:trPr>
          <w:trHeight w:val="171"/>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 of Legacy Mobix redeemable convertible preferred stock to Class B Common Stock</w:t>
            </w:r>
          </w:p>
        </w:tc>
        <w:tc>
          <w:tcPr>
            <w:tcW w:w="5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80" w:type="dxa"/>
            <w:vAlign w:val="bottom"/>
            <w:shd w:val="clear" w:color="auto" w:fill="CCEEFF"/>
          </w:tcPr>
          <w:p>
            <w:pPr>
              <w:spacing w:after="0"/>
              <w:rPr>
                <w:sz w:val="14"/>
                <w:szCs w:val="14"/>
                <w:color w:val="auto"/>
              </w:rPr>
            </w:pPr>
          </w:p>
        </w:tc>
      </w:tr>
      <w:tr>
        <w:trPr>
          <w:trHeight w:val="171"/>
        </w:trPr>
        <w:tc>
          <w:tcPr>
            <w:tcW w:w="8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Unpaid Merger-related transaction costs assumed from Chavant</w:t>
            </w:r>
          </w:p>
        </w:tc>
        <w:tc>
          <w:tcPr>
            <w:tcW w:w="500" w:type="dxa"/>
            <w:vAlign w:val="bottom"/>
          </w:tcPr>
          <w:p>
            <w:pPr>
              <w:spacing w:after="0"/>
              <w:rPr>
                <w:sz w:val="14"/>
                <w:szCs w:val="14"/>
                <w:color w:val="auto"/>
              </w:rPr>
            </w:pP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(871)</w:t>
            </w:r>
          </w:p>
        </w:tc>
      </w:tr>
      <w:tr>
        <w:trPr>
          <w:trHeight w:val="171"/>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Unpaid Merger-related transaction costs of Legacy Mobix</w:t>
            </w:r>
          </w:p>
        </w:tc>
        <w:tc>
          <w:tcPr>
            <w:tcW w:w="5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(1,633)</w:t>
            </w:r>
          </w:p>
        </w:tc>
      </w:tr>
      <w:tr>
        <w:trPr>
          <w:trHeight w:val="171"/>
        </w:trPr>
        <w:tc>
          <w:tcPr>
            <w:tcW w:w="8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Merger-related transaction costs expensed</w:t>
            </w:r>
          </w:p>
        </w:tc>
        <w:tc>
          <w:tcPr>
            <w:tcW w:w="5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80" w:type="dxa"/>
            <w:vAlign w:val="bottom"/>
          </w:tcPr>
          <w:p>
            <w:pPr>
              <w:spacing w:after="0"/>
              <w:rPr>
                <w:sz w:val="14"/>
                <w:szCs w:val="14"/>
                <w:color w:val="auto"/>
              </w:rPr>
            </w:pPr>
          </w:p>
        </w:tc>
      </w:tr>
      <w:tr>
        <w:trPr>
          <w:trHeight w:val="171"/>
        </w:trPr>
        <w:tc>
          <w:tcPr>
            <w:tcW w:w="8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1"/>
        </w:trPr>
        <w:tc>
          <w:tcPr>
            <w:tcW w:w="8920" w:type="dxa"/>
            <w:vAlign w:val="bottom"/>
          </w:tcPr>
          <w:p>
            <w:pPr>
              <w:spacing w:after="0"/>
              <w:rPr>
                <w:sz w:val="20"/>
                <w:szCs w:val="20"/>
                <w:color w:val="auto"/>
              </w:rPr>
            </w:pPr>
            <w:r>
              <w:rPr>
                <w:rFonts w:ascii="Times New Roman" w:cs="Times New Roman" w:eastAsia="Times New Roman" w:hAnsi="Times New Roman"/>
                <w:sz w:val="14"/>
                <w:szCs w:val="14"/>
                <w:color w:val="auto"/>
              </w:rPr>
              <w:t>Liability-classified instruments at closing:</w:t>
            </w:r>
          </w:p>
        </w:tc>
        <w:tc>
          <w:tcPr>
            <w:tcW w:w="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Fair value of earnout liability</w:t>
            </w:r>
          </w:p>
        </w:tc>
        <w:tc>
          <w:tcPr>
            <w:tcW w:w="5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(33,559)</w:t>
            </w:r>
          </w:p>
        </w:tc>
      </w:tr>
      <w:tr>
        <w:trPr>
          <w:trHeight w:val="171"/>
        </w:trPr>
        <w:tc>
          <w:tcPr>
            <w:tcW w:w="8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Fair value of PIPE make-whole liability</w:t>
            </w:r>
          </w:p>
        </w:tc>
        <w:tc>
          <w:tcPr>
            <w:tcW w:w="500" w:type="dxa"/>
            <w:vAlign w:val="bottom"/>
          </w:tcPr>
          <w:p>
            <w:pPr>
              <w:spacing w:after="0"/>
              <w:rPr>
                <w:sz w:val="14"/>
                <w:szCs w:val="14"/>
                <w:color w:val="auto"/>
              </w:rPr>
            </w:pP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(2,071)</w:t>
            </w:r>
          </w:p>
        </w:tc>
      </w:tr>
      <w:tr>
        <w:trPr>
          <w:trHeight w:val="181"/>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Fair value of Private Warrants</w:t>
            </w:r>
          </w:p>
        </w:tc>
        <w:tc>
          <w:tcPr>
            <w:tcW w:w="50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(150)</w:t>
            </w:r>
          </w:p>
        </w:tc>
      </w:tr>
      <w:tr>
        <w:trPr>
          <w:trHeight w:val="172"/>
        </w:trPr>
        <w:tc>
          <w:tcPr>
            <w:tcW w:w="8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equity impact of the Merger</w:t>
            </w:r>
          </w:p>
        </w:tc>
        <w:tc>
          <w:tcPr>
            <w:tcW w:w="50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(16,182</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Subsequent to the Closing, the Company paid $982 of the Merger-related transaction costs and negotiated a $99 reduction of the unpaid transaction costs.</w:t>
      </w:r>
    </w:p>
    <w:p>
      <w:pPr>
        <w:spacing w:after="0" w:line="18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Acquisitions</w:t>
      </w:r>
    </w:p>
    <w:p>
      <w:pPr>
        <w:spacing w:after="0" w:line="1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 acquired EMI Solutions, Inc. (“EMI Solutions”) in December 2023 and RaGE Systems, Inc. (“RaGE Systems”) in May 2024. The Company accounted for each of the acquisitions as a business combination. The following table summarizes the amount of the aggregate purchase consideration and the allocation to the tangible and identifiable intangible assets acquired and liabilities assumed based on their estimated fair values.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4"/>
                <w:szCs w:val="14"/>
                <w:color w:val="auto"/>
              </w:rPr>
              <w:t>EMI Solutions</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RaGE Systems</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consideration:</w:t>
            </w:r>
          </w:p>
        </w:tc>
        <w:tc>
          <w:tcPr>
            <w:tcW w:w="1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Contingently redeemable common stock</w:t>
            </w:r>
          </w:p>
        </w:tc>
        <w:tc>
          <w:tcPr>
            <w:tcW w:w="1440" w:type="dxa"/>
            <w:vAlign w:val="bottom"/>
          </w:tcPr>
          <w:p>
            <w:pPr>
              <w:jc w:val="right"/>
              <w:ind w:right="132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8,856</w:t>
            </w:r>
          </w:p>
        </w:tc>
        <w:tc>
          <w:tcPr>
            <w:tcW w:w="320" w:type="dxa"/>
            <w:vAlign w:val="bottom"/>
          </w:tcPr>
          <w:p>
            <w:pPr>
              <w:spacing w:after="0"/>
              <w:rPr>
                <w:sz w:val="14"/>
                <w:szCs w:val="14"/>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 Common Stock</w:t>
            </w:r>
          </w:p>
        </w:tc>
        <w:tc>
          <w:tcPr>
            <w:tcW w:w="1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7,682</w:t>
            </w:r>
          </w:p>
        </w:tc>
        <w:tc>
          <w:tcPr>
            <w:tcW w:w="0" w:type="dxa"/>
            <w:vAlign w:val="bottom"/>
          </w:tcPr>
          <w:p>
            <w:pPr>
              <w:spacing w:after="0"/>
              <w:rPr>
                <w:sz w:val="1"/>
                <w:szCs w:val="1"/>
                <w:color w:val="auto"/>
              </w:rPr>
            </w:pPr>
          </w:p>
        </w:tc>
      </w:tr>
      <w:tr>
        <w:trPr>
          <w:trHeight w:val="18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consideration (at present value)</w:t>
            </w:r>
          </w:p>
        </w:tc>
        <w:tc>
          <w:tcPr>
            <w:tcW w:w="14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1,836</w:t>
            </w:r>
          </w:p>
        </w:tc>
        <w:tc>
          <w:tcPr>
            <w:tcW w:w="0" w:type="dxa"/>
            <w:vAlign w:val="bottom"/>
          </w:tcPr>
          <w:p>
            <w:pPr>
              <w:spacing w:after="0"/>
              <w:rPr>
                <w:sz w:val="1"/>
                <w:szCs w:val="1"/>
                <w:color w:val="auto"/>
              </w:rPr>
            </w:pPr>
          </w:p>
        </w:tc>
      </w:tr>
      <w:tr>
        <w:trPr>
          <w:trHeight w:val="172"/>
        </w:trPr>
        <w:tc>
          <w:tcPr>
            <w:tcW w:w="7020" w:type="dxa"/>
            <w:vAlign w:val="bottom"/>
            <w:tcBorders>
              <w:top w:val="single" w:sz="8" w:color="CCEEFF"/>
              <w:bottom w:val="single" w:sz="8" w:color="CCEEFF"/>
            </w:tcBorders>
            <w:shd w:val="clear" w:color="auto" w:fill="CCEEFF"/>
          </w:tcPr>
          <w:p>
            <w:pPr>
              <w:spacing w:after="0"/>
              <w:rPr>
                <w:sz w:val="14"/>
                <w:szCs w:val="14"/>
                <w:color w:val="auto"/>
              </w:rPr>
            </w:pPr>
          </w:p>
        </w:tc>
        <w:tc>
          <w:tcPr>
            <w:tcW w:w="1440" w:type="dxa"/>
            <w:vAlign w:val="bottom"/>
            <w:tcBorders>
              <w:top w:val="single" w:sz="8" w:color="auto"/>
              <w:bottom w:val="single" w:sz="8" w:color="auto"/>
            </w:tcBorders>
            <w:shd w:val="clear" w:color="auto" w:fill="CCEEFF"/>
          </w:tcPr>
          <w:p>
            <w:pPr>
              <w:jc w:val="right"/>
              <w:ind w:right="132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10,897</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Allocation:</w:t>
            </w: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2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w:t>
            </w:r>
          </w:p>
        </w:tc>
        <w:tc>
          <w:tcPr>
            <w:tcW w:w="1440" w:type="dxa"/>
            <w:vAlign w:val="bottom"/>
            <w:shd w:val="clear" w:color="auto" w:fill="CCEEFF"/>
          </w:tcPr>
          <w:p>
            <w:pPr>
              <w:jc w:val="right"/>
              <w:ind w:right="132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14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387</w:t>
            </w:r>
          </w:p>
        </w:tc>
        <w:tc>
          <w:tcPr>
            <w:tcW w:w="30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1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155</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14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w:t>
            </w:r>
          </w:p>
        </w:tc>
        <w:tc>
          <w:tcPr>
            <w:tcW w:w="30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w:t>
            </w:r>
          </w:p>
        </w:tc>
        <w:tc>
          <w:tcPr>
            <w:tcW w:w="1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107</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asset—customer relationships</w:t>
            </w:r>
          </w:p>
        </w:tc>
        <w:tc>
          <w:tcPr>
            <w:tcW w:w="1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7,400</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asset—developed technology</w:t>
            </w:r>
          </w:p>
        </w:tc>
        <w:tc>
          <w:tcPr>
            <w:tcW w:w="1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asset—backlog</w:t>
            </w:r>
          </w:p>
        </w:tc>
        <w:tc>
          <w:tcPr>
            <w:tcW w:w="14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300</w:t>
            </w:r>
          </w:p>
        </w:tc>
        <w:tc>
          <w:tcPr>
            <w:tcW w:w="30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asset—trade name</w:t>
            </w:r>
          </w:p>
        </w:tc>
        <w:tc>
          <w:tcPr>
            <w:tcW w:w="1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100</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1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4,008</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1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(228)</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7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14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(263)</w:t>
            </w:r>
          </w:p>
        </w:tc>
        <w:tc>
          <w:tcPr>
            <w:tcW w:w="300" w:type="dxa"/>
            <w:vAlign w:val="bottom"/>
          </w:tcPr>
          <w:p>
            <w:pPr>
              <w:spacing w:after="0"/>
              <w:rPr>
                <w:sz w:val="14"/>
                <w:szCs w:val="14"/>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(1,622)</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1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8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liability</w:t>
            </w:r>
          </w:p>
        </w:tc>
        <w:tc>
          <w:tcPr>
            <w:tcW w:w="144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(1,084)</w:t>
            </w:r>
          </w:p>
        </w:tc>
        <w:tc>
          <w:tcPr>
            <w:tcW w:w="300" w:type="dxa"/>
            <w:vAlign w:val="bottom"/>
          </w:tcPr>
          <w:p>
            <w:pPr>
              <w:spacing w:after="0"/>
              <w:rPr>
                <w:sz w:val="15"/>
                <w:szCs w:val="15"/>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(1,582)</w:t>
            </w:r>
          </w:p>
        </w:tc>
        <w:tc>
          <w:tcPr>
            <w:tcW w:w="0" w:type="dxa"/>
            <w:vAlign w:val="bottom"/>
          </w:tcPr>
          <w:p>
            <w:pPr>
              <w:spacing w:after="0"/>
              <w:rPr>
                <w:sz w:val="1"/>
                <w:szCs w:val="1"/>
                <w:color w:val="auto"/>
              </w:rPr>
            </w:pPr>
          </w:p>
        </w:tc>
      </w:tr>
      <w:tr>
        <w:trPr>
          <w:trHeight w:val="172"/>
        </w:trPr>
        <w:tc>
          <w:tcPr>
            <w:tcW w:w="7020" w:type="dxa"/>
            <w:vAlign w:val="bottom"/>
            <w:tcBorders>
              <w:top w:val="single" w:sz="8" w:color="CCEEFF"/>
              <w:bottom w:val="single" w:sz="8" w:color="CCEEFF"/>
            </w:tcBorders>
            <w:shd w:val="clear" w:color="auto" w:fill="CCEEFF"/>
          </w:tcPr>
          <w:p>
            <w:pPr>
              <w:spacing w:after="0"/>
              <w:rPr>
                <w:sz w:val="14"/>
                <w:szCs w:val="14"/>
                <w:color w:val="auto"/>
              </w:rPr>
            </w:pPr>
          </w:p>
        </w:tc>
        <w:tc>
          <w:tcPr>
            <w:tcW w:w="1440" w:type="dxa"/>
            <w:vAlign w:val="bottom"/>
            <w:tcBorders>
              <w:top w:val="single" w:sz="8" w:color="auto"/>
              <w:bottom w:val="single" w:sz="8" w:color="auto"/>
            </w:tcBorders>
            <w:shd w:val="clear" w:color="auto" w:fill="CCEEFF"/>
          </w:tcPr>
          <w:p>
            <w:pPr>
              <w:jc w:val="right"/>
              <w:ind w:right="132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10,897</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EMI Solutions, Inc.</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December 18, 2023, the Company completed the acquisition of EMI Solutions when the Company acquired all of the issued and outstanding common shares of EMI Solutions. EMI Solutions is a manufacturer of electromagnetic interference filtering products for military and aerospace applications. Consideration for the acquisition consisted of 96,491 shares of the Company’s common stock with an estimated fair value of $8,856 and $2,200 in cash. Of the cash portion of the consideration, the Company paid $155 at the time of the consummation of the acquisition and through September 30, 2025 the Company paid an additional $1,522. The remaining $523 cash portion of the consideration is currently payable.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merger agreement with EMI Solutions provided that in the event that Legacy Mobix did not complete an initial public offering (including the Merger) within twenty-four months following the completion of the acquisition of EMI Solutions, the sellers could require the Company to pay all unpaid cash consideration and provided the sellers a “put right” wherein the sellers could require that the Company repurchase the 96,491 shares of common stock for a cash amount equal to $68.40 per share. The Company evaluated the terms of the related agreement and concluded that the shares of common stock issued as consideration were contingently redeemable common stock, and required recognition as temporary equity, because the events that determine whether the Company will be required to repurchase the 96,491 shares of its common stock for cash were not within the Company’s control. At the time of completion of the acquisition, the Company estimated the fair value of the contingently redeemable common stock at $8,856, based upon the fair value of the Legacy Mobix common stock, adjusted to include the fair value of the put right. The Company estimated the fair value of the put right using the Black-Scholes option pricing model with the following assumptions: expected volatility of 55.0%; no expected dividend yield; risk-free interest rate of 4.5%; and a contractual term of two years. The Company included this amount as part of the value of the purchase consideration. After the Closing of the Merger with Chavant on December 21, 2023, the common stock was no longer contingently redeemable, and the Company reclassified the value of the contingently redeemable common stock to permanent equity at its carrying value of $8,856, with no gain or loss recognized.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Company estimated the useful lives of the customer relationships, trade name and backlog intangible assets are fifteen years, two years and one year, respectively. The goodwill is primarily attributed to expected synergies for the combined operations and is not deductible for income tax purposes.</w:t>
      </w:r>
    </w:p>
    <w:p>
      <w:pPr>
        <w:spacing w:after="0" w:line="1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operating results of EMI Solutions are included in the Company’s consolidated financial statements for periods subsequent to the acquisition date. The amounts of net revenue and net loss of EMI Solutions included in the Company’s consolidated statements of operations and comprehensive loss were $3,937 and $(312), respectively, for the year ended September 30, 2025 and $2,774 and $(887), respectively, for the year ended September 30,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RaGE Systems, Inc.</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May 21, 2024, the Company completed the acquisition of RaGE Systems when the Company acquired all of the issued and outstanding common shares of RaGE Systems pursuant to a business combination agreement (the “RaGE Business Combination Agreement”). RaGE Systems specializes in developing products for 5G communications, mmWave imaging, and software defined radio targeting the commercial, industrial, and defense and aerospace sectors. Aggregate consideration for the acquisition was $9,518, consisting of 321,404 shares of the Company’s Class A Common Stock having a fair value of $7,682 and $2,000 in cash, of which the Company paid $200 during the year ended September 30, 2024 and as of September 30, 2025 the remaining $1,800 is currently payable. The Company also entered into employment agreements with each of the RaGE stockholders.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estimated the useful lives of the customer relationships, developed technology and trade name intangible assets are twelve years, seven years, and two and one-half years, respectively.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goodwill is primarily attributed to expected synergies for the combined operations and is not deductible for income tax purposes.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Pursuant to the RaGE Business Combination Agreement, the RaGE stockholders are entitled to receive possible earnout payments of up to $8,000, payable in a combination of cash and shares of the Company’s Class A Common Stock, based upon both (i) the attainment of certain financial targets measured over calendar years 2024 and 2025 and (ii) continued employment with the Company (the “RaGE Earnout”). Because the RaGE Earnout arrangement is linked to continued employment with the Company in the post-acquisition period, the Company determined that the related cost must be recognized as an operating expense in the post-acquisition period, and no portion was accounted for as part of the purchase consideration. As of September 30, 2025 and 2024, the Company estimated the amount of the payments it expects to make under the RaGE Earnout, based upon its expectation of the level of achievement of the financial targets over the measurement periods and for the years ended September 30, 2025 and 2024, the Company recognized expense of $767 and $2,985, respectively, which is included in selling, general and administrative expenses in the consolidated statements of operations and comprehensive loss. During the year ended September 30, 2025, the Company issued the RaGE stockholders 64,280 shares of the Company’s Class A Common Stock in partial settlement of its liability under the RaGE Earnout.</w:t>
      </w:r>
    </w:p>
    <w:p>
      <w:pPr>
        <w:spacing w:after="0" w:line="14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operating results of RaGE Systems are included in the Company’s consolidated financial statements for periods subsequent to the acquisition date. The amounts of net revenue and net income of RaGE Systems included in the Company’s consolidated statements of operations and comprehensive loss were $5,836 and $586, respectively, for the year ended September 30, 2025 and $2,739 and $201, respectively, for the year ended September 30, 2024.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 forma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unaudited pro forma net revenue and net loss of the Company, as if the acquisitions of EMI Solutions and RaGE Systems had each been completed as of October 1, 2022.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unaudited pro forma information is presented for informational purposes only and is not necessarily indicative of future operations or results had the acquisitions occurred on October 1, 2022.</w:t>
      </w:r>
    </w:p>
    <w:p>
      <w:pPr>
        <w:sectPr>
          <w:pgSz w:w="11900" w:h="16838" w:orient="portrait"/>
          <w:cols w:equalWidth="0" w:num="1">
            <w:col w:w="11280"/>
          </w:cols>
          <w:pgMar w:left="300" w:top="54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Net revenue</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Net loss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Inventory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Inventory consists of the following: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Raw materials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Finished goods</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inventory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6350</wp:posOffset>
            </wp:positionV>
            <wp:extent cx="96901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69010" cy="6985"/>
                    </a:xfrm>
                    <a:prstGeom prst="rect">
                      <a:avLst/>
                    </a:prstGeom>
                    <a:noFill/>
                  </pic:spPr>
                </pic:pic>
              </a:graphicData>
            </a:graphic>
          </wp:anchor>
        </w:drawing>
      </w:r>
    </w:p>
    <w:p>
      <w:pPr>
        <w:spacing w:after="0" w:line="157" w:lineRule="exact"/>
        <w:rPr>
          <w:sz w:val="20"/>
          <w:szCs w:val="20"/>
          <w:color w:val="auto"/>
        </w:rPr>
      </w:pPr>
    </w:p>
    <w:p>
      <w:pPr>
        <w:ind w:left="2660" w:hanging="1139"/>
        <w:spacing w:after="0"/>
        <w:tabs>
          <w:tab w:leader="none" w:pos="26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10,268</w:t>
      </w:r>
    </w:p>
    <w:p>
      <w:pPr>
        <w:spacing w:after="0" w:line="23" w:lineRule="exact"/>
        <w:rPr>
          <w:rFonts w:ascii="Times New Roman" w:cs="Times New Roman" w:eastAsia="Times New Roman" w:hAnsi="Times New Roman"/>
          <w:sz w:val="14"/>
          <w:szCs w:val="14"/>
          <w:color w:val="auto"/>
        </w:rPr>
      </w:pPr>
    </w:p>
    <w:p>
      <w:pPr>
        <w:ind w:left="2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-209550</wp:posOffset>
            </wp:positionV>
            <wp:extent cx="5724525" cy="1085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24525" cy="10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28"/>
        </w:trPr>
        <w:tc>
          <w:tcPr>
            <w:tcW w:w="44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999</w:t>
            </w: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w:t>
            </w:r>
          </w:p>
        </w:tc>
      </w:tr>
      <w:tr>
        <w:trPr>
          <w:trHeight w:val="185"/>
        </w:trPr>
        <w:tc>
          <w:tcPr>
            <w:tcW w:w="440" w:type="dxa"/>
            <w:vAlign w:val="bottom"/>
          </w:tcPr>
          <w:p>
            <w:pPr>
              <w:spacing w:after="0"/>
              <w:rPr>
                <w:sz w:val="16"/>
                <w:szCs w:val="16"/>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436</w:t>
            </w: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72"/>
        </w:trPr>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3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-365125</wp:posOffset>
            </wp:positionV>
            <wp:extent cx="7160895" cy="1085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895" cy="10858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-141605</wp:posOffset>
            </wp:positionV>
            <wp:extent cx="716089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895" cy="12890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6300" w:space="720"/>
            <w:col w:w="4260"/>
          </w:cols>
          <w:pgMar w:left="300" w:top="549" w:right="31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6 — Property and Equipment, net</w:t>
            </w:r>
          </w:p>
        </w:tc>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1"/>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 consists of the following:</w:t>
            </w: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2"/>
        </w:trPr>
        <w:tc>
          <w:tcPr>
            <w:tcW w:w="5440" w:type="dxa"/>
            <w:vAlign w:val="bottom"/>
          </w:tcPr>
          <w:p>
            <w:pPr>
              <w:spacing w:after="0"/>
              <w:rPr>
                <w:sz w:val="24"/>
                <w:szCs w:val="24"/>
                <w:color w:val="auto"/>
              </w:rPr>
            </w:pPr>
          </w:p>
        </w:tc>
        <w:tc>
          <w:tcPr>
            <w:tcW w:w="2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3"/>
        </w:trPr>
        <w:tc>
          <w:tcPr>
            <w:tcW w:w="5440" w:type="dxa"/>
            <w:vAlign w:val="bottom"/>
          </w:tcPr>
          <w:p>
            <w:pPr>
              <w:spacing w:after="0"/>
              <w:rPr>
                <w:sz w:val="15"/>
                <w:szCs w:val="15"/>
                <w:color w:val="auto"/>
              </w:rPr>
            </w:pPr>
          </w:p>
        </w:tc>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1"/>
        </w:trPr>
        <w:tc>
          <w:tcPr>
            <w:tcW w:w="5440" w:type="dxa"/>
            <w:vAlign w:val="bottom"/>
          </w:tcPr>
          <w:p>
            <w:pPr>
              <w:spacing w:after="0"/>
              <w:rPr>
                <w:sz w:val="14"/>
                <w:szCs w:val="14"/>
                <w:color w:val="auto"/>
              </w:rPr>
            </w:pPr>
          </w:p>
        </w:tc>
        <w:tc>
          <w:tcPr>
            <w:tcW w:w="22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and furniture</w:t>
            </w:r>
          </w:p>
        </w:tc>
        <w:tc>
          <w:tcPr>
            <w:tcW w:w="226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5 - 7</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shd w:val="clear" w:color="auto" w:fill="CCEEFF"/>
          </w:tcPr>
          <w:p>
            <w:pPr>
              <w:spacing w:after="0"/>
              <w:rPr>
                <w:sz w:val="14"/>
                <w:szCs w:val="14"/>
                <w:color w:val="auto"/>
              </w:rPr>
            </w:pPr>
          </w:p>
        </w:tc>
      </w:tr>
      <w:tr>
        <w:trPr>
          <w:trHeight w:val="171"/>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Laboratory equipment</w:t>
            </w:r>
          </w:p>
        </w:tc>
        <w:tc>
          <w:tcPr>
            <w:tcW w:w="226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tcPr>
          <w:p>
            <w:pPr>
              <w:spacing w:after="0"/>
              <w:rPr>
                <w:sz w:val="14"/>
                <w:szCs w:val="14"/>
                <w:color w:val="auto"/>
              </w:rPr>
            </w:pPr>
          </w:p>
        </w:tc>
      </w:tr>
      <w:tr>
        <w:trPr>
          <w:trHeight w:val="156"/>
        </w:trPr>
        <w:tc>
          <w:tcPr>
            <w:tcW w:w="54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Leasehold improvements</w:t>
            </w:r>
          </w:p>
        </w:tc>
        <w:tc>
          <w:tcPr>
            <w:tcW w:w="2500" w:type="dxa"/>
            <w:vAlign w:val="bottom"/>
            <w:gridSpan w:val="2"/>
            <w:shd w:val="clear" w:color="auto" w:fill="CCEEFF"/>
          </w:tcPr>
          <w:p>
            <w:pPr>
              <w:jc w:val="center"/>
              <w:ind w:right="260"/>
              <w:spacing w:after="0" w:line="156" w:lineRule="exact"/>
              <w:rPr>
                <w:sz w:val="20"/>
                <w:szCs w:val="20"/>
                <w:color w:val="auto"/>
              </w:rPr>
            </w:pPr>
            <w:r>
              <w:rPr>
                <w:rFonts w:ascii="Times New Roman" w:cs="Times New Roman" w:eastAsia="Times New Roman" w:hAnsi="Times New Roman"/>
                <w:sz w:val="14"/>
                <w:szCs w:val="14"/>
                <w:color w:val="auto"/>
              </w:rPr>
              <w:t>Shorter of estimated useful life or</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96"/>
        </w:trPr>
        <w:tc>
          <w:tcPr>
            <w:tcW w:w="544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remaining lease term</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891</w:t>
            </w:r>
          </w:p>
        </w:tc>
        <w:tc>
          <w:tcPr>
            <w:tcW w:w="80" w:type="dxa"/>
            <w:vAlign w:val="bottom"/>
            <w:shd w:val="clear" w:color="auto" w:fill="CCEEFF"/>
          </w:tcPr>
          <w:p>
            <w:pPr>
              <w:spacing w:after="0"/>
              <w:rPr>
                <w:sz w:val="17"/>
                <w:szCs w:val="17"/>
                <w:color w:val="auto"/>
              </w:rPr>
            </w:pPr>
          </w:p>
        </w:tc>
      </w:tr>
      <w:tr>
        <w:trPr>
          <w:trHeight w:val="161"/>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3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1"/>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(794)</w:t>
            </w:r>
          </w:p>
        </w:tc>
        <w:tc>
          <w:tcPr>
            <w:tcW w:w="42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(1,349)</w:t>
            </w:r>
          </w:p>
        </w:tc>
      </w:tr>
      <w:tr>
        <w:trPr>
          <w:trHeight w:val="172"/>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3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5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for the years ended September 30, 2025 and 2024 was $366 and $472,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During the year ended September 30, 2025, the Company recognized losses of $472 on the disposal of certain assets, principally consisting of equipment and furniture and leasehold improvements, at a leased office the Company vacated. Such losses are principally included in selling, general and administrative expenses in the consolidated statements of operations and comprehensive loss. During the year ended September 30, 2024, the Company wrote off certain tooling having a carrying value of $584 which management determined it would not use in production. The charge is included in “Research and development” in the consolidated statements of operations and comprehensive loss.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7 — Intangible Assets, net</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1"/>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 consist of the following:</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2"/>
        </w:trPr>
        <w:tc>
          <w:tcPr>
            <w:tcW w:w="40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5"/>
        </w:trPr>
        <w:tc>
          <w:tcPr>
            <w:tcW w:w="4040" w:type="dxa"/>
            <w:vAlign w:val="bottom"/>
          </w:tcPr>
          <w:p>
            <w:pPr>
              <w:spacing w:after="0"/>
              <w:rPr>
                <w:sz w:val="12"/>
                <w:szCs w:val="12"/>
                <w:color w:val="auto"/>
              </w:rPr>
            </w:pPr>
          </w:p>
        </w:tc>
        <w:tc>
          <w:tcPr>
            <w:tcW w:w="122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right"/>
              <w:ind w:right="189"/>
              <w:spacing w:after="0" w:line="145"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7"/>
        </w:trPr>
        <w:tc>
          <w:tcPr>
            <w:tcW w:w="40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3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32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62"/>
        </w:trPr>
        <w:tc>
          <w:tcPr>
            <w:tcW w:w="40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Developed technology</w:t>
            </w:r>
          </w:p>
        </w:tc>
        <w:tc>
          <w:tcPr>
            <w:tcW w:w="1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7 – 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5,689</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(2,798)</w:t>
            </w:r>
          </w:p>
        </w:tc>
        <w:tc>
          <w:tcPr>
            <w:tcW w:w="2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2,891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5,689</w:t>
            </w:r>
          </w:p>
        </w:tc>
        <w:tc>
          <w:tcPr>
            <w:tcW w:w="5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(2,216)</w:t>
            </w:r>
          </w:p>
        </w:tc>
        <w:tc>
          <w:tcPr>
            <w:tcW w:w="22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3,473</w:t>
            </w:r>
          </w:p>
        </w:tc>
      </w:tr>
      <w:tr>
        <w:trPr>
          <w:trHeight w:val="171"/>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12 – 15</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11,900</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(1,374)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10,526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11,900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11,442</w:t>
            </w:r>
          </w:p>
        </w:tc>
      </w:tr>
      <w:tr>
        <w:trPr>
          <w:trHeight w:val="171"/>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names</w:t>
            </w:r>
          </w:p>
        </w:tc>
        <w:tc>
          <w:tcPr>
            <w:tcW w:w="12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8"/>
              </w:rPr>
              <w:t>2 – 2.5</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(198)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232</w:t>
            </w:r>
          </w:p>
        </w:tc>
      </w:tr>
      <w:tr>
        <w:trPr>
          <w:trHeight w:val="181"/>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Backlog</w:t>
            </w:r>
          </w:p>
        </w:tc>
        <w:tc>
          <w:tcPr>
            <w:tcW w:w="8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w:t>
            </w:r>
          </w:p>
        </w:tc>
      </w:tr>
      <w:tr>
        <w:trPr>
          <w:trHeight w:val="172"/>
        </w:trPr>
        <w:tc>
          <w:tcPr>
            <w:tcW w:w="404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17,889</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w:t>
            </w:r>
          </w:p>
        </w:tc>
        <w:tc>
          <w:tcPr>
            <w:tcW w:w="260" w:type="dxa"/>
            <w:vAlign w:val="bottom"/>
            <w:tcBorders>
              <w:top w:val="single" w:sz="8" w:color="CCEEFF"/>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13,519</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260" w:type="dxa"/>
            <w:vAlign w:val="bottom"/>
            <w:tcBorders>
              <w:top w:val="single" w:sz="8" w:color="CCEEFF"/>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Company recorded amortization expense related to intangible assets of $1,692 and $1,543 during the years ended September 30, 2025 and 2024, respectively. The weighted-average remaining lives of intangible assets as of September 30, 2025 were developed technology 5.0 years; customer relationships 11.6 years; and trade names 1.0 years.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During the year ended September 30, 2024, as a result of declining sales of AOCs and strategic decisions on investment across the Company’s product groups, the Company tested the related long-lived assets for possible impairment. Based on this test, the Company concluded that the carrying value of the AOCs asset group exceeded its estimated fair value, and the Company recorded an impairment charge of $1,333 to write down the carrying value of the long-lived assets (consisting of developed technology and customer relationships). The Company estimated the fair value of the AOCs asset group using a discounted cash flow model.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Estimated future amortization expense for intangible assets by fiscal year as of September 30, 2025 is as follows:</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2"/>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Years ending September 30,</w:t>
            </w: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9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1,590</w:t>
            </w:r>
          </w:p>
        </w:tc>
      </w:tr>
      <w:tr>
        <w:trPr>
          <w:trHeight w:val="171"/>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1,510</w:t>
            </w:r>
          </w:p>
        </w:tc>
      </w:tr>
      <w:tr>
        <w:trPr>
          <w:trHeight w:val="171"/>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1,498</w:t>
            </w:r>
          </w:p>
        </w:tc>
      </w:tr>
      <w:tr>
        <w:trPr>
          <w:trHeight w:val="171"/>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1,498</w:t>
            </w:r>
          </w:p>
        </w:tc>
      </w:tr>
      <w:tr>
        <w:trPr>
          <w:trHeight w:val="171"/>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1,454</w:t>
            </w:r>
          </w:p>
        </w:tc>
      </w:tr>
      <w:tr>
        <w:trPr>
          <w:trHeight w:val="181"/>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8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5,969</w:t>
            </w:r>
          </w:p>
        </w:tc>
      </w:tr>
      <w:tr>
        <w:trPr>
          <w:trHeight w:val="172"/>
        </w:trPr>
        <w:tc>
          <w:tcPr>
            <w:tcW w:w="9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tcBorders>
              <w:top w:val="single" w:sz="8" w:color="auto"/>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Goodwill</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following table summarizes changes in the carrying amount of goodwill during the years ended September 30, 2024. There were no changes in the carrying amount of goodwill during the year ended September 30,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5,217</w:t>
            </w:r>
          </w:p>
        </w:tc>
        <w:tc>
          <w:tcPr>
            <w:tcW w:w="80" w:type="dxa"/>
            <w:vAlign w:val="bottom"/>
            <w:shd w:val="clear" w:color="auto" w:fill="CCEEFF"/>
          </w:tcPr>
          <w:p>
            <w:pPr>
              <w:spacing w:after="0"/>
              <w:rPr>
                <w:sz w:val="14"/>
                <w:szCs w:val="14"/>
                <w:color w:val="auto"/>
              </w:rPr>
            </w:pPr>
          </w:p>
        </w:tc>
      </w:tr>
      <w:tr>
        <w:trPr>
          <w:trHeight w:val="171"/>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 of EMI Solutions</w:t>
            </w:r>
          </w:p>
        </w:tc>
        <w:tc>
          <w:tcPr>
            <w:tcW w:w="8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6,841</w:t>
            </w:r>
          </w:p>
        </w:tc>
        <w:tc>
          <w:tcPr>
            <w:tcW w:w="80" w:type="dxa"/>
            <w:vAlign w:val="bottom"/>
          </w:tcPr>
          <w:p>
            <w:pPr>
              <w:spacing w:after="0"/>
              <w:rPr>
                <w:sz w:val="14"/>
                <w:szCs w:val="14"/>
                <w:color w:val="auto"/>
              </w:rPr>
            </w:pPr>
          </w:p>
        </w:tc>
      </w:tr>
      <w:tr>
        <w:trPr>
          <w:trHeight w:val="181"/>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RaGE Systems</w:t>
            </w:r>
          </w:p>
        </w:tc>
        <w:tc>
          <w:tcPr>
            <w:tcW w:w="8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4,008</w:t>
            </w:r>
          </w:p>
        </w:tc>
        <w:tc>
          <w:tcPr>
            <w:tcW w:w="80" w:type="dxa"/>
            <w:vAlign w:val="bottom"/>
            <w:shd w:val="clear" w:color="auto" w:fill="CCEEFF"/>
          </w:tcPr>
          <w:p>
            <w:pPr>
              <w:spacing w:after="0"/>
              <w:rPr>
                <w:sz w:val="15"/>
                <w:szCs w:val="15"/>
                <w:color w:val="auto"/>
              </w:rPr>
            </w:pPr>
          </w:p>
        </w:tc>
      </w:tr>
      <w:tr>
        <w:trPr>
          <w:trHeight w:val="172"/>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Balance at September 30,</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 and 2025</w:t>
            </w: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16,066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14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 performed its annual goodwill assessment as of July 31. The Company assessed all relevant qualitative factors to determine whether it was more likely than not that the fair value of a reporting unit was less than its carrying amount. Based on this assessment, the Company concluded that it was more likely than not that the fair value of each reporting unit was greater than its carrying amount, and that a quantitative goodwill impairment test was not necessary. The Company recorded no impairment charges on goodwill for the years ended September 30, 2025 and 2024.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9 — Accrued Expenses and Other Current Liabilities</w:t>
            </w: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 consist of the following:</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0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020" w:type="dxa"/>
            <w:vAlign w:val="bottom"/>
          </w:tcPr>
          <w:p>
            <w:pPr>
              <w:spacing w:after="0"/>
              <w:rPr>
                <w:sz w:val="14"/>
                <w:szCs w:val="14"/>
                <w:color w:val="auto"/>
              </w:rPr>
            </w:pPr>
          </w:p>
        </w:tc>
        <w:tc>
          <w:tcPr>
            <w:tcW w:w="1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32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Accrued professional fees</w:t>
            </w:r>
          </w:p>
        </w:tc>
        <w:tc>
          <w:tcPr>
            <w:tcW w:w="13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694</w:t>
            </w:r>
          </w:p>
        </w:tc>
        <w:tc>
          <w:tcPr>
            <w:tcW w:w="54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3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393</w:t>
            </w:r>
          </w:p>
        </w:tc>
        <w:tc>
          <w:tcPr>
            <w:tcW w:w="5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1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Committed equity facility fees</w:t>
            </w:r>
          </w:p>
        </w:tc>
        <w:tc>
          <w:tcPr>
            <w:tcW w:w="1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1,553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Unpaid Merger-related transaction costs</w:t>
            </w:r>
          </w:p>
        </w:tc>
        <w:tc>
          <w:tcPr>
            <w:tcW w:w="1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RaGE Earnout</w:t>
            </w:r>
          </w:p>
        </w:tc>
        <w:tc>
          <w:tcPr>
            <w:tcW w:w="1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2,098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0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1320" w:type="dxa"/>
            <w:vAlign w:val="bottom"/>
            <w:tcBorders>
              <w:top w:val="single" w:sz="8" w:color="auto"/>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10,325</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10 — Debt</w:t>
            </w: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0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Debt consists of the following:</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0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020" w:type="dxa"/>
            <w:vAlign w:val="bottom"/>
          </w:tcPr>
          <w:p>
            <w:pPr>
              <w:spacing w:after="0"/>
              <w:rPr>
                <w:sz w:val="14"/>
                <w:szCs w:val="14"/>
                <w:color w:val="auto"/>
              </w:rPr>
            </w:pPr>
          </w:p>
        </w:tc>
        <w:tc>
          <w:tcPr>
            <w:tcW w:w="1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w:t>
            </w:r>
          </w:p>
        </w:tc>
        <w:tc>
          <w:tcPr>
            <w:tcW w:w="132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7% promissory notes – related parties</w:t>
            </w:r>
          </w:p>
        </w:tc>
        <w:tc>
          <w:tcPr>
            <w:tcW w:w="1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 related parties</w:t>
            </w:r>
          </w:p>
        </w:tc>
        <w:tc>
          <w:tcPr>
            <w:tcW w:w="13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debt</w:t>
            </w:r>
          </w:p>
        </w:tc>
        <w:tc>
          <w:tcPr>
            <w:tcW w:w="1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6,185</w:t>
            </w:r>
          </w:p>
        </w:tc>
        <w:tc>
          <w:tcPr>
            <w:tcW w:w="3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Amounts classified as current</w:t>
            </w:r>
          </w:p>
        </w:tc>
        <w:tc>
          <w:tcPr>
            <w:tcW w:w="13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(5,086)</w:t>
            </w:r>
          </w:p>
        </w:tc>
        <w:tc>
          <w:tcPr>
            <w:tcW w:w="54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(2,141)</w:t>
            </w:r>
          </w:p>
        </w:tc>
        <w:tc>
          <w:tcPr>
            <w:tcW w:w="0" w:type="dxa"/>
            <w:vAlign w:val="bottom"/>
          </w:tcPr>
          <w:p>
            <w:pPr>
              <w:spacing w:after="0"/>
              <w:rPr>
                <w:sz w:val="1"/>
                <w:szCs w:val="1"/>
                <w:color w:val="auto"/>
              </w:rPr>
            </w:pPr>
          </w:p>
        </w:tc>
      </w:tr>
      <w:tr>
        <w:trPr>
          <w:trHeight w:val="172"/>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Noncurrent portion</w:t>
            </w:r>
          </w:p>
        </w:tc>
        <w:tc>
          <w:tcPr>
            <w:tcW w:w="1320" w:type="dxa"/>
            <w:vAlign w:val="bottom"/>
            <w:tcBorders>
              <w:top w:val="single" w:sz="8" w:color="auto"/>
              <w:bottom w:val="single" w:sz="8" w:color="auto"/>
            </w:tcBorders>
          </w:tcPr>
          <w:p>
            <w:pPr>
              <w:jc w:val="right"/>
              <w:ind w:right="119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3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Notes Payable</w:t>
      </w:r>
    </w:p>
    <w:p>
      <w:pPr>
        <w:spacing w:after="0" w:line="1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During the year ended September 30, 2025, the Company entered into three notes payable with financial institutions for net proceeds of $1,734. The notes have terms of seven to eighteen months and require weekly payments, including finance charges, totaling $2,791. The notes are secured by substantially all of the Company’s assets and one note is guaranteed by an officer and director of the Company.</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also entered into four additional notes payable having an aggregate principal amount of $1,275 with unrelated investors to meet its working capital needs. Net proceeds from the issuance of the notes were $1,152. Two of the notes bear interest at rates ranging from 7% to 12% per annum; the remaining notes were issued at a discount and bear no interest. The notes mature at various dates from February 2025 to August 2026. One note requires monthly principal payments of $103 commencing in March 2026; the remainder of the notes require payment of the principal balance upon maturity. One note, having a principal amount of $550, provides that the principal and accrued interest thereon, totaling $616, may at the option of the investor be converted into shares of the Company’s Class A Common Stock at any time prior to maturity in August 2026. The Company also entered into a stock pledge agreement with an investor, pursuant to which the Company issued 150,000 shares of its Class A Common Stock as security for the Company’s payment of amounts owed under the note. While such shares are held as collateral the investor is entitled to voting and other rights relating to the shares and, in the event of a default by the Company, the investor would be entitled to sell the pledged shares and apply the proceeds to the balance due under the note. Upon the Company’s repayment of the note, all interest in the pledged shares will revert to the Company.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connection with the issuance of two notes payable, during the year ended September 30, 2025, the Company issued 34,375 shares of its Class A Common Stock to the investors. The Company accounted for the shares at their fair value of $212 which was recorded as an increase to additional paid-in capital and as a discount to notes payable on the consolidated balance sheet.</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During the year ended September 30, 2025, the Company entered into three agreements for the purchase and sale of future receipts with unrelated buyers, pursuant to which the Company agreed to sell to the buyers certain future trade receipts in the aggregate amount of $4,417 (the “Future Receipts Purchased Amount”) for net proceeds to the Company of $2,430.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March 2026.</w:t>
      </w:r>
    </w:p>
    <w:p>
      <w:pPr>
        <w:spacing w:after="0" w:line="1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During the year ended September 30, 2024, the Company entered into six promissory notes having an aggregate principal amount of $1,069 with unrelated investors to meet its working capital needs. The Company also issued convertible notes with an aggregate principal amount of $200 to unrelated investors. Net proceeds from the issuance of the notes were $1,198. The notes bear interest at rates ranging from 6% to 76% per annum; one note was issued at a discount and bears no interest. The notes mature at various dates through December 2024 and are unsecured. One note required weekly payments of $4. In connection with the Merger, all outstanding convertible notes were converted into 3,004 shares of the Company’s Class A Common Stock and the $206 carrying amount of the notes and accrued interest thereon was credited to equity, with no gain or loss recognized.</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year ended September 30, 2024, the Company issued immediately exercisable warrants to purchase an aggregate of 20,196 shares of its common stock in connection with the issuance of certain notes. The warrants had exercise prices ranging from $0.10 to $20.00 per share and terms of one to two years. The Company evaluated the warrants and determined that they met all the requirements for equity classification under ASC 815. The Company accounted for each of the warrants as detachable warrants at their fair value, using the relative fair value method, and allocated $155 of the proceeds to the warrants. This amount was recorded as an increase to additional paid-in capital and as a discount to notes payable on the consolidated balance sheets. The Company amortized the discount over the term of the related notes using the effective interest method. The Company valued the warrants at the time of issuance using the Black-Scholes option pricing model with the following assumptions: expected volatility of 55.0-55.6%; no expected dividend yield; risk-free interest rate of 4.7-5.3%; and expected term of one to two years.</w:t>
      </w:r>
    </w:p>
    <w:p>
      <w:pPr>
        <w:spacing w:after="0" w:line="1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During the year ended September 30, 2025, the Company and the holders of three notes agreed to settle the outstanding principal and accrued interest, totaling $661, in exchange for 79,868 shares of the Company’s Class A Common Stock. The Company recognized a loss on the extinguishment of debt of $300, which is included in “Other non-operating losses, net” in the consolidated statements of operations and comprehensive loss.</w:t>
      </w:r>
    </w:p>
    <w:p>
      <w:pPr>
        <w:spacing w:after="0" w:line="1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During the years ended September 30, 2025 and 2024 the Company made principal payments of $1,215 and $1,749, respectively, on notes payable. As of September 30, 2025, notes payable having a remaining principal balance of $4,264 were outstanding and are included in “Notes payable, current” at a carrying amount of $3,934 (net of unamortized discount of $330) in the consolidated balance sheet.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7% Promissory Notes — Related Parties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two outstanding promissory notes with related parties which the Company assumed in 2020 as part of an asset acquisition. The promissory notes bear interest at 7% per annum and are unsecured. During the year ended September 30, 2025, the Company and the holders of the 7% promissory notes each agreed to extend the payment terms, such that the outstanding principal and accrued interest will be repaid in monthly payments of varying amounts through March 2027, with the remaining principal balance of $979 payable on May 15, 2027. As a result of these agreements, the Company has reclassified $1,099 of the outstanding principal balance of the 7% promissory notes to “Notes payable — related parties, noncurrent” in the consolidated balance sheet as of September 30, 2025. The portion of the 7% promissory notes due within one year is included in “Notes payable — related parties, current” in the consolidated balance sheets. During the years ended September 30, 2025 and 2024, the Company made principal payments of $244 and $854 on the 7% promissory notes.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Notes Payable — Related Parties</w:t>
      </w:r>
    </w:p>
    <w:p>
      <w:pPr>
        <w:spacing w:after="0" w:line="1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During the year ended September 30, 2024, the Company entered into two promissory notes having an aggregate principal amount of $495 with a related party to meet its working capital needs. Net proceeds from the issuance of the notes were $450. The notes bear no interest, are unsecured and matured at various dates through November 2024. The Company repaid one of the notes, having a principal balance of $165, during the year ended September 30, 2024 and repaid the remaining note, having a principal balance of $330, during the year ended September 30,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Leases</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Company has entered into operating leases for office space. The leases have remaining terms ranging from three months to 1.8 years and expire at various dates through July 2027. The leases do not contain residual value guarantees or restrictive covenants.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During the year ended September 30, 2025, the Company entered into new or amended leases relating to four properties. In connection with these leases, the Company recognized additional right-of-use assets and operating lease liabilities of $528. The Company also modified the lease on one property it occupies in Lowell, Massachusetts to reduce the remaining lease term. As a result of the modification, the Company recognized an $86 reduction in the related ROU asset and operating lease liability. There were no leases that had not yet commenced as of September 30, 2025 that will create significant additional rights and obligations for the Company.</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March 2025, the Company vacated a leased 19,436 square foot office in Irvine, California, having a remaining lease term of 2.4 years and in April 2025 the lease was terminated. As a result of the termination of the lease, the Company recognized an impairment loss of $725 to reduce the carrying value of this asset group to its estimated fair value. The resulting impairment loss is included in “Impairment of long-lived assets” in the condensed consolidated statements of operations and comprehensive loss.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lease costs are included in the consolidated statements of operations and comprehensive loss:</w:t>
            </w:r>
          </w:p>
        </w:tc>
        <w:tc>
          <w:tcPr>
            <w:tcW w:w="1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5"/>
        </w:trPr>
        <w:tc>
          <w:tcPr>
            <w:tcW w:w="7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70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7020" w:type="dxa"/>
            <w:vAlign w:val="bottom"/>
          </w:tcPr>
          <w:p>
            <w:pPr>
              <w:spacing w:after="0"/>
              <w:rPr>
                <w:sz w:val="14"/>
                <w:szCs w:val="14"/>
                <w:color w:val="auto"/>
              </w:rPr>
            </w:pPr>
          </w:p>
        </w:tc>
        <w:tc>
          <w:tcPr>
            <w:tcW w:w="1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r>
      <w:tr>
        <w:trPr>
          <w:trHeight w:val="161"/>
        </w:trPr>
        <w:tc>
          <w:tcPr>
            <w:tcW w:w="7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136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546</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429</w:t>
            </w:r>
          </w:p>
        </w:tc>
      </w:tr>
      <w:tr>
        <w:trPr>
          <w:trHeight w:val="18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 cost</w:t>
            </w:r>
          </w:p>
        </w:tc>
        <w:tc>
          <w:tcPr>
            <w:tcW w:w="1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w:t>
            </w:r>
          </w:p>
        </w:tc>
      </w:tr>
      <w:tr>
        <w:trPr>
          <w:trHeight w:val="172"/>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cost</w:t>
            </w:r>
          </w:p>
        </w:tc>
        <w:tc>
          <w:tcPr>
            <w:tcW w:w="1360" w:type="dxa"/>
            <w:vAlign w:val="bottom"/>
            <w:tcBorders>
              <w:top w:val="single" w:sz="8" w:color="auto"/>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7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 for the years ended September 30, 2025 and 2024 was $549 and $563, respectively. As of September 30, 2025, the weighted-average remaining lease term was 1.3 years, and the weighted-average discount rate was 15.6%.</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the undiscounted cash flows to the operating lease liabilities recorded on the consolidated balance sheet as of September 30,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September 30,</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5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5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61"/>
        </w:trPr>
        <w:tc>
          <w:tcPr>
            <w:tcW w:w="6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34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1"/>
        </w:trPr>
        <w:tc>
          <w:tcPr>
            <w:tcW w:w="6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Present value of future minimum lease payments</w:t>
            </w:r>
          </w:p>
        </w:tc>
        <w:tc>
          <w:tcPr>
            <w:tcW w:w="34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current obligations under leases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72"/>
        </w:trPr>
        <w:tc>
          <w:tcPr>
            <w:tcW w:w="6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lease obligations</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12 — Income Taxes</w:t>
            </w: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7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5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Substantially all of the Company’s pretax loss was generated in the United States. The provision (benefit) for income taxes consists of the following:</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4"/>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14"/>
                <w:szCs w:val="14"/>
                <w:color w:val="auto"/>
              </w:rPr>
            </w:pPr>
          </w:p>
        </w:tc>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vMerge w:val="continue"/>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324"/>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3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5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current</w:t>
            </w: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vMerge w:val="restart"/>
          </w:tcPr>
          <w:p>
            <w:pPr>
              <w:spacing w:after="0"/>
              <w:rPr>
                <w:sz w:val="14"/>
                <w:szCs w:val="14"/>
                <w:color w:val="auto"/>
              </w:rPr>
            </w:pPr>
          </w:p>
        </w:tc>
        <w:tc>
          <w:tcPr>
            <w:tcW w:w="5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vMerge w:val="continue"/>
          </w:tcPr>
          <w:p>
            <w:pPr>
              <w:spacing w:after="0"/>
              <w:rPr>
                <w:sz w:val="14"/>
                <w:szCs w:val="1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Deferred</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3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(2,198)</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34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(234)</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56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deferred</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provision (benefit) for income taxes differs from the amount computed by applying the U.S. federal statutory rate of 21% to the Company’s loss before income taxes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14"/>
                <w:szCs w:val="14"/>
                <w:color w:val="auto"/>
              </w:rPr>
            </w:pPr>
          </w:p>
        </w:tc>
        <w:tc>
          <w:tcPr>
            <w:tcW w:w="3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vMerge w:val="continue"/>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benefit computed at the U.S. federal statutory rate</w:t>
            </w:r>
          </w:p>
        </w:tc>
        <w:tc>
          <w:tcPr>
            <w:tcW w:w="2700" w:type="dxa"/>
            <w:vAlign w:val="bottom"/>
            <w:gridSpan w:val="2"/>
            <w:shd w:val="clear" w:color="auto" w:fill="CCEEFF"/>
          </w:tcPr>
          <w:p>
            <w:pPr>
              <w:jc w:val="right"/>
              <w:ind w:right="917"/>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(9,685)</w:t>
            </w:r>
          </w:p>
        </w:tc>
        <w:tc>
          <w:tcPr>
            <w:tcW w:w="560" w:type="dxa"/>
            <w:vAlign w:val="bottom"/>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and local income tax benefits, net of federal benefit</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4,865</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Non-deductible transaction costs</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1,181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Fair value of warrants issued to investors</w:t>
            </w:r>
          </w:p>
        </w:tc>
        <w:tc>
          <w:tcPr>
            <w:tcW w:w="1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154</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tax rate change</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1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(6,695)</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1,107</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Non-deductible executive compensation</w:t>
            </w:r>
          </w:p>
        </w:tc>
        <w:tc>
          <w:tcPr>
            <w:tcW w:w="1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1,916</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505</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66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1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right"/>
              <w:ind w:right="1937"/>
              <w:spacing w:after="0"/>
              <w:rPr>
                <w:sz w:val="20"/>
                <w:szCs w:val="20"/>
                <w:color w:val="auto"/>
              </w:rPr>
            </w:pPr>
            <w:r>
              <w:rPr>
                <w:rFonts w:ascii="Times New Roman" w:cs="Times New Roman" w:eastAsia="Times New Roman" w:hAnsi="Times New Roman"/>
                <w:sz w:val="14"/>
                <w:szCs w:val="14"/>
                <w:color w:val="auto"/>
              </w:rPr>
              <w:t>F-45</w:t>
            </w: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49" w:right="31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tax liabilities, net consist of the following:</w:t>
            </w: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14"/>
                <w:szCs w:val="14"/>
                <w:color w:val="auto"/>
              </w:rPr>
            </w:pPr>
          </w:p>
        </w:tc>
        <w:tc>
          <w:tcPr>
            <w:tcW w:w="5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vMerge w:val="continue"/>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operating losses</w:t>
            </w:r>
          </w:p>
        </w:tc>
        <w:tc>
          <w:tcPr>
            <w:tcW w:w="1000" w:type="dxa"/>
            <w:vAlign w:val="bottom"/>
          </w:tcPr>
          <w:p>
            <w:pPr>
              <w:jc w:val="right"/>
              <w:ind w:right="879"/>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18,686</w:t>
            </w:r>
          </w:p>
        </w:tc>
        <w:tc>
          <w:tcPr>
            <w:tcW w:w="560" w:type="dxa"/>
            <w:vAlign w:val="bottom"/>
            <w:gridSpan w:val="2"/>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14,312</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4,190</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174 capitalized costs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2,843</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10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Lease liabilities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5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gross deferred tax assets</w:t>
            </w:r>
          </w:p>
        </w:tc>
        <w:tc>
          <w:tcPr>
            <w:tcW w:w="10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Valuation allowance</w:t>
            </w:r>
          </w:p>
        </w:tc>
        <w:tc>
          <w:tcPr>
            <w:tcW w:w="10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(25,095)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(19,152)</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5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deferred tax assets</w:t>
            </w:r>
          </w:p>
        </w:tc>
        <w:tc>
          <w:tcPr>
            <w:tcW w:w="10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vMerge w:val="restart"/>
          </w:tcPr>
          <w:p>
            <w:pPr>
              <w:spacing w:after="0"/>
              <w:rPr>
                <w:sz w:val="14"/>
                <w:szCs w:val="14"/>
                <w:color w:val="auto"/>
              </w:rPr>
            </w:pPr>
          </w:p>
        </w:tc>
        <w:tc>
          <w:tcPr>
            <w:tcW w:w="56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vMerge w:val="continue"/>
          </w:tcPr>
          <w:p>
            <w:pPr>
              <w:spacing w:after="0"/>
              <w:rPr>
                <w:sz w:val="14"/>
                <w:szCs w:val="1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10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(3,218)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asset depreciation</w:t>
            </w:r>
          </w:p>
        </w:tc>
        <w:tc>
          <w:tcPr>
            <w:tcW w:w="1000" w:type="dxa"/>
            <w:vAlign w:val="bottom"/>
          </w:tcPr>
          <w:p>
            <w:pPr>
              <w:spacing w:after="0"/>
              <w:rPr>
                <w:sz w:val="14"/>
                <w:szCs w:val="14"/>
                <w:color w:val="auto"/>
              </w:rPr>
            </w:pPr>
          </w:p>
        </w:tc>
        <w:tc>
          <w:tcPr>
            <w:tcW w:w="7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ROU assets</w:t>
            </w:r>
          </w:p>
        </w:tc>
        <w:tc>
          <w:tcPr>
            <w:tcW w:w="10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56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gross deferred tax liabilities</w:t>
            </w:r>
          </w:p>
        </w:tc>
        <w:tc>
          <w:tcPr>
            <w:tcW w:w="10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(3,331</w:t>
            </w:r>
          </w:p>
        </w:tc>
        <w:tc>
          <w:tcPr>
            <w:tcW w:w="160" w:type="dxa"/>
            <w:vAlign w:val="bottom"/>
            <w:tcBorders>
              <w:bottom w:val="single" w:sz="8" w:color="CCEEFF"/>
            </w:tcBorders>
          </w:tcPr>
          <w:p>
            <w:pPr>
              <w:jc w:val="right"/>
              <w:ind w:right="29"/>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00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connection with the acquisitions of EMI Solutions and RaGE Systems, the Company recognized additional deferred tax liabilities totaling $2,666 associated with acquired intangible assets. Based on the availability of these tax attributes, the Company determined that it expects to realize a greater portion of its existing deferred tax assets and for the year ended September 30, 2024 the Company recognized a deferred income tax benefit of $2,432, principally resulting from reductions of the valuation allowance on its deferred tax assets.</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During the years ended September 30, 2025 and 2024, the Company increased the valuation allowance against its deferred tax assets by $5,943 and $7,297, respectively, which primarily related to increases in net deferred tax assets from current year activity that the Company expects will not be realized in the future. During the year ended September 30, 2024, the Company also reduced the valuation allowance and recognized a deferred tax benefit of $2,432 as a result of the deferred tax liabilities it recognized in connection with the acquisitions of EMI Solutions and RaGE Systems. As of September 30, 2025, the Company has accumulated federal and state net operating losses (“NOLs”) of $74,090 and $48,943, respectively. The federal NOLs may be carried forward indefinitely and the state NOLs begin to expire in 2031.</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Company’s ability to carry forward its NOLs and research credits may be subject to significant limitations under Section 382 of the Internal Revenue Code of 1986, as amended (“Section 382”). The federal net operating losses have an indefinite carryforward period but are available to offset only 80% of future taxable income. The Company’s ability to use its federal NOL carryforwards may be further limited if it experiences an “ownership change” as defined in Section 382.</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has unrecognized tax benefits of $2,080 as of September 30, 2025 and 2024. There were no changes in the Company’s unrecognized tax benefits during the fiscal years ended September 30, 2025 and 2024. The Company records interest and penalties related to unrecognized tax benefits in the provision (benefit) for income taxes in the consolidated statements of operations and comprehensive loss. As of September 30, 2025 and 2024, no accrued interest or penalties are recorded on the consolidated balance sheets, and the Company has not recorded any related expenses. The Company does not expect a significant change in its uncertain tax positions within the next twelve months.</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The Company files U.S. federal and various state income tax returns. As of September 30, 2025, the U.S. federal and state tax returns are open to examination for calendar years 2021 through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Tax Cuts and Jobs Act (“TCJA”) requires that taxpayers capitalize expenditures that qualify as Section 174 costs and recover them over five years for domestic expenditures, and fifteen years for expenditures attributed for foreign research. As of September 30, 2025, the Company has capitalized $20,958 of costs under this provision.</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July 4, 2025, United States President Donald J. Trump signed the One Big Beautiful Bill Act (“OBBBA”) into law. The OBBBA includes significant provisions, such as the permanent extension of certain expiring provisions of the TCJA, modifications to the international tax framework and the restoration of favorable tax treatment for certain business provisions. The OBBBA has multiple effective dates, with certain provisions effective in 2025 and others implemented through 2027. The Company has evaluated the provisions of the OBBBA and determined they do not have a significant impact on its operations and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and Contingencies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previously engaged a financial advisor to provide services and the financial advisor has asserted that the Company owes additional funds in excess of amounts previously recognized. The Company disputes the financial advisor’s claim. As of the date of these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Litigation</w:t>
      </w:r>
    </w:p>
    <w:p>
      <w:pPr>
        <w:spacing w:after="0" w:line="1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Indemnifications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September 30, 2025 or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Equity</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connection with the Merger, the Company adopted its amended and restated certificate of incorporation and amended and restated bylaws. The amended and restated certificate of incorporation authorizes the issuance of preferred stock, Class A Common Stock and Class B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Preferred Stock</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connection with the Merger, all outstanding shares of Legacy Mobix Founders Redeemable Convertible Preferred Stock and Series A Redeemable Convertible Preferred Stock were cancelled and converted into 225,490 shares of the Company’s Class B Common Stock.</w:t>
      </w:r>
    </w:p>
    <w:p>
      <w:pPr>
        <w:spacing w:after="0" w:line="1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amended and restated certificate of incorporation authorizes the Company to issue 10,000,000 shares of preferred stock, par value $0.00001, and the Company’s board of directors is authorized to designate one or more series of preferred stock, to fix the number of shares constituting any such series of preferred stock, and the powers, preferences and rights of any such series of preferred stock. Through September 30, 2025, the board of directors had not designated any such series of preferred stock and as of September 30, 2025 no shares of preferred stock were issued or outstanding.</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Common Stock</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Company is authorized to issue 285,000,000 shares of Class A Common Stock and 5,000,000 shares of Class B Common Stock. Holders of Class A and Class B Common Stock are each entitled to receive ratably any dividends or distributions as may be declared from time to time by the board of directors. Each class of common stock is subordinate to the Company’s preferred stock with respect to rights upon liquidation of the Company. Neither class of common stock is redeemable at the option of the holders. The holders of Class A and Class B Common Stock are entitled to vote together as a single class, with each holder of outstanding shares of Class A Common Stock entitled to one vote for each share of Class A Common Stock and each holder of outstanding shares of Class B Common Stock entitled to ten votes for each share of Class B Common Stock. Holders of shares of Class B Common Stock may elect at any time to convert each outstanding share of Class B Common Stock into one share of Class A Common Stock. Shares of Class B Common Stock are also subject to automatic conversion into shares of Class A Common Stock upon the occurrence of certain events or, if not previously converted, upon the seventh anniversary of the Closing.</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During the year ended September 30, 2025, the Company sold 157,446 shares of its Class A Common Stock in private placements for net proceeds of $1,600. In connection with the issuance of these shares, the Company also granted one investor a warrant to purchase 50,004 shares of common stock at a price of $9.60 per share. The warrant is immediately exercisable and has a term of three years. The Company determined the warrant to be a freestanding equity instrument with no subsequent remeasurement. The Company also issued 385,000 shares of its Class A Common Stock in connection with the April 2025 Offering. See Note 15,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year ended September 30, 2024, Legacy Mobix sold 48,217 shares of its common stock at various dates in private placements for net proceeds of $3,286. In connection with the issuance of these shares, Legacy Mobix also granted one investor a warrant to purchase 2,741 shares of common stock at a price of $0.10 per share. The warrant is immediately exercisable and has a term of one year. The Company determined the warrant to be a freestanding equity instrument with no subsequent remeasurement. The Company determined the amount recognized within additional paid-in capital by allocating the proceeds received among the shares of common stock and the warrant issued based on their relative fair values. Subsequent to the Merger, the Company sold 37,000 shares of its Class A Common Stock to an unaffiliated investor for proceeds of $192. The Company also issued the investor a warrant to purchase an aggregate of 40,700 shares of its Class A Common Stock at a price of $11.80 per share. The warrant is immediately exercisable and has a five-year term.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2025, the number of shares of Class A Common Stock available for issuance under the Company’s amended and restated articles of incorporation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Authorized number of shares of Class A Common Stock</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285,000,000</w:t>
            </w:r>
          </w:p>
        </w:tc>
      </w:tr>
      <w:tr>
        <w:trPr>
          <w:trHeight w:val="171"/>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Less: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 Common Stock outstanding</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5,883,842</w:t>
            </w:r>
          </w:p>
        </w:tc>
      </w:tr>
      <w:tr>
        <w:trPr>
          <w:trHeight w:val="171"/>
        </w:trPr>
        <w:tc>
          <w:tcPr>
            <w:tcW w:w="9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Reserve for conversion of Class B Common Stock</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200,491</w:t>
            </w:r>
          </w:p>
        </w:tc>
      </w:tr>
      <w:tr>
        <w:trPr>
          <w:trHeight w:val="171"/>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Reserve for exercise of common stock warrants</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2,508,573</w:t>
            </w:r>
          </w:p>
        </w:tc>
      </w:tr>
      <w:tr>
        <w:trPr>
          <w:trHeight w:val="171"/>
        </w:trPr>
        <w:tc>
          <w:tcPr>
            <w:tcW w:w="9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Reserve for Earnout Shares</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350,000</w:t>
            </w:r>
          </w:p>
        </w:tc>
      </w:tr>
      <w:tr>
        <w:trPr>
          <w:trHeight w:val="171"/>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Reserve for RaGE Earnout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64,280</w:t>
            </w:r>
          </w:p>
        </w:tc>
      </w:tr>
      <w:tr>
        <w:trPr>
          <w:trHeight w:val="171"/>
        </w:trPr>
        <w:tc>
          <w:tcPr>
            <w:tcW w:w="9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options and RSUs</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1,564,028</w:t>
            </w:r>
          </w:p>
        </w:tc>
      </w:tr>
      <w:tr>
        <w:trPr>
          <w:trHeight w:val="171"/>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Awards available for grant under 2023 Equity Incentive Plan</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256,089</w:t>
            </w:r>
          </w:p>
        </w:tc>
      </w:tr>
      <w:tr>
        <w:trPr>
          <w:trHeight w:val="181"/>
        </w:trPr>
        <w:tc>
          <w:tcPr>
            <w:tcW w:w="9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Reserve for issuance under 2023 Employee Stock Purchase Plan</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68,705</w:t>
            </w:r>
          </w:p>
        </w:tc>
      </w:tr>
      <w:tr>
        <w:trPr>
          <w:trHeight w:val="172"/>
        </w:trPr>
        <w:tc>
          <w:tcPr>
            <w:tcW w:w="9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Common Stock available for issuance</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274,103,993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9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never declared or paid any dividends on any class of its equity securities and does not expect to do so in the near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Committed Equity Facility</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March 2024, the Company entered into a Purchase Agreement (“Purchase Agreement”) and a related Registration Rights Agreement with B. Riley Principal Capital II (“B. Riley”) which provides the Company the right, in its sole discretion, and subject to the satisfaction of the conditions set forth therein, to sell to B. Riley up to 950,000 newly issued shares of its Class A Common Stock (subject to certain limitations) from time to time. Any sales of Class A Common Stock pursuant to the Purchase Agreement, and the timing of any sales, are solely at the Company’s option, and the Company is under no obligation to sell any securities to B. Riley. The per share purchase price that B. Riley will pay for shares of Class A Common Stock is determined by reference to the volume weighted average price of the Class A Common Stock measured over the regular trading session or intraday period of the trading session on Nasdaq on the date of each purchase, in each case as defined in the Purchase Agreement, less a three percent discount.</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consideration for B. Riley’s commitment to purchase shares of the Company’s Class A Common Stock, the Company agreed to pay a cash commitment fee in the amount of $1,500 and reimburse certain legal fees. B. Riley will withhold 30% in cash from the total aggregate purchase price until B. Riley has received the entire cash commitment fee. As of September 30, 2025, $1,478 of the commitment fee remains unpaid, and is currently due. In April 2024, the Company filed a registration statement with the Securities and Exchange Commission to register under the Securities Act, the offer and resale by B. Riley of up to 950,000 shares of Class A Common Stock that the Company may elect to sell to B. Riley pursuant to the Purchase Agreement. The registration statement was declared effective on May 13, 2024.</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During the year ended September 30, 2024, the Company sold 3,636 shares of its Class A Common Stock to B. Riley under the Purchase Agreement for gross proceeds of $73; no shares were sold under the Purchase Agreement during the year ended September 30, 2025. The amount and timing of the proceeds the Company receives from the sale of shares of Class A Common Stock pursuant to the Purchase Agreement, if any, will depend on a number of factors, including the numbers of shares the Company may elect to sell, the timing of such sales, the future market price of the Company’s Class A Common stock and the payment of the cash commitment fee. For the year ended September 30, 2024, cash commitment and other fees under the Purchase Agreement totaling $1,577 are included in “Other non-operating losses, net” in the consolidated statements of operations and comprehensive loss.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Warrants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warrants consist of the following:</w:t>
      </w:r>
    </w:p>
    <w:p>
      <w:pPr>
        <w:spacing w:after="0" w:line="189"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CCEEFF"/>
            </w:tcBorders>
          </w:tcPr>
          <w:p>
            <w:pPr>
              <w:spacing w:after="0"/>
              <w:rPr>
                <w:sz w:val="15"/>
                <w:szCs w:val="15"/>
                <w:color w:val="auto"/>
              </w:rPr>
            </w:pPr>
          </w:p>
        </w:tc>
        <w:tc>
          <w:tcPr>
            <w:tcW w:w="192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6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Warrants</w:t>
            </w:r>
          </w:p>
        </w:tc>
        <w:tc>
          <w:tcPr>
            <w:tcW w:w="1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32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1"/>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Private Warrants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320" w:type="dxa"/>
            <w:vAlign w:val="bottom"/>
          </w:tcPr>
          <w:p>
            <w:pPr>
              <w:spacing w:after="0"/>
              <w:rPr>
                <w:sz w:val="14"/>
                <w:szCs w:val="14"/>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3,000,000</w:t>
            </w:r>
          </w:p>
        </w:tc>
        <w:tc>
          <w:tcPr>
            <w:tcW w:w="80" w:type="dxa"/>
            <w:vAlign w:val="bottom"/>
          </w:tcPr>
          <w:p>
            <w:pPr>
              <w:spacing w:after="0"/>
              <w:rPr>
                <w:sz w:val="14"/>
                <w:szCs w:val="14"/>
                <w:color w:val="auto"/>
              </w:rPr>
            </w:pPr>
          </w:p>
        </w:tc>
      </w:tr>
      <w:tr>
        <w:trPr>
          <w:trHeight w:val="171"/>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PIPE Warrants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3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1,750,000</w:t>
            </w:r>
          </w:p>
        </w:tc>
        <w:tc>
          <w:tcPr>
            <w:tcW w:w="80" w:type="dxa"/>
            <w:vAlign w:val="bottom"/>
            <w:shd w:val="clear" w:color="auto" w:fill="CCEEFF"/>
          </w:tcPr>
          <w:p>
            <w:pPr>
              <w:spacing w:after="0"/>
              <w:rPr>
                <w:sz w:val="14"/>
                <w:szCs w:val="14"/>
                <w:color w:val="auto"/>
              </w:rPr>
            </w:pPr>
          </w:p>
        </w:tc>
      </w:tr>
      <w:tr>
        <w:trPr>
          <w:trHeight w:val="171"/>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Common Warrants (July 2024 Private Placement)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2,785,491</w:t>
            </w:r>
          </w:p>
        </w:tc>
        <w:tc>
          <w:tcPr>
            <w:tcW w:w="320" w:type="dxa"/>
            <w:vAlign w:val="bottom"/>
          </w:tcPr>
          <w:p>
            <w:pPr>
              <w:spacing w:after="0"/>
              <w:rPr>
                <w:sz w:val="14"/>
                <w:szCs w:val="14"/>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5,755,396</w:t>
            </w:r>
          </w:p>
        </w:tc>
        <w:tc>
          <w:tcPr>
            <w:tcW w:w="80" w:type="dxa"/>
            <w:vAlign w:val="bottom"/>
          </w:tcPr>
          <w:p>
            <w:pPr>
              <w:spacing w:after="0"/>
              <w:rPr>
                <w:sz w:val="14"/>
                <w:szCs w:val="14"/>
                <w:color w:val="auto"/>
              </w:rPr>
            </w:pPr>
          </w:p>
        </w:tc>
      </w:tr>
      <w:tr>
        <w:trPr>
          <w:trHeight w:val="171"/>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Warrants (April 2025 Offering)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2,360,298</w:t>
            </w:r>
          </w:p>
        </w:tc>
        <w:tc>
          <w:tcPr>
            <w:tcW w:w="320" w:type="dxa"/>
            <w:vAlign w:val="bottom"/>
            <w:shd w:val="clear" w:color="auto" w:fill="CCEEFF"/>
          </w:tcPr>
          <w:p>
            <w:pPr>
              <w:spacing w:after="0"/>
              <w:rPr>
                <w:sz w:val="14"/>
                <w:szCs w:val="14"/>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Inducement Warrants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8,229,701</w:t>
            </w:r>
          </w:p>
        </w:tc>
        <w:tc>
          <w:tcPr>
            <w:tcW w:w="320" w:type="dxa"/>
            <w:vAlign w:val="bottom"/>
          </w:tcPr>
          <w:p>
            <w:pPr>
              <w:spacing w:after="0"/>
              <w:rPr>
                <w:sz w:val="14"/>
                <w:szCs w:val="14"/>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warrants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2,460,242</w:t>
            </w:r>
          </w:p>
        </w:tc>
        <w:tc>
          <w:tcPr>
            <w:tcW w:w="32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2,170,403</w:t>
            </w:r>
          </w:p>
        </w:tc>
        <w:tc>
          <w:tcPr>
            <w:tcW w:w="80" w:type="dxa"/>
            <w:vAlign w:val="bottom"/>
            <w:shd w:val="clear" w:color="auto" w:fill="CCEEFF"/>
          </w:tcPr>
          <w:p>
            <w:pPr>
              <w:spacing w:after="0"/>
              <w:rPr>
                <w:sz w:val="15"/>
                <w:szCs w:val="15"/>
                <w:color w:val="auto"/>
              </w:rPr>
            </w:pPr>
          </w:p>
        </w:tc>
      </w:tr>
      <w:tr>
        <w:trPr>
          <w:trHeight w:val="172"/>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1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25,085,732</w:t>
            </w:r>
          </w:p>
        </w:tc>
        <w:tc>
          <w:tcPr>
            <w:tcW w:w="320" w:type="dxa"/>
            <w:vAlign w:val="bottom"/>
          </w:tcPr>
          <w:p>
            <w:pPr>
              <w:spacing w:after="0"/>
              <w:rPr>
                <w:sz w:val="14"/>
                <w:szCs w:val="14"/>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18,675,799</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7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April 2025 Offering</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April 2025, the Company entered into a securities purchase agreement (the “2025 Securities Purchase Agreement”) with an institutional accredited investor, pursuant to which it issued 385,000 shares of Class A Common Stock, a pre-funded warrant to purchase up to 102,686 shares of Class A Common Stock and common stock warrants (the “Common Warrants”) to purchase up to 487,686 shares of the Company’s Class A Common Stock (together, the “April 2025 Offering”). The pre-funded warrant has an exercise price of $0.0001 per share and was immediately exercisable. The Common Warrants have an exercise price of $8.20, are currently exercisable and will expire on May 30, 2030. The net proceeds to the Company from the April 2025 Offering were $3,645, after payment of the placement agent’s fees of $355. During the year ended September 30, 2025, the investor fully exercised the pre-funded warrant for net proceeds to the Company of $0.</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connection with the April 2025 Offering, the Company also amended the PIPE Common Warrants (see “</w:t>
      </w:r>
      <w:r>
        <w:rPr>
          <w:rFonts w:ascii="Times New Roman" w:cs="Times New Roman" w:eastAsia="Times New Roman" w:hAnsi="Times New Roman"/>
          <w:sz w:val="14"/>
          <w:szCs w:val="14"/>
          <w:i w:val="1"/>
          <w:iCs w:val="1"/>
          <w:color w:val="auto"/>
        </w:rPr>
        <w:t>July 2024 Private Placement</w:t>
      </w:r>
      <w:r>
        <w:rPr>
          <w:rFonts w:ascii="Times New Roman" w:cs="Times New Roman" w:eastAsia="Times New Roman" w:hAnsi="Times New Roman"/>
          <w:sz w:val="14"/>
          <w:szCs w:val="14"/>
          <w:color w:val="auto"/>
        </w:rPr>
        <w:t>,” below). The Company allocated the proceeds of the April 2025 Offering among the liability-classified warrants issued and amended based on their estimated fair values, with the remainder of the proceeds allocated to the shares of Class A Common Stock issued.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also issued the placement agent warrants to purchase an aggregate of 68,276 shares of Class A Common Stock. These warrants have an exercise price of $8.202 per share, are currently exercisable and will expire on April 4, 2030. The Company allocated the transaction costs, including the fair value of the placement agent warrants, among the liability-classified and equity-classified securities issued in the April 2025 Offering. The portion of such costs allocated to liability-classified securities of $443 is included in “Financing costs expensed” in the consolidated statements of operations and comprehensive loss.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July 2024 Private Placement</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July 2024, the Company entered into a securities purchase agreement (the “Securities Purchase Agreement”) with an institutional accredited investor, pursuant to which it issued a pre-funded warrant to purchase up to 287,769 shares of the Company’s Class A Common Stock and warrants to purchase an aggregate of 575,538 shares of the Company’s Class A Common Stock (“PIPE Common Warrants”). The Pre-Funded Warrant has an exercise price of $0.10 per share, is immediately exercisable upon issuance and will expire when exercised in full. The PIPE Common Warrants are comprised of Series A warrants to purchase up to 287,769 shares of Class A Common Stock (the “Series A Warrants”) and Series B warrants to purchase up to 287,769 shares of Class A Common Stock (the “Series B Warrants”). The PIPE Common Warrants initially had an exercise price of $13.90 per share, were exercisable beginning on the effective date of stockholder approval of the issuance of the shares of common stock upon exercise of the PIPE Common Warrants. The Series A Warrants will expire five years from the date of such stockholder approval and the Series B warrants will expire twelve months from the date of stockholder approval. Gross proceeds from the Private Placement were $4,000, before payment of fees and expenses to the placement agent of $415. During the year ended September 30, 2024, the investor fully exercised the pre-funded warrant, for net proceeds to the Company of $3.</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connection with the Private Placement, the Company issued the placement agent warrants to purchase an aggregate of 20,143 shares of its Class A Common Stock. The placement agent warrants have an exercise price of $17.375 per share, are exercisable upon stockholder approval and expire five years thereafter. Moreover, upon any exercise for cash of the PIPE Common Warrants, the Company is obligated to pay the placement agent cash fees aggregating 8% of the gross exercise price and issue to the placement agent warrants to purchase a number of shares of Common Stock equal to 7.0% of the aggregate number of such shares of Class A Common Stock underlying the PIPE Common Warrants.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result of these transactions, during the year ended September 30, 2024 the Company recognized a loss of $2,894, representing the excess of the fair value of Pre-Funded Warrants and the PIPE Common Warrants over the proceeds received, the fair value of the warrants issued to the placement agent and the fees and expenses paid to the placement agent, which is included in “Financing costs expensed” in the consolidated statements of operations and comprehensive loss. In connection with the April 2025 Offering, the Company amended the 575,538 then outstanding PIPE Common Warrants to reduce the exercise price from $13.90 per share to $8.202 per share. The Company also extended the term of the Series B warrants from January 3, 2026 to April 3, 2026. The term of the Series A Warrants remains unchanged and will expire on January 3, 2030. In September 2025, the Company further amended the remaining Series B Warrants, extending their expiration date to April 3, 2030 (see “</w:t>
      </w:r>
      <w:r>
        <w:rPr>
          <w:rFonts w:ascii="Times New Roman" w:cs="Times New Roman" w:eastAsia="Times New Roman" w:hAnsi="Times New Roman"/>
          <w:sz w:val="14"/>
          <w:szCs w:val="14"/>
          <w:i w:val="1"/>
          <w:iCs w:val="1"/>
          <w:color w:val="auto"/>
        </w:rPr>
        <w:t>Warrant Exercise Inducement</w:t>
      </w:r>
      <w:r>
        <w:rPr>
          <w:rFonts w:ascii="Times New Roman" w:cs="Times New Roman" w:eastAsia="Times New Roman" w:hAnsi="Times New Roman"/>
          <w:sz w:val="14"/>
          <w:szCs w:val="14"/>
          <w:color w:val="auto"/>
        </w:rPr>
        <w:t>,”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 Exercise Inducement</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September 2025, the Company entered into a warrant exercise inducement offer letter (the “Inducement Letter”) with a holder of outstanding warrants to purchase shares of the Company’s Class A Common Stock. Pursuant to the Inducement Letter, the holder exercised for cash warrants to purchase 548,646 shares of Class A Common Stock, consisting of (i) 148,495 shares underlying Series A Warrants, (ii) 148,495 shares underlying Series B Warrants and (iii) 251,656 shares underlying Common Warrants, each at the current exercise price of $8.202 per share. The Company received gross proceeds of approximately $4,500 from the exercise of these warrants. In connection with the warrant exercise inducement, the Company paid its financial advisor a cash placement fee of $315 and issued the financial advisor warrants to purchase up to 38,405 shares of its Class A Common Stock at an exercise price of $10.80 per share.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consideration for the holder’s agreement to exercise the warrants for cash, the Company agreed to issue to the holder new warrants (the “Inducement Warrants”) to purchase up to an aggregate of 822,970 shares of its Class A Common Stock at an exercise price of $10.80 per share. The Inducement Warrants will become exercisable upon stockholder approval and will expire five years thereafter. The Company also amended the remaining Series B Warrants, extending their expiration date to April 3, 2030. As a result of these transactions, during the year ended September 30, 2025 the Company recognized a non-cash loss of $6,458, representing the estimated the fair value of the Inducement Warrants as of the date of issuance, the increase in the estimated fair value of the remaining Series B Warrants resulting from their amendment and the fair value of the warrants issued to the financial advisor, which is included in “Financing costs expensed” in the consolidated statements of operations and comprehensive loss.</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Company determined that the warrants issued to the placement agent and the financial advisor for services rendered in the transactions discussed above met the criteria for classification as equity. The grant date fair value of each of these warrants was accounted for as part of the costs of the respective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Warrants and Private Warrants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connection with the Merger, the Company assumed 6,000,000 Public Warrants and 3,000,000 Private Warrants issued by Chavant in connection with its initial public offering, each of which entitles the holder to purchase one share of the Company’s Class A Common Stock. The Public Warrants and Private Warrants are exercisable at any time through December 21, 2028. The Company may redeem the Public Warrants at a price of $0.01 per warrant if the last reported sale of the Company’s Class A Common Stock equals or exceeds $180.00 per share for any twenty trading days within a thirty-day period. The Private Warrants are identical to the Public Warrants, except that 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At the time of Closing, the Company estimated the aggregate fair value of the Private Warrants and recognized a liability of $150.</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Both the Public Warrants and Private Warrants were subject to adjustment if the Company issued additional equity securities below specified levels in connection with the Merger. As a result of the issuances of shares under the PIPE Subscription Agreement and other agreements in connection with the Merger, the Company adjusted the exercise price of the warrants from $115.00 to $57.90 per share and adjusted the redemption trigger price from $180.00 to $90.60 per share. During the year ended September 30, 2024, the Company recognized a noncash deemed dividend of $661 as a result of the warrant price adjustment.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PIPE Warrants</w:t>
      </w:r>
    </w:p>
    <w:p>
      <w:pPr>
        <w:spacing w:after="0" w:line="1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connection with the PIPE Subscription Agreements, the Company issued the investors warrants to purchase shares of Class A Common Stock at an exercise price of $0.10 per share. The Company evaluated these warrants and concluded that they meet the derivative scope exception for contracts in the Company’s own stock. Consequently, the PIPE warrants were recorded in stockholders’ equity. During the year ended September 30, 2025, 1,500,000 PIPE warrants were exercised, for net proceeds of $15.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Warrants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During the year ended September 30, 2024, the Company issued warrants to purchase 13,000 shares of its Class A Common Stock at $0.10 per share to a service provider, in respect of services rendered to Legacy Mobix prior to the Merger. In addition, as described in Note 10,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during the year ended September 30, 2024 Legacy Mobix failed to repay the principal amount of a note payable by its maturity date and was obligated to issue warrants to purchase 10,300 shares of its Class A Common Stock at $0.10 per share to the lender as additional consideration. The Company initially recorded a liability of $732 in the consolidated balance sheets for the estimated fair value of the warrants. For the year ended September 30, 2024, the Company recognized a non-cash gain of $400 from the change in the fair value of the liability, which is included in “Other non-operating losses, net” in the consolidated statements of operations and comprehensive loss. The Company valued the warrants using a probability-weighted expected return model. In April 2024, the Company issued the warrants to the lender, and the lender exercised the warrants.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Legacy Mobix Warrants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In connection with the Merger, all of Legacy Mobix’s outstanding warrants were assumed by the Company and converted into the same number of warrants to purchase shares of the Company’s Class A Common Stock, with no change to their exercise prices or other terms. Subsequent to the Merger, warrants to purchase an aggregate of 37,303 shares were exercised and converted into 36,967 shares of Class A Common Stock, with no cash proceeds to the Company. During the year ended September 30, 2024, Legacy Mobix granted warrants to purchase an aggregate of 2,741 shares of common stock at a price of $0.10 per share to investors in connection with the sale of shares of its common stock. See Note 14,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for Liability-Classified Warrants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evaluated all common stock warrants at the time of issuance (or at the Closing) and concluded that the Private Warrants, Pre-Funded Warrants, PIPE Common Warrants, Common Warrants, Inducement Warrants and do not meet the derivative scope exception. Specifically, these warrants contain provisions that affect their settlement amounts which are not inputs into the pricing of a fixed-for-fixed option on equity shares. Therefore, these warrants are not considered indexed to the Company’s stock and must be classified as liabilities. At their respective dates of issuance (or, in the case of the Private Warrants, at the time of the Merger), the Company recognized a liability for each of the warrants in the amount of their estimated fair value using the Black-Scholes option-pricing model. The Company subsequently adjusted the carrying amount of the liability for each warrant to its estimated fair value as of September 30, 2025 and 2024 (or through the warrants’ respective dates of exercise, if earlier). As a result of changes in the fair value of the warrants, for the years ended September 30, 2025 and 2024, the Company recognized net non-cash gains of $804 and $1,415, respectively, which are included in “Change in fair value of warrants” in the consolidated statements of operations and comprehensive loss. As of September 30, 2025 and 2024, the related liabilities of $6,859 and $2,139, respectively, are included in “Other noncurrent liabilities” in the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17,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for additional information on the Company’s measurements with respect to liability-classified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Stock-Based Compensation</w:t>
      </w:r>
    </w:p>
    <w:p>
      <w:pPr>
        <w:spacing w:after="0" w:line="1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connection with the Merger, the Company adopted the 2023 Equity Incentive Plan, which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September 30, 2025, 256,089 shares of the Company’s Class A Common Stock are available for the grant of awards under the 2023 Equity Incentive Plan.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Also in connection with the Merger, the Company adopted the 2023 Employee Stock Purchase Plan to assist eligible employees in acquiring stock ownership in the Company and the Company reserved 68,705 shares of its Class A Common Stock for issuance under the plan. As of September 30, 2025, the Company had not commenced any offering period nor sold any shares under this plan.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Merger, all of Legacy Mobix’s RSUs were assumed by the Company and converted into an RSU covering the same number of shares of the Company’s Class A Common Stock.</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As of September 30, 2023, the Company had committed to issue to certain officers and key employees, contingent upon closing of the Merger, an aggregate of 500,000 RSUs (of which 100,000 were modified to warrants to purchase shares of the Company’s Class A Common Stock upon the holder’s termination of employment) over three years, beginning on the first anniversary of the Closing of the Merger. Because the vesting of these awards was subject to both a service condition and a performance condition (the completion of the Merger), the Company initially determined that vesting of the awards was not probable and did not recognize any stock-based compensation expense for these awards prior to the Closing. Upon Closing, the performance condition was satisfied, and vesting of the awards is subject only to a service condition. As a result, the Company is required to recognize the value of these awards over the requisite service period. During the year ended September 30, 2024, the Company recognized a catch-up for the portion of the service period completed prior to the performance condition being satisfied and is recognizing the remainder of the cost over the remaining service period.</w:t>
      </w:r>
    </w:p>
    <w:p>
      <w:pPr>
        <w:spacing w:after="0" w:line="1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Also during the year ended September 30, 2024, in connection with a separation of employment, the Company modified 100,000 RSUs held by an employee such that the RSUs—which were subject to forfeiture under their original terms—would continue to vest over their original service period. Because the fair value of the modified awards was lower than the grant-date fair value of the original awards, the Company recognized a $2,242 reduction of stock-based compensation expense during the year ended September 30, 2024.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During the year ended September 30, 2025, the Company and a former employee entered into certain agreements wherein the Company agreed to accelerate the vesting of 99,999 common stock warrants and grant the holder an additional 25,000 common stock warrants. The warrants are immediately exercisable and have an exercise price of $0.10 per share. Subsequently, the Company agreed to cancel 45,000 of these common stock warrants and replace them with the same number of fully vested RSUs. As a result of the acceleration of vesting and the grant of the warrants, during the year ended September 30, 2025 the Company recognized additional stock-based compensation expense of $6,917.</w:t>
      </w:r>
    </w:p>
    <w:p>
      <w:pPr>
        <w:sectPr>
          <w:pgSz w:w="11900" w:h="16838" w:orient="portrait"/>
          <w:cols w:equalWidth="0" w:num="1">
            <w:col w:w="11280"/>
          </w:cols>
          <w:pgMar w:left="300" w:top="549" w:right="319" w:bottom="1440" w:gutter="0" w:footer="0" w:header="0"/>
        </w:sect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activity in the Company’s RSUs for the year ended September 30, 2025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at September 30, 2024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60895" cy="1085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895" cy="1085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Forfeited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60895" cy="1149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895" cy="1149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Outstanding at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1"/>
        </w:trPr>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1"/>
        </w:trPr>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171"/>
        </w:trPr>
        <w:tc>
          <w:tcPr>
            <w:tcW w:w="22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4"/>
                <w:szCs w:val="14"/>
                <w:color w:val="auto"/>
              </w:rPr>
            </w:pPr>
          </w:p>
        </w:tc>
        <w:tc>
          <w:tcPr>
            <w:tcW w:w="158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7"/>
        </w:trPr>
        <w:tc>
          <w:tcPr>
            <w:tcW w:w="224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40" w:type="dxa"/>
            <w:vAlign w:val="bottom"/>
          </w:tcPr>
          <w:p>
            <w:pPr>
              <w:spacing w:after="0"/>
              <w:rPr>
                <w:sz w:val="16"/>
                <w:szCs w:val="16"/>
                <w:color w:val="auto"/>
              </w:rPr>
            </w:pPr>
          </w:p>
        </w:tc>
        <w:tc>
          <w:tcPr>
            <w:tcW w:w="158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per Unit</w:t>
            </w:r>
          </w:p>
        </w:tc>
      </w:tr>
      <w:tr>
        <w:trPr>
          <w:trHeight w:val="318"/>
        </w:trPr>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446,318</w:t>
            </w:r>
          </w:p>
        </w:tc>
        <w:tc>
          <w:tcPr>
            <w:tcW w:w="320" w:type="dxa"/>
            <w:vAlign w:val="bottom"/>
          </w:tcPr>
          <w:p>
            <w:pPr>
              <w:spacing w:after="0"/>
              <w:rPr>
                <w:sz w:val="24"/>
                <w:szCs w:val="24"/>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79.30</w:t>
            </w:r>
          </w:p>
        </w:tc>
      </w:tr>
      <w:tr>
        <w:trPr>
          <w:trHeight w:val="171"/>
        </w:trPr>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1,103,679</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r>
      <w:tr>
        <w:trPr>
          <w:trHeight w:val="171"/>
        </w:trPr>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(4,776)</w:t>
            </w:r>
          </w:p>
        </w:tc>
        <w:tc>
          <w:tcPr>
            <w:tcW w:w="3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w:t>
            </w:r>
          </w:p>
        </w:tc>
      </w:tr>
      <w:tr>
        <w:trPr>
          <w:trHeight w:val="196"/>
        </w:trPr>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(590,622)</w:t>
            </w:r>
          </w:p>
        </w:tc>
        <w:tc>
          <w:tcPr>
            <w:tcW w:w="3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r>
      <w:tr>
        <w:trPr>
          <w:trHeight w:val="172"/>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954,599</w:t>
            </w:r>
          </w:p>
        </w:tc>
        <w:tc>
          <w:tcPr>
            <w:tcW w:w="3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42.11</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sectPr>
          <w:pgSz w:w="11900" w:h="16838" w:orient="portrait"/>
          <w:cols w:equalWidth="0" w:num="2">
            <w:col w:w="6300" w:space="720"/>
            <w:col w:w="4260"/>
          </w:cols>
          <w:pgMar w:left="300" w:top="54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Unrecognized compensation expense related to RSUs was $14,066 as of September 30, 2025 and is expected to be recognized over a weighted-average period of 2.0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Awards</w:t>
      </w:r>
    </w:p>
    <w:p>
      <w:pPr>
        <w:spacing w:after="0" w:line="1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During the year ended September 30, 2025, the Company granted restricted stock awards (“RSAs”) for a total of 510,000 shares of the Company’s Class A Common Stock to two officers and directors of the Company. The restricted stock awards were made pursuant to separate award agreements between the Company and each of the recipients. One RSA will vest in specified quarterly amounts from July 2025 through July 2028; the other RSA will vest over a two-year period and can be accelerated if certain stock price thresholds are met.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type w:val="continuous"/>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summary of activity in the Company’s RSAs for the year ended September 30, 2025 is as follows:</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5"/>
        </w:trPr>
        <w:tc>
          <w:tcPr>
            <w:tcW w:w="7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1"/>
        </w:trPr>
        <w:tc>
          <w:tcPr>
            <w:tcW w:w="7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1"/>
        </w:trPr>
        <w:tc>
          <w:tcPr>
            <w:tcW w:w="7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171"/>
        </w:trPr>
        <w:tc>
          <w:tcPr>
            <w:tcW w:w="7020" w:type="dxa"/>
            <w:vAlign w:val="bottom"/>
          </w:tcPr>
          <w:p>
            <w:pPr>
              <w:spacing w:after="0"/>
              <w:rPr>
                <w:sz w:val="14"/>
                <w:szCs w:val="14"/>
                <w:color w:val="auto"/>
              </w:rPr>
            </w:pPr>
          </w:p>
        </w:tc>
        <w:tc>
          <w:tcPr>
            <w:tcW w:w="136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7"/>
        </w:trPr>
        <w:tc>
          <w:tcPr>
            <w:tcW w:w="7020" w:type="dxa"/>
            <w:vAlign w:val="bottom"/>
          </w:tcPr>
          <w:p>
            <w:pPr>
              <w:spacing w:after="0"/>
              <w:rPr>
                <w:sz w:val="16"/>
                <w:szCs w:val="16"/>
                <w:color w:val="auto"/>
              </w:rPr>
            </w:pPr>
          </w:p>
        </w:tc>
        <w:tc>
          <w:tcPr>
            <w:tcW w:w="136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62"/>
        </w:trPr>
        <w:tc>
          <w:tcPr>
            <w:tcW w:w="702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September 30, 2024</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Issued</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510,000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r>
      <w:tr>
        <w:trPr>
          <w:trHeight w:val="181"/>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(22,750)</w:t>
            </w:r>
          </w:p>
        </w:tc>
        <w:tc>
          <w:tcPr>
            <w:tcW w:w="3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r>
      <w:tr>
        <w:trPr>
          <w:trHeight w:val="172"/>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at September 30, 2025</w:t>
            </w:r>
          </w:p>
        </w:tc>
        <w:tc>
          <w:tcPr>
            <w:tcW w:w="13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487,250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r>
      <w:tr>
        <w:trPr>
          <w:trHeight w:val="20"/>
        </w:trPr>
        <w:tc>
          <w:tcPr>
            <w:tcW w:w="7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Unrecognized compensation expense related to RSAs was $2,855 as of September 30, 2025 and is expected to be recognized over a weighted-average period of 2.0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Stock options granted under the Company’s equity incentive plan may be Incentive Stock Options (“ISOs”) or Non-Statutory Stock Options (“NSOs”). ISOs may be granted only to employees and NSOs may be granted to employees and consultants. The types of awards granted to consultants do not vary in characteristics from those granted to employees. The term of each option, which is stated in each option agreement, cannot exceed ten years from the date of grant. The exercise price is determined by the Company’s board of directors. If granted to an employee (other than employee who owns stock representing more than 10% of the voting power of all classes of stock), the option exercise price cannot be less than the fair market value of the stock on the date of grant as determined by the Company’s board of directors. Vesting requirements for options granted under the plans are determined by the board of directors. Stock option awards generally vest over periods of one to four years. Certain awards require the performance of one year of service before vesting commences, with a specified percentage of the award vesting after one year of service, and the remainder vesting ratably over the remaining vesting period.</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connection with the Merger, all Legacy Mobix stock options were assumed by the Company and converted into the same number of stock options of the Company, with no change to their exercise prices, vesting conditions or other terms.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 activity for the year ended September 30, 2025 is as follows:</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5"/>
        </w:trPr>
        <w:tc>
          <w:tcPr>
            <w:tcW w:w="6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71"/>
        </w:trPr>
        <w:tc>
          <w:tcPr>
            <w:tcW w:w="6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1"/>
        </w:trPr>
        <w:tc>
          <w:tcPr>
            <w:tcW w:w="6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71"/>
        </w:trPr>
        <w:tc>
          <w:tcPr>
            <w:tcW w:w="6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r>
      <w:tr>
        <w:trPr>
          <w:trHeight w:val="171"/>
        </w:trPr>
        <w:tc>
          <w:tcPr>
            <w:tcW w:w="6100" w:type="dxa"/>
            <w:vAlign w:val="bottom"/>
          </w:tcPr>
          <w:p>
            <w:pPr>
              <w:spacing w:after="0"/>
              <w:rPr>
                <w:sz w:val="14"/>
                <w:szCs w:val="14"/>
                <w:color w:val="auto"/>
              </w:rPr>
            </w:pPr>
          </w:p>
        </w:tc>
        <w:tc>
          <w:tcPr>
            <w:tcW w:w="18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w:t>
            </w:r>
          </w:p>
        </w:tc>
      </w:tr>
      <w:tr>
        <w:trPr>
          <w:trHeight w:val="187"/>
        </w:trPr>
        <w:tc>
          <w:tcPr>
            <w:tcW w:w="6100" w:type="dxa"/>
            <w:vAlign w:val="bottom"/>
          </w:tcPr>
          <w:p>
            <w:pPr>
              <w:spacing w:after="0"/>
              <w:rPr>
                <w:sz w:val="16"/>
                <w:szCs w:val="16"/>
                <w:color w:val="auto"/>
              </w:rPr>
            </w:pPr>
          </w:p>
        </w:tc>
        <w:tc>
          <w:tcPr>
            <w:tcW w:w="100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162"/>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September 30, 2024</w:t>
            </w:r>
          </w:p>
        </w:tc>
        <w:tc>
          <w:tcPr>
            <w:tcW w:w="10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274,063</w:t>
            </w:r>
          </w:p>
        </w:tc>
        <w:tc>
          <w:tcPr>
            <w:tcW w:w="3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48.90</w:t>
            </w:r>
          </w:p>
        </w:tc>
        <w:tc>
          <w:tcPr>
            <w:tcW w:w="32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1"/>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Forfeited</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(7,154)</w:t>
            </w:r>
          </w:p>
        </w:tc>
        <w:tc>
          <w:tcPr>
            <w:tcW w:w="10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60.30</w:t>
            </w: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Expired</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(21,691)</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2"/>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Outstanding at September 30, 2025</w:t>
            </w:r>
          </w:p>
        </w:tc>
        <w:tc>
          <w:tcPr>
            <w:tcW w:w="10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245,218</w:t>
            </w:r>
          </w:p>
        </w:tc>
        <w:tc>
          <w:tcPr>
            <w:tcW w:w="3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48.50</w:t>
            </w:r>
          </w:p>
        </w:tc>
        <w:tc>
          <w:tcPr>
            <w:tcW w:w="3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w:t>
            </w:r>
          </w:p>
        </w:tc>
      </w:tr>
      <w:tr>
        <w:trPr>
          <w:trHeight w:val="143"/>
        </w:trPr>
        <w:tc>
          <w:tcPr>
            <w:tcW w:w="610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Exercisable at September 30, 2025</w:t>
            </w:r>
          </w:p>
        </w:tc>
        <w:tc>
          <w:tcPr>
            <w:tcW w:w="10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233,102</w:t>
            </w:r>
          </w:p>
        </w:tc>
        <w:tc>
          <w:tcPr>
            <w:tcW w:w="36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47.50</w:t>
            </w:r>
          </w:p>
        </w:tc>
        <w:tc>
          <w:tcPr>
            <w:tcW w:w="32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5.8</w:t>
            </w:r>
          </w:p>
        </w:tc>
      </w:tr>
      <w:tr>
        <w:trPr>
          <w:trHeight w:val="20"/>
        </w:trPr>
        <w:tc>
          <w:tcPr>
            <w:tcW w:w="6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Unrecognized stock-based compensation expense related to stock options, totaling $399 as of September 30, 2025, is expected to be recognized over a weighted-average period of 1.1 years. The aggregate intrinsic value of stock options outstanding and stock options exercisable as of September 30, 2025 was $414 and $414, respectively. The total intrinsic value of options exercised during the year ended September 30, 2024 was $4,709. The total fair value of options that vested during the years ended September 30, 2025 and 2024 was $593 and $1,726,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weighted-average grant date fair value of options granted during the year ended September 30, 2024 was $35.00. The fair value of stock options granted was estimated with the following assumptions: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69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69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6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69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Low</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54.8%</w:t>
            </w: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r>
      <w:tr>
        <w:trPr>
          <w:trHeight w:val="171"/>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71"/>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7"/>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The consolidated statements of operations and comprehensive loss include stock-based compensation expense as follows:</w:t>
            </w: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5"/>
        </w:trPr>
        <w:tc>
          <w:tcPr>
            <w:tcW w:w="6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gridSpan w:val="5"/>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6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6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 – product</w:t>
            </w:r>
          </w:p>
        </w:tc>
        <w:tc>
          <w:tcPr>
            <w:tcW w:w="1320" w:type="dxa"/>
            <w:vAlign w:val="bottom"/>
            <w:gridSpan w:val="2"/>
            <w:shd w:val="clear" w:color="auto" w:fill="CCEEFF"/>
          </w:tcPr>
          <w:p>
            <w:pPr>
              <w:jc w:val="right"/>
              <w:ind w:right="1154"/>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174</w:t>
            </w: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r>
      <w:tr>
        <w:trPr>
          <w:trHeight w:val="171"/>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 – services</w:t>
            </w: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338</w:t>
            </w: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1,124</w:t>
            </w:r>
          </w:p>
        </w:tc>
      </w:tr>
      <w:tr>
        <w:trPr>
          <w:trHeight w:val="181"/>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25,098</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20,244</w:t>
            </w:r>
          </w:p>
        </w:tc>
      </w:tr>
      <w:tr>
        <w:trPr>
          <w:trHeight w:val="172"/>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ind w:right="115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25,619</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6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Fair Value Measurements</w:t>
      </w:r>
    </w:p>
    <w:p>
      <w:pPr>
        <w:spacing w:after="0" w:line="1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carrying amounts of the Company’s cash, accounts receivable and accounts payable approximate their fair value due to the short-term nature of these instruments. The Company believes the aggregate carrying value of debt approximates its fair value as of September 30, 2025 and 2024 due to the relatively short duration of the notes payable, the 7% promissory notes - related parties and the notes payable - related parties.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Hierarchy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Liabilities measured at fair value on a recurring basis as of September 30, 2025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47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Earnout liability</w:t>
            </w:r>
          </w:p>
        </w:tc>
        <w:tc>
          <w:tcPr>
            <w:tcW w:w="106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917"/>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1,240</w:t>
            </w:r>
          </w:p>
        </w:tc>
        <w:tc>
          <w:tcPr>
            <w:tcW w:w="4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1,240</w:t>
            </w:r>
          </w:p>
        </w:tc>
      </w:tr>
      <w:tr>
        <w:trPr>
          <w:trHeight w:val="181"/>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Liability-classified warrants</w:t>
            </w:r>
          </w:p>
        </w:tc>
        <w:tc>
          <w:tcPr>
            <w:tcW w:w="1060" w:type="dxa"/>
            <w:vAlign w:val="bottom"/>
          </w:tcPr>
          <w:p>
            <w:pPr>
              <w:spacing w:after="0"/>
              <w:rPr>
                <w:sz w:val="15"/>
                <w:szCs w:val="15"/>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6,859</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6,859</w:t>
            </w:r>
          </w:p>
        </w:tc>
      </w:tr>
      <w:tr>
        <w:trPr>
          <w:trHeight w:val="172"/>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8,099</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 classifies the earnout liability, the PIPE make-whole liability and the liability-classified warrants and the SAFEs as Level 3 financial instruments due to the judgment required to develop the assumptions used and the significance of those assumptions to the fair value measurement. No financial instruments were transferred between levels of the fair value hierarchy during the years ended September 30, 2025 or 2024.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the balance of financial instruments measured at fair value on a recurring basis using Level 3 inputs:</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4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PIPE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Earnout</w:t>
            </w:r>
          </w:p>
        </w:tc>
        <w:tc>
          <w:tcPr>
            <w:tcW w:w="160" w:type="dxa"/>
            <w:vAlign w:val="bottom"/>
          </w:tcPr>
          <w:p>
            <w:pPr>
              <w:spacing w:after="0"/>
              <w:rPr>
                <w:sz w:val="14"/>
                <w:szCs w:val="14"/>
                <w:color w:val="auto"/>
              </w:rPr>
            </w:pPr>
          </w:p>
        </w:tc>
        <w:tc>
          <w:tcPr>
            <w:tcW w:w="15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14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Make-Whole</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6"/>
                <w:szCs w:val="16"/>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40" w:type="dxa"/>
            <w:vAlign w:val="bottom"/>
          </w:tcPr>
          <w:p>
            <w:pPr>
              <w:spacing w:after="0"/>
              <w:rPr>
                <w:sz w:val="16"/>
                <w:szCs w:val="16"/>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SAFEs</w:t>
            </w:r>
          </w:p>
        </w:tc>
        <w:tc>
          <w:tcPr>
            <w:tcW w:w="0" w:type="dxa"/>
            <w:vAlign w:val="bottom"/>
          </w:tcPr>
          <w:p>
            <w:pPr>
              <w:spacing w:after="0"/>
              <w:rPr>
                <w:sz w:val="1"/>
                <w:szCs w:val="1"/>
                <w:color w:val="auto"/>
              </w:rPr>
            </w:pPr>
          </w:p>
        </w:tc>
      </w:tr>
      <w:tr>
        <w:trPr>
          <w:trHeight w:val="162"/>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2023</w:t>
            </w:r>
          </w:p>
        </w:tc>
        <w:tc>
          <w:tcPr>
            <w:tcW w:w="1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Liabilities recognized in the Merger</w:t>
            </w: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33,559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Pr>
          <w:p>
            <w:pPr>
              <w:spacing w:after="0"/>
              <w:rPr>
                <w:sz w:val="14"/>
                <w:szCs w:val="14"/>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2,071</w:t>
            </w:r>
          </w:p>
        </w:tc>
        <w:tc>
          <w:tcPr>
            <w:tcW w:w="2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of warrants in the July 2024 Private Placement</w:t>
            </w: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6,397</w:t>
            </w: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Other warrants issued</w:t>
            </w: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732</w:t>
            </w:r>
          </w:p>
        </w:tc>
        <w:tc>
          <w:tcPr>
            <w:tcW w:w="140" w:type="dxa"/>
            <w:vAlign w:val="bottom"/>
          </w:tcPr>
          <w:p>
            <w:pPr>
              <w:spacing w:after="0"/>
              <w:rPr>
                <w:sz w:val="14"/>
                <w:szCs w:val="14"/>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to Class A Common Stock in the Merger</w:t>
            </w: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(1,522)</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Exercise of warrants</w:t>
            </w: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(3,393)</w:t>
            </w:r>
          </w:p>
        </w:tc>
        <w:tc>
          <w:tcPr>
            <w:tcW w:w="140" w:type="dxa"/>
            <w:vAlign w:val="bottom"/>
          </w:tcPr>
          <w:p>
            <w:pPr>
              <w:spacing w:after="0"/>
              <w:rPr>
                <w:sz w:val="14"/>
                <w:szCs w:val="14"/>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 of liability</w:t>
            </w: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(332)</w:t>
            </w: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(1,241)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included in net loss</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(31,879)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(1,415)</w:t>
            </w:r>
          </w:p>
        </w:tc>
        <w:tc>
          <w:tcPr>
            <w:tcW w:w="14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(830)</w:t>
            </w:r>
          </w:p>
        </w:tc>
        <w:tc>
          <w:tcPr>
            <w:tcW w:w="2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2"/>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2024</w:t>
            </w:r>
          </w:p>
        </w:tc>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Sale of warrants in the April 2025 Offering</w:t>
            </w: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2,853</w:t>
            </w:r>
          </w:p>
        </w:tc>
        <w:tc>
          <w:tcPr>
            <w:tcW w:w="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inducement warrants</w:t>
            </w: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5,699</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Modification of warrants</w:t>
            </w: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1,214</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warrants</w:t>
            </w: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(4,242)</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included in net loss</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(804)</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2025</w:t>
            </w:r>
          </w:p>
        </w:tc>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Liability-Classified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Company estimates the fair value of liability classified warrants, other than the Private Warrants, using the Black-Scholes option pricing model, as described above under Note 2 — </w:t>
      </w:r>
      <w:r>
        <w:rPr>
          <w:rFonts w:ascii="Times New Roman" w:cs="Times New Roman" w:eastAsia="Times New Roman" w:hAnsi="Times New Roman"/>
          <w:sz w:val="14"/>
          <w:szCs w:val="14"/>
          <w:i w:val="1"/>
          <w:iCs w:val="1"/>
          <w:color w:val="auto"/>
        </w:rPr>
        <w:t>Summary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Significant Accounting Policies—Stock-Based Compensation. </w:t>
      </w:r>
      <w:r>
        <w:rPr>
          <w:rFonts w:ascii="Times New Roman" w:cs="Times New Roman" w:eastAsia="Times New Roman" w:hAnsi="Times New Roman"/>
          <w:sz w:val="14"/>
          <w:szCs w:val="14"/>
          <w:color w:val="auto"/>
        </w:rPr>
        <w:t>The following table summarizes the assumptions used in estimating the fair value of liability-classified warrants at the respective dates: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2"/>
        </w:trPr>
        <w:tc>
          <w:tcPr>
            <w:tcW w:w="69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r>
      <w:tr>
        <w:trPr>
          <w:trHeight w:val="161"/>
        </w:trPr>
        <w:tc>
          <w:tcPr>
            <w:tcW w:w="6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8.06</w:t>
            </w:r>
          </w:p>
        </w:tc>
        <w:tc>
          <w:tcPr>
            <w:tcW w:w="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shd w:val="clear" w:color="auto" w:fill="CCEEFF"/>
          </w:tcPr>
          <w:p>
            <w:pPr>
              <w:spacing w:after="0"/>
              <w:rPr>
                <w:sz w:val="14"/>
                <w:szCs w:val="14"/>
                <w:color w:val="auto"/>
              </w:rPr>
            </w:pPr>
          </w:p>
        </w:tc>
      </w:tr>
      <w:tr>
        <w:trPr>
          <w:trHeight w:val="171"/>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44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79.0%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55.7%</w:t>
            </w:r>
          </w:p>
        </w:tc>
      </w:tr>
      <w:tr>
        <w:trPr>
          <w:trHeight w:val="171"/>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4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 3.9%</w:t>
            </w: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44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4.3 – 4.9 years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 – 5.1 years</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estimates the fair value of the Private Warrants based on quoted market prices for the Public Warrants, which have substantially the same economic characteristics.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Earnout Liability</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Company estimates the fair value of the earnout liability using a Monte Carlo simulation model that utilizes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2"/>
        </w:trPr>
        <w:tc>
          <w:tcPr>
            <w:tcW w:w="6980" w:type="dxa"/>
            <w:vAlign w:val="bottom"/>
          </w:tcPr>
          <w:p>
            <w:pPr>
              <w:spacing w:after="0"/>
              <w:rPr>
                <w:sz w:val="14"/>
                <w:szCs w:val="14"/>
                <w:color w:val="auto"/>
              </w:rPr>
            </w:pPr>
          </w:p>
        </w:tc>
        <w:tc>
          <w:tcPr>
            <w:tcW w:w="1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r>
      <w:tr>
        <w:trPr>
          <w:trHeight w:val="161"/>
        </w:trPr>
        <w:tc>
          <w:tcPr>
            <w:tcW w:w="6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1240" w:type="dxa"/>
            <w:vAlign w:val="bottom"/>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8.06</w:t>
            </w:r>
          </w:p>
        </w:tc>
        <w:tc>
          <w:tcPr>
            <w:tcW w:w="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shd w:val="clear" w:color="auto" w:fill="CCEEFF"/>
          </w:tcPr>
          <w:p>
            <w:pPr>
              <w:spacing w:after="0"/>
              <w:rPr>
                <w:sz w:val="14"/>
                <w:szCs w:val="14"/>
                <w:color w:val="auto"/>
              </w:rPr>
            </w:pPr>
          </w:p>
        </w:tc>
      </w:tr>
      <w:tr>
        <w:trPr>
          <w:trHeight w:val="171"/>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2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71"/>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1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5"/>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12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 years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 years</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Net Loss Per Share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the PIPE make-whole liability and the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net loss per share:</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Numerator:</w:t>
      </w:r>
    </w:p>
    <w:p>
      <w:pPr>
        <w:spacing w:after="0" w:line="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Allocation of net loss</w:t>
      </w:r>
    </w:p>
    <w:p>
      <w:pPr>
        <w:spacing w:after="0" w:line="10" w:lineRule="exact"/>
        <w:rPr>
          <w:sz w:val="20"/>
          <w:szCs w:val="20"/>
          <w:color w:val="auto"/>
        </w:rPr>
      </w:pPr>
    </w:p>
    <w:p>
      <w:pPr>
        <w:ind w:left="280"/>
        <w:spacing w:after="0" w:line="262" w:lineRule="auto"/>
        <w:rPr>
          <w:sz w:val="20"/>
          <w:szCs w:val="20"/>
          <w:color w:val="auto"/>
        </w:rPr>
      </w:pPr>
      <w:r>
        <w:rPr>
          <w:rFonts w:ascii="Times New Roman" w:cs="Times New Roman" w:eastAsia="Times New Roman" w:hAnsi="Times New Roman"/>
          <w:sz w:val="14"/>
          <w:szCs w:val="14"/>
          <w:color w:val="auto"/>
        </w:rPr>
        <w:t>Deemed dividend from warrant price adjustment Net loss available to common</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stockholders</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Denominator:</w:t>
      </w:r>
    </w:p>
    <w:p>
      <w:pPr>
        <w:spacing w:after="0" w:line="10" w:lineRule="exact"/>
        <w:rPr>
          <w:sz w:val="20"/>
          <w:szCs w:val="20"/>
          <w:color w:val="auto"/>
        </w:rPr>
      </w:pPr>
    </w:p>
    <w:p>
      <w:pPr>
        <w:ind w:left="440" w:right="640" w:hanging="141"/>
        <w:spacing w:after="0" w:line="284" w:lineRule="auto"/>
        <w:rPr>
          <w:sz w:val="20"/>
          <w:szCs w:val="20"/>
          <w:color w:val="auto"/>
        </w:rPr>
      </w:pPr>
      <w:r>
        <w:rPr>
          <w:rFonts w:ascii="Times New Roman" w:cs="Times New Roman" w:eastAsia="Times New Roman" w:hAnsi="Times New Roman"/>
          <w:sz w:val="14"/>
          <w:szCs w:val="14"/>
          <w:color w:val="auto"/>
        </w:rPr>
        <w:t>Weighted-average shares outstanding Basic net loss per share</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6" w:lineRule="exact"/>
        <w:rPr>
          <w:sz w:val="20"/>
          <w:szCs w:val="20"/>
          <w:color w:val="auto"/>
        </w:rPr>
      </w:pPr>
    </w:p>
    <w:tbl>
      <w:tblPr>
        <w:tblLayout w:type="fixed"/>
        <w:tblInd w:w="18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gridSpan w:val="2"/>
          </w:tcPr>
          <w:p>
            <w:pPr>
              <w:spacing w:after="0"/>
              <w:rPr>
                <w:sz w:val="14"/>
                <w:szCs w:val="14"/>
                <w:color w:val="auto"/>
              </w:rPr>
            </w:pPr>
          </w:p>
        </w:tc>
      </w:tr>
      <w:tr>
        <w:trPr>
          <w:trHeight w:val="488"/>
        </w:trPr>
        <w:tc>
          <w:tcPr>
            <w:tcW w:w="220" w:type="dxa"/>
            <w:vAlign w:val="bottom"/>
            <w:gridSpan w:val="2"/>
          </w:tcPr>
          <w:p>
            <w:pPr>
              <w:jc w:val="right"/>
              <w:ind w:right="13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(44,072)</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(2,059)</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(18,452)</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(1,582)</w:t>
            </w: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2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(609)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1"/>
        </w:trPr>
        <w:tc>
          <w:tcPr>
            <w:tcW w:w="220" w:type="dxa"/>
            <w:vAlign w:val="bottom"/>
            <w:gridSpan w:val="2"/>
          </w:tcPr>
          <w:p>
            <w:pPr>
              <w:jc w:val="right"/>
              <w:ind w:right="13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(44,072)</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(2,059)</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(19,061)</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(1,634)</w:t>
            </w:r>
          </w:p>
        </w:tc>
      </w:tr>
      <w:tr>
        <w:trPr>
          <w:trHeight w:val="35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4,343,588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202,921</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2,617,527</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224,431</w:t>
            </w:r>
          </w:p>
        </w:tc>
        <w:tc>
          <w:tcPr>
            <w:tcW w:w="2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340" w:type="dxa"/>
            <w:vAlign w:val="bottom"/>
          </w:tcPr>
          <w:p>
            <w:pPr>
              <w:jc w:val="right"/>
              <w:ind w:right="25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340" w:type="dxa"/>
            <w:vAlign w:val="bottom"/>
          </w:tcPr>
          <w:p>
            <w:pPr>
              <w:jc w:val="right"/>
              <w:ind w:right="259"/>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32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(7.28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-2167890</wp:posOffset>
            </wp:positionH>
            <wp:positionV relativeFrom="paragraph">
              <wp:posOffset>-1029335</wp:posOffset>
            </wp:positionV>
            <wp:extent cx="7160895" cy="1149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895" cy="114935"/>
                    </a:xfrm>
                    <a:prstGeom prst="rect">
                      <a:avLst/>
                    </a:prstGeom>
                    <a:noFill/>
                  </pic:spPr>
                </pic:pic>
              </a:graphicData>
            </a:graphic>
          </wp:anchor>
        </w:drawing>
        <w:drawing>
          <wp:anchor simplePos="0" relativeHeight="251657728" behindDoc="1" locked="0" layoutInCell="0" allowOverlap="1">
            <wp:simplePos x="0" y="0"/>
            <wp:positionH relativeFrom="column">
              <wp:posOffset>-2167890</wp:posOffset>
            </wp:positionH>
            <wp:positionV relativeFrom="paragraph">
              <wp:posOffset>-805815</wp:posOffset>
            </wp:positionV>
            <wp:extent cx="7160895" cy="1085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895" cy="108585"/>
                    </a:xfrm>
                    <a:prstGeom prst="rect">
                      <a:avLst/>
                    </a:prstGeom>
                    <a:noFill/>
                  </pic:spPr>
                </pic:pic>
              </a:graphicData>
            </a:graphic>
          </wp:anchor>
        </w:drawing>
        <w:drawing>
          <wp:anchor simplePos="0" relativeHeight="251657728" behindDoc="1" locked="0" layoutInCell="0" allowOverlap="1">
            <wp:simplePos x="0" y="0"/>
            <wp:positionH relativeFrom="column">
              <wp:posOffset>-2167890</wp:posOffset>
            </wp:positionH>
            <wp:positionV relativeFrom="paragraph">
              <wp:posOffset>-582295</wp:posOffset>
            </wp:positionV>
            <wp:extent cx="7160895" cy="2165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895" cy="216535"/>
                    </a:xfrm>
                    <a:prstGeom prst="rect">
                      <a:avLst/>
                    </a:prstGeom>
                    <a:noFill/>
                  </pic:spPr>
                </pic:pic>
              </a:graphicData>
            </a:graphic>
          </wp:anchor>
        </w:drawing>
        <w:drawing>
          <wp:anchor simplePos="0" relativeHeight="251657728" behindDoc="1" locked="0" layoutInCell="0" allowOverlap="1">
            <wp:simplePos x="0" y="0"/>
            <wp:positionH relativeFrom="column">
              <wp:posOffset>-2167890</wp:posOffset>
            </wp:positionH>
            <wp:positionV relativeFrom="paragraph">
              <wp:posOffset>-256540</wp:posOffset>
            </wp:positionV>
            <wp:extent cx="7160895" cy="1149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895" cy="11493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60" w:space="360"/>
            <w:col w:w="7860"/>
          </w:cols>
          <w:pgMar w:left="300" w:top="550" w:right="319" w:bottom="1440" w:gutter="0" w:footer="0" w:header="0"/>
        </w:sectPr>
      </w:pPr>
    </w:p>
    <w:tbl>
      <w:tblPr>
        <w:tblLayout w:type="fixed"/>
        <w:tblInd w:w="0" w:type="dxa"/>
        <w:tblCellMar>
          <w:top w:w="0" w:type="dxa"/>
          <w:left w:w="0" w:type="dxa"/>
          <w:bottom w:w="0" w:type="dxa"/>
          <w:right w:w="0" w:type="dxa"/>
        </w:tblCellMar>
      </w:tblPr>
      <w:tr>
        <w:trPr>
          <w:trHeight w:val="151"/>
        </w:trPr>
        <w:tc>
          <w:tcPr>
            <w:tcW w:w="5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1"/>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Numerator:</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6"/>
        </w:trPr>
        <w:tc>
          <w:tcPr>
            <w:tcW w:w="5040" w:type="dxa"/>
            <w:vAlign w:val="bottom"/>
          </w:tcPr>
          <w:p>
            <w:pPr>
              <w:ind w:left="280"/>
              <w:spacing w:after="0" w:line="156" w:lineRule="exact"/>
              <w:rPr>
                <w:sz w:val="20"/>
                <w:szCs w:val="20"/>
                <w:color w:val="auto"/>
              </w:rPr>
            </w:pPr>
            <w:r>
              <w:rPr>
                <w:rFonts w:ascii="Times New Roman" w:cs="Times New Roman" w:eastAsia="Times New Roman" w:hAnsi="Times New Roman"/>
                <w:sz w:val="14"/>
                <w:szCs w:val="14"/>
                <w:color w:val="auto"/>
              </w:rPr>
              <w:t>Net loss available to common</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5"/>
        </w:trPr>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stockholders</w:t>
            </w:r>
          </w:p>
        </w:tc>
        <w:tc>
          <w:tcPr>
            <w:tcW w:w="540" w:type="dxa"/>
            <w:vAlign w:val="bottom"/>
            <w:gridSpan w:val="2"/>
          </w:tcPr>
          <w:p>
            <w:pPr>
              <w:jc w:val="right"/>
              <w:ind w:right="244"/>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(44,072)</w:t>
            </w:r>
          </w:p>
        </w:tc>
        <w:tc>
          <w:tcPr>
            <w:tcW w:w="580" w:type="dxa"/>
            <w:vAlign w:val="bottom"/>
            <w:gridSpan w:val="2"/>
          </w:tcPr>
          <w:p>
            <w:pPr>
              <w:jc w:val="right"/>
              <w:ind w:right="304"/>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(2,059)</w:t>
            </w: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(19,061)</w:t>
            </w:r>
          </w:p>
        </w:tc>
        <w:tc>
          <w:tcPr>
            <w:tcW w:w="420" w:type="dxa"/>
            <w:vAlign w:val="bottom"/>
            <w:gridSpan w:val="2"/>
          </w:tcPr>
          <w:p>
            <w:pPr>
              <w:jc w:val="right"/>
              <w:ind w:right="284"/>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(1,634)</w:t>
            </w:r>
          </w:p>
        </w:tc>
      </w:tr>
      <w:tr>
        <w:trPr>
          <w:trHeight w:val="171"/>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fair value of PIPE make-whole liability</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(764)</w:t>
            </w: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w:t>
            </w:r>
          </w:p>
        </w:tc>
      </w:tr>
      <w:tr>
        <w:trPr>
          <w:trHeight w:val="171"/>
        </w:trPr>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liability-classified warrants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1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(634)</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(54)</w:t>
            </w:r>
          </w:p>
        </w:tc>
      </w:tr>
      <w:tr>
        <w:trPr>
          <w:trHeight w:val="156"/>
        </w:trPr>
        <w:tc>
          <w:tcPr>
            <w:tcW w:w="5040" w:type="dxa"/>
            <w:vAlign w:val="bottom"/>
            <w:shd w:val="clear" w:color="auto" w:fill="CCEEFF"/>
          </w:tcPr>
          <w:p>
            <w:pPr>
              <w:ind w:left="280"/>
              <w:spacing w:after="0" w:line="156" w:lineRule="exact"/>
              <w:rPr>
                <w:sz w:val="20"/>
                <w:szCs w:val="20"/>
                <w:color w:val="auto"/>
              </w:rPr>
            </w:pPr>
            <w:r>
              <w:rPr>
                <w:rFonts w:ascii="Times New Roman" w:cs="Times New Roman" w:eastAsia="Times New Roman" w:hAnsi="Times New Roman"/>
                <w:sz w:val="14"/>
                <w:szCs w:val="14"/>
                <w:color w:val="auto"/>
              </w:rPr>
              <w:t>Reallocation of net loss as a result of conversion of Class B to Class A Common</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5"/>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(2,059)</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(1,754)</w:t>
            </w: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6"/>
        </w:trPr>
        <w:tc>
          <w:tcPr>
            <w:tcW w:w="5040" w:type="dxa"/>
            <w:vAlign w:val="bottom"/>
          </w:tcPr>
          <w:p>
            <w:pPr>
              <w:ind w:left="280"/>
              <w:spacing w:after="0" w:line="156" w:lineRule="exact"/>
              <w:rPr>
                <w:sz w:val="20"/>
                <w:szCs w:val="20"/>
                <w:color w:val="auto"/>
              </w:rPr>
            </w:pPr>
            <w:r>
              <w:rPr>
                <w:rFonts w:ascii="Times New Roman" w:cs="Times New Roman" w:eastAsia="Times New Roman" w:hAnsi="Times New Roman"/>
                <w:sz w:val="14"/>
                <w:szCs w:val="14"/>
                <w:color w:val="auto"/>
              </w:rPr>
              <w:t>Reallocation of net loss as a result of conversion of Class B to Class A Common</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6"/>
        </w:trPr>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7"/>
                <w:szCs w:val="17"/>
                <w:color w:val="auto"/>
              </w:rPr>
            </w:pPr>
          </w:p>
        </w:tc>
      </w:tr>
      <w:tr>
        <w:trPr>
          <w:trHeight w:val="162"/>
        </w:trPr>
        <w:tc>
          <w:tcPr>
            <w:tcW w:w="5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Allocation of net loss</w:t>
            </w:r>
          </w:p>
        </w:tc>
        <w:tc>
          <w:tcPr>
            <w:tcW w:w="1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(46,131)</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3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(22,213)</w:t>
            </w: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100" w:type="dxa"/>
            <w:vAlign w:val="bottom"/>
            <w:tcBorders>
              <w:top w:val="single" w:sz="8" w:color="CCEEFF"/>
            </w:tcBorders>
            <w:gridSpan w:val="2"/>
            <w:shd w:val="clear" w:color="auto" w:fill="CCEEFF"/>
          </w:tcPr>
          <w:p>
            <w:pPr>
              <w:spacing w:after="0"/>
              <w:rPr>
                <w:sz w:val="14"/>
                <w:szCs w:val="14"/>
                <w:color w:val="auto"/>
              </w:rPr>
            </w:pPr>
          </w:p>
        </w:tc>
      </w:tr>
      <w:tr>
        <w:trPr>
          <w:trHeight w:val="171"/>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Number of shares used in basic earnings per share calculation</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4,343,588</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4"/>
                <w:szCs w:val="14"/>
                <w:color w:val="auto"/>
              </w:rPr>
              <w:t>202,921</w:t>
            </w: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2,617,527</w:t>
            </w: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224,431</w:t>
            </w:r>
          </w:p>
        </w:tc>
        <w:tc>
          <w:tcPr>
            <w:tcW w:w="80" w:type="dxa"/>
            <w:vAlign w:val="bottom"/>
            <w:shd w:val="clear" w:color="auto" w:fill="CCEEFF"/>
          </w:tcPr>
          <w:p>
            <w:pPr>
              <w:spacing w:after="0"/>
              <w:rPr>
                <w:sz w:val="14"/>
                <w:szCs w:val="14"/>
                <w:color w:val="auto"/>
              </w:rPr>
            </w:pPr>
          </w:p>
        </w:tc>
      </w:tr>
      <w:tr>
        <w:trPr>
          <w:trHeight w:val="171"/>
        </w:trPr>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Shares issuable in satisfaction of PIPE make-whole liability</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1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72,722</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Shares issuable under liability-classified warrants</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33,620</w:t>
            </w: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Conversion of Class B to Class A Common Stock</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202,921</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224,431</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5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Number of shares used in per share computation</w:t>
            </w:r>
          </w:p>
        </w:tc>
        <w:tc>
          <w:tcPr>
            <w:tcW w:w="1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4,546,509</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202,921</w:t>
            </w:r>
          </w:p>
        </w:tc>
        <w:tc>
          <w:tcPr>
            <w:tcW w:w="3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2,948,302</w:t>
            </w: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224,431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2"/>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180" w:type="dxa"/>
            <w:vAlign w:val="bottom"/>
          </w:tcPr>
          <w:p>
            <w:pPr>
              <w:spacing w:after="0"/>
              <w:rPr>
                <w:sz w:val="14"/>
                <w:szCs w:val="14"/>
                <w:color w:val="auto"/>
              </w:rPr>
            </w:pP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4"/>
                <w:szCs w:val="14"/>
                <w:color w:val="auto"/>
              </w:rPr>
            </w:pPr>
          </w:p>
        </w:tc>
        <w:tc>
          <w:tcPr>
            <w:tcW w:w="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340" w:type="dxa"/>
            <w:vAlign w:val="bottom"/>
          </w:tcPr>
          <w:p>
            <w:pPr>
              <w:jc w:val="right"/>
              <w:ind w:right="259"/>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32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4"/>
                <w:szCs w:val="14"/>
                <w:color w:val="auto"/>
              </w:rPr>
            </w:pPr>
          </w:p>
        </w:tc>
        <w:tc>
          <w:tcPr>
            <w:tcW w:w="4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For the purposes of applying the if converted method or treasury stock method for calculating diluted earnings per share, the Public Warrants, Private Warrants, PIPE Common Warrants, Placement Agent Warrants, RSAs, RSUs and stock options result in anti-dilution. Therefore, these securities are not included in the computation of diluted net loss per share. The Earnout Shares and shares issuable under the Rage Earnout were not included for purposes of calculating the number of diluted shares outstanding because the number of dilutive shares is, in each case, based on a contingency which had not been met during the periods presented herein. The potential shares of Class A Common Stock that were excluded from the computation of diluted net loss per share for the periods presented because including them would have an antidilutive effect were as follows: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type w:val="continuous"/>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6"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92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1"/>
        </w:trPr>
        <w:tc>
          <w:tcPr>
            <w:tcW w:w="7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Warrants and Private Warrants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900,000</w:t>
            </w:r>
          </w:p>
        </w:tc>
        <w:tc>
          <w:tcPr>
            <w:tcW w:w="3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900,000</w:t>
            </w:r>
          </w:p>
        </w:tc>
        <w:tc>
          <w:tcPr>
            <w:tcW w:w="80" w:type="dxa"/>
            <w:vAlign w:val="bottom"/>
            <w:shd w:val="clear" w:color="auto" w:fill="CCEEFF"/>
          </w:tcPr>
          <w:p>
            <w:pPr>
              <w:spacing w:after="0"/>
              <w:rPr>
                <w:sz w:val="14"/>
                <w:szCs w:val="14"/>
                <w:color w:val="auto"/>
              </w:rPr>
            </w:pPr>
          </w:p>
        </w:tc>
      </w:tr>
      <w:tr>
        <w:trPr>
          <w:trHeight w:val="171"/>
        </w:trPr>
        <w:tc>
          <w:tcPr>
            <w:tcW w:w="8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common stock warrants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1,570,568</w:t>
            </w:r>
          </w:p>
        </w:tc>
        <w:tc>
          <w:tcPr>
            <w:tcW w:w="320" w:type="dxa"/>
            <w:vAlign w:val="bottom"/>
          </w:tcPr>
          <w:p>
            <w:pPr>
              <w:spacing w:after="0"/>
              <w:rPr>
                <w:sz w:val="14"/>
                <w:szCs w:val="14"/>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751,878</w:t>
            </w:r>
          </w:p>
        </w:tc>
        <w:tc>
          <w:tcPr>
            <w:tcW w:w="80" w:type="dxa"/>
            <w:vAlign w:val="bottom"/>
          </w:tcPr>
          <w:p>
            <w:pPr>
              <w:spacing w:after="0"/>
              <w:rPr>
                <w:sz w:val="14"/>
                <w:szCs w:val="14"/>
                <w:color w:val="auto"/>
              </w:rPr>
            </w:pPr>
          </w:p>
        </w:tc>
      </w:tr>
      <w:tr>
        <w:trPr>
          <w:trHeight w:val="171"/>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Earnout Shares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3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350,000</w:t>
            </w:r>
          </w:p>
        </w:tc>
        <w:tc>
          <w:tcPr>
            <w:tcW w:w="80" w:type="dxa"/>
            <w:vAlign w:val="bottom"/>
            <w:shd w:val="clear" w:color="auto" w:fill="CCEEFF"/>
          </w:tcPr>
          <w:p>
            <w:pPr>
              <w:spacing w:after="0"/>
              <w:rPr>
                <w:sz w:val="14"/>
                <w:szCs w:val="14"/>
                <w:color w:val="auto"/>
              </w:rPr>
            </w:pPr>
          </w:p>
        </w:tc>
      </w:tr>
      <w:tr>
        <w:trPr>
          <w:trHeight w:val="171"/>
        </w:trPr>
        <w:tc>
          <w:tcPr>
            <w:tcW w:w="8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potentially issuable under Rage Earnout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64,280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128,560</w:t>
            </w:r>
          </w:p>
        </w:tc>
        <w:tc>
          <w:tcPr>
            <w:tcW w:w="80" w:type="dxa"/>
            <w:vAlign w:val="bottom"/>
          </w:tcPr>
          <w:p>
            <w:pPr>
              <w:spacing w:after="0"/>
              <w:rPr>
                <w:sz w:val="14"/>
                <w:szCs w:val="14"/>
                <w:color w:val="auto"/>
              </w:rPr>
            </w:pPr>
          </w:p>
        </w:tc>
      </w:tr>
      <w:tr>
        <w:trPr>
          <w:trHeight w:val="171"/>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RSAs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487,250</w:t>
            </w:r>
          </w:p>
        </w:tc>
        <w:tc>
          <w:tcPr>
            <w:tcW w:w="320" w:type="dxa"/>
            <w:vAlign w:val="bottom"/>
            <w:shd w:val="clear" w:color="auto" w:fill="CCEEFF"/>
          </w:tcPr>
          <w:p>
            <w:pPr>
              <w:spacing w:after="0"/>
              <w:rPr>
                <w:sz w:val="14"/>
                <w:szCs w:val="14"/>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RSUs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954,599</w:t>
            </w:r>
          </w:p>
        </w:tc>
        <w:tc>
          <w:tcPr>
            <w:tcW w:w="320" w:type="dxa"/>
            <w:vAlign w:val="bottom"/>
          </w:tcPr>
          <w:p>
            <w:pPr>
              <w:spacing w:after="0"/>
              <w:rPr>
                <w:sz w:val="14"/>
                <w:szCs w:val="14"/>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446,318</w:t>
            </w:r>
          </w:p>
        </w:tc>
        <w:tc>
          <w:tcPr>
            <w:tcW w:w="80" w:type="dxa"/>
            <w:vAlign w:val="bottom"/>
          </w:tcPr>
          <w:p>
            <w:pPr>
              <w:spacing w:after="0"/>
              <w:rPr>
                <w:sz w:val="14"/>
                <w:szCs w:val="14"/>
                <w:color w:val="auto"/>
              </w:rPr>
            </w:pPr>
          </w:p>
        </w:tc>
      </w:tr>
      <w:tr>
        <w:trPr>
          <w:trHeight w:val="181"/>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245,218</w:t>
            </w:r>
          </w:p>
        </w:tc>
        <w:tc>
          <w:tcPr>
            <w:tcW w:w="32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274,063</w:t>
            </w:r>
          </w:p>
        </w:tc>
        <w:tc>
          <w:tcPr>
            <w:tcW w:w="80" w:type="dxa"/>
            <w:vAlign w:val="bottom"/>
            <w:shd w:val="clear" w:color="auto" w:fill="CCEEFF"/>
          </w:tcPr>
          <w:p>
            <w:pPr>
              <w:spacing w:after="0"/>
              <w:rPr>
                <w:sz w:val="15"/>
                <w:szCs w:val="15"/>
                <w:color w:val="auto"/>
              </w:rPr>
            </w:pPr>
          </w:p>
        </w:tc>
      </w:tr>
      <w:tr>
        <w:trPr>
          <w:trHeight w:val="172"/>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4,571,915</w:t>
            </w:r>
          </w:p>
        </w:tc>
        <w:tc>
          <w:tcPr>
            <w:tcW w:w="320" w:type="dxa"/>
            <w:vAlign w:val="bottom"/>
          </w:tcPr>
          <w:p>
            <w:pPr>
              <w:spacing w:after="0"/>
              <w:rPr>
                <w:sz w:val="14"/>
                <w:szCs w:val="14"/>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2,850,819</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70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Concentrations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Customers</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For the year ended September 30, 2025, one customer accounted for 50% of the Company’s net revenue. For the year ended September 30, 2024, one customer accounted for 40% of the Company’s net revenue. No other customer accounted for more than 10% of net revenue in the respective periods.</w:t>
      </w:r>
    </w:p>
    <w:p>
      <w:pPr>
        <w:spacing w:after="0" w:line="1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As of September 30, 2025, two customers had balances due that represented 30% of the Company’s total accounts receivable. As of September 30, 2024, two customers had balances due that represented 71% of the Company’s total accounts receivable.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Segment Information</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spacing w:after="0" w:line="1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consolidated statements of operations and comprehensive loss when making operating decisions.</w:t>
      </w:r>
    </w:p>
    <w:p>
      <w:pPr>
        <w:spacing w:after="0" w:line="13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measure of segment assets is reported on the consolidated balance sheets as total assets. The CODM does not review segment assets at a level other than that presented in the Company’s consolidated balance sheets.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Revenues by Geographic Region</w:t>
            </w:r>
          </w:p>
        </w:tc>
        <w:tc>
          <w:tcPr>
            <w:tcW w:w="1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The Company’s net revenue by geographic region, based on ship-to location, are summarized as follows:</w:t>
            </w: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7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70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7020" w:type="dxa"/>
            <w:vAlign w:val="bottom"/>
          </w:tcPr>
          <w:p>
            <w:pPr>
              <w:spacing w:after="0"/>
              <w:rPr>
                <w:sz w:val="14"/>
                <w:szCs w:val="14"/>
                <w:color w:val="auto"/>
              </w:rPr>
            </w:pPr>
          </w:p>
        </w:tc>
        <w:tc>
          <w:tcPr>
            <w:tcW w:w="1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34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9,152</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5,699</w:t>
            </w:r>
          </w:p>
        </w:tc>
        <w:tc>
          <w:tcPr>
            <w:tcW w:w="80" w:type="dxa"/>
            <w:vAlign w:val="bottom"/>
            <w:shd w:val="clear" w:color="auto" w:fill="CCEEFF"/>
          </w:tcPr>
          <w:p>
            <w:pPr>
              <w:spacing w:after="0"/>
              <w:rPr>
                <w:sz w:val="14"/>
                <w:szCs w:val="14"/>
                <w:color w:val="auto"/>
              </w:rPr>
            </w:pP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China</w:t>
            </w:r>
          </w:p>
        </w:tc>
        <w:tc>
          <w:tcPr>
            <w:tcW w:w="13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4"/>
                <w:szCs w:val="14"/>
                <w:color w:val="auto"/>
              </w:rPr>
            </w:pPr>
          </w:p>
        </w:tc>
      </w:tr>
      <w:tr>
        <w:trPr>
          <w:trHeight w:val="18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760</w:t>
            </w:r>
          </w:p>
        </w:tc>
        <w:tc>
          <w:tcPr>
            <w:tcW w:w="5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shd w:val="clear" w:color="auto" w:fill="CCEEFF"/>
          </w:tcPr>
          <w:p>
            <w:pPr>
              <w:spacing w:after="0"/>
              <w:rPr>
                <w:sz w:val="15"/>
                <w:szCs w:val="15"/>
                <w:color w:val="auto"/>
              </w:rPr>
            </w:pPr>
          </w:p>
        </w:tc>
      </w:tr>
      <w:tr>
        <w:trPr>
          <w:trHeight w:val="172"/>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Total net revenue</w:t>
            </w:r>
          </w:p>
        </w:tc>
        <w:tc>
          <w:tcPr>
            <w:tcW w:w="1340" w:type="dxa"/>
            <w:vAlign w:val="bottom"/>
            <w:tcBorders>
              <w:top w:val="single" w:sz="8" w:color="auto"/>
              <w:bottom w:val="single" w:sz="8" w:color="auto"/>
            </w:tcBorders>
          </w:tcPr>
          <w:p>
            <w:pPr>
              <w:jc w:val="right"/>
              <w:ind w:right="121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9,912</w:t>
            </w:r>
          </w:p>
        </w:tc>
        <w:tc>
          <w:tcPr>
            <w:tcW w:w="3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6,442</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7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Long-Lived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Substantially all of the Company’s long-lived assets are located in the United States.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 Subsequent Events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 the Market Offering Agreement</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On October 21, 2025, the Company entered into an At The Market Offering Agreement (the “ATM Agreement”) with Roth Capital Partners, LLC (“Manager”) under which the Company may offer and sell, from time to time at its sole discretion, up to $15,800 in shares of its Class A Common Stock through the Manager acting in its capacity as its sales agent.</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Pursuant to the ATM Agreement, sales of the Common Stock, if any, will be made under the Company’s effective Registration Statement on Form S-3 (File No. 333-284351), previously filed with the Securities and Exchange Commission on January 17, 2025 and declared effective on January 24, 2025, and the prospectus supplement relating to this offering for up to $15,800 in shares of its Common Stock, filed on October 21, 2025 by any method that is deemed to be an “at the market offering” as defined in Rule 415(a)(4) under the Securities Act of 1933, as amended, including privately negotiated and block transactions. The Manager will use commercially reasonable efforts consistent with its normal trading and sales practices and applicable state and federal law, rules and regulations and the rules of The Nasdaq Capital Market to sell the Common Stock from time to time, based upon instructions from the Company (including any price, time or size limits or other customary parameters or conditions the Company may impose). The Company will pay the Manager a commission of three percent of the gross sales proceeds of any Common Stock sold through the Manager under the ATM Agreement, and also has provided the Manager with customary indemnification rights. The Company also reimbursed the Manager for certain expenses in connection with entering into the ATM Agreement.</w:t>
      </w:r>
    </w:p>
    <w:p>
      <w:pPr>
        <w:spacing w:after="0" w:line="14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 intends to use the net proceeds from the offering for working capital purposes. The amount and timing of the proceeds the Company receives from the sale of its Class A Common Stock pursuant to the ATM Agreement, if any, will depend on a number of factors, including the numbers of shares the Company may elect to sell, the timing of such sales and the future market price of the Company’s Class A Common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Modification of Warrants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October 24, 2025, the Company entered into amendments to the PIPE Common Warrants, the Common Warrants and the Inducement Warrants, which comprise warrants to purchase an aggregate of 1,337,547 shares of the Company’s Class A Common Stock. The amendments revise certain terms of the warrants with the objective that, under the applicable guidance in ASC 480 and ASC 815, the warrants are expected to be equity-classified financial instruments. The amendments did not affect any terms of the warrants that are inputs into the estimation of the fair value of warrants under the Black-Scholes option pricing model, which the Company uses to estimate the fair value of warrants. As part of these amendments, the Company issued the warrant holder an additional warrant to purchase 100,000 shares of Class A Common Stock on the same terms as the Inducement Warrant, including an exercise price of $10.80 per share.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Settlement of Liabilities</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October 2025, the Company executed exchange agreements with two vendors, pursuant to which the Company issued 47,795 shares of its Class A Common Stock in exchange for the cancellation of $405 of obligations.</w:t>
      </w:r>
    </w:p>
    <w:p>
      <w:pPr>
        <w:spacing w:after="0" w:line="1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Also in October 2025, the Company executed an exchange agreement with the holder of a note payable, pursuant to which the Company issued 68,789 shares of its Class A Common Stock in exchange for the cancellation of the note payable and accrued interest of $511.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Borrowings</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November 2025, the Company amended a note payable with an unaffiliated investor to increase the borrowings thereunder, for net proceeds of $112. Amounts owed under this note are payable in weekly installments through May, 2027.</w:t>
      </w:r>
    </w:p>
    <w:p>
      <w:pPr>
        <w:spacing w:after="0" w:line="1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November and December 2025, the Company entered into two amended agreements for the sale of future receipts, wherein the Company sold future receipts totaling $1,966 for net proceeds of $806. Amounts owed under these agreements are payable in weekly installments through July, 2026.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December 2025, the Company issued a $1,100 promissory note for net proceeds of $800. The $1,100 principal amount of the promissory note will be payable, without interest, in June 2027.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Issuance of Class A Common Stock</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On January 6, 2026, the Company entered into certain securities purchase agreements with unrelated investors relating to a public offering of 3,000,000 shares of its Class A Common Stock at a price to the public of $2.00 per share (the “</w:t>
      </w:r>
      <w:r>
        <w:rPr>
          <w:rFonts w:ascii="Times New Roman" w:cs="Times New Roman" w:eastAsia="Times New Roman" w:hAnsi="Times New Roman"/>
          <w:sz w:val="14"/>
          <w:szCs w:val="14"/>
          <w:u w:val="single" w:color="auto"/>
          <w:color w:val="auto"/>
        </w:rPr>
        <w:t>Offering</w:t>
      </w:r>
      <w:r>
        <w:rPr>
          <w:rFonts w:ascii="Times New Roman" w:cs="Times New Roman" w:eastAsia="Times New Roman" w:hAnsi="Times New Roman"/>
          <w:sz w:val="14"/>
          <w:szCs w:val="14"/>
          <w:color w:val="auto"/>
        </w:rPr>
        <w:t>”).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$5,135, after deducting placement agent fees and commissions and other estimated offering expenses payable by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Reverse Stock Split</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April 2, 2026, the Company’s board of directors approved a reverse stock split of its Class A common stock and Class B common stock at a ratio of 1-for-10 (the “Reverse Stock Split”).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As the Legacy Mobix shares converted on a one for one basis to Class A Common Stock of the Company during the Merger, the number of Chavant shares outstanding immediately prior to the Merger have also been recast such that the total shares of Class A Common Stock disclosed at the time of the Merger close reflects the impact of the Reverse Stock Split on a consistent basis. The number of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consolidated financial statements. No fractional shares were issued in connection with the Reverse Stock Split, and cash was paid in lieu of fractional shares.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4"/>
          <w:szCs w:val="14"/>
          <w:b w:val="1"/>
          <w:bCs w:val="1"/>
          <w:color w:val="auto"/>
        </w:rPr>
        <w:t>PART II — INFORMATION NOT REQUIRED IN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182" w:lineRule="exact"/>
        <w:rPr>
          <w:sz w:val="20"/>
          <w:szCs w:val="20"/>
          <w:color w:val="auto"/>
        </w:rPr>
      </w:pPr>
    </w:p>
    <w:p>
      <w:pPr>
        <w:ind w:firstLine="512"/>
        <w:spacing w:after="0" w:line="289" w:lineRule="auto"/>
        <w:rPr>
          <w:sz w:val="20"/>
          <w:szCs w:val="20"/>
          <w:color w:val="auto"/>
        </w:rPr>
      </w:pPr>
      <w:r>
        <w:rPr>
          <w:rFonts w:ascii="Times New Roman" w:cs="Times New Roman" w:eastAsia="Times New Roman" w:hAnsi="Times New Roman"/>
          <w:sz w:val="14"/>
          <w:szCs w:val="14"/>
          <w:color w:val="auto"/>
        </w:rPr>
        <w:t>The following table sets forth the various expenses expected to be incurred in connection with the sale and distribution of the securities being registered hereby, other than underwriting discounts and commissions, all of which will be borne by the Company.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1,072.92</w:t>
            </w:r>
          </w:p>
        </w:tc>
      </w:tr>
      <w:tr>
        <w:trPr>
          <w:trHeight w:val="171"/>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6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50,000.00*</w:t>
            </w:r>
          </w:p>
        </w:tc>
      </w:tr>
      <w:tr>
        <w:trPr>
          <w:trHeight w:val="171"/>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w:t>
            </w:r>
          </w:p>
        </w:tc>
      </w:tr>
      <w:tr>
        <w:trPr>
          <w:trHeight w:val="181"/>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6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20,000.00*</w:t>
            </w:r>
          </w:p>
        </w:tc>
      </w:tr>
      <w:tr>
        <w:trPr>
          <w:trHeight w:val="172"/>
        </w:trPr>
        <w:tc>
          <w:tcPr>
            <w:tcW w:w="9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680" w:type="dxa"/>
            <w:vAlign w:val="bottom"/>
            <w:tcBorders>
              <w:top w:val="single" w:sz="8" w:color="auto"/>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121,072.92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r>
      <w:tr>
        <w:trPr>
          <w:trHeight w:val="20"/>
        </w:trPr>
        <w:tc>
          <w:tcPr>
            <w:tcW w:w="9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ind w:left="260" w:hanging="255"/>
        <w:spacing w:after="0"/>
        <w:tabs>
          <w:tab w:leader="none" w:pos="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estimates and accordingly are subject to change.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182"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45"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19" w:lineRule="exact"/>
        <w:rPr>
          <w:sz w:val="20"/>
          <w:szCs w:val="20"/>
          <w:color w:val="auto"/>
        </w:rPr>
      </w:pPr>
    </w:p>
    <w:p>
      <w:pPr>
        <w:jc w:val="both"/>
        <w:ind w:firstLine="512"/>
        <w:spacing w:after="0" w:line="259" w:lineRule="auto"/>
        <w:rPr>
          <w:sz w:val="20"/>
          <w:szCs w:val="20"/>
          <w:color w:val="auto"/>
        </w:rPr>
      </w:pPr>
      <w:r>
        <w:rPr>
          <w:rFonts w:ascii="Times New Roman" w:cs="Times New Roman" w:eastAsia="Times New Roman" w:hAnsi="Times New Roman"/>
          <w:sz w:val="14"/>
          <w:szCs w:val="14"/>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55" w:name="page156"/>
    <w:bookmarkEnd w:id="155"/>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40"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Additionally, our Charter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the DGCL and the Bylaws.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list sets forth information as to all of our securities sold in the last three years that were not registered under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PIPE Investments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Sage Hill PIPE Subscription Agreement and Sage Hill Warrant</w:t>
      </w:r>
    </w:p>
    <w:p>
      <w:pPr>
        <w:spacing w:after="0" w:line="182"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On December 18, 2023, the Company entered into a subscription agreement (the “Sage Hill PIPE Subscription Agreement”) with Sage Hill Investors, LLC (“Sage Hill”), pursuant to which Sage Hill agreed to purchase, in a private placement that closed substantially concurrently with the Closing, 150,000 shares of Class A Common Stock in cash at a price of $100.00 per share for an aggregate purchase price of $15,000,000, on the terms and subject to the conditions set forth in the Sage Hill PIPE Subscription Agreement. Pursuant to the Sage Hill Subscription Agreement, Chavant agreed to issue additional shares of Class A Common Stock to Sage Hill in the event that the volume weighted average price per share of the Class A Common Stock during the 30-day period (the “Adjustment Period”) commencing on the date that is 30 days after the date on which a resale registration statement is declared effective (the “Adjustment Period VWAP”) is less than $100.00 per share. In such case, Sage will be entitled to receive a number of shares of Class A Common Stock equal to the product of (x) the number of shares of Class A Common Stock issued to Sage Hill at the closing of the subscription and held by Sage Hill through the end of the Adjustment Period multiplied by (y) a fraction, (A) the numerator of which is $100.00 minus the Adjustment Period VWAP and (B) the denominator of which is the Adjustment Period VWAP (the “Make-Whole Shares”). In the event that the Adjustment Period VWAP is less than $70.00, the Adjustment Period VWAP will be deemed to be $70.00.</w:t>
      </w:r>
    </w:p>
    <w:p>
      <w:pPr>
        <w:spacing w:after="0" w:line="15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In connection with the execution of the Sage Hill PIPE Subscription Agreement, Mobix Labs issued to Sage Hill a warrant to purchase 150,000 shares of Mobix Labs Stock at an exercise price of $0.10 per share, exercisable upon the closing of the Sage Hill PIPE Subscription Agreement and stockholder approval (the “Sage Hill Warrant”). Our stockholders approved the exercise of the Sage Hill Warrant at the special meeting held on January 3, 2025 and was exercised on February 25, 2025.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i w:val="1"/>
          <w:iCs w:val="1"/>
          <w:color w:val="auto"/>
        </w:rPr>
        <w:t>Sponsor PIPE Subscription Agreement, Sponsor Warrant and Sponsor Letter Agreement</w:t>
      </w:r>
    </w:p>
    <w:p>
      <w:pPr>
        <w:spacing w:after="0" w:line="182" w:lineRule="exact"/>
        <w:rPr>
          <w:sz w:val="20"/>
          <w:szCs w:val="20"/>
          <w:color w:val="auto"/>
        </w:rPr>
      </w:pPr>
    </w:p>
    <w:p>
      <w:pPr>
        <w:jc w:val="both"/>
        <w:ind w:firstLine="512"/>
        <w:spacing w:after="0" w:line="259" w:lineRule="auto"/>
        <w:rPr>
          <w:sz w:val="20"/>
          <w:szCs w:val="20"/>
          <w:color w:val="auto"/>
        </w:rPr>
      </w:pPr>
      <w:r>
        <w:rPr>
          <w:rFonts w:ascii="Times New Roman" w:cs="Times New Roman" w:eastAsia="Times New Roman" w:hAnsi="Times New Roman"/>
          <w:sz w:val="14"/>
          <w:szCs w:val="14"/>
          <w:color w:val="auto"/>
        </w:rPr>
        <w:t>On December 19, 2023, Chavant entered into the subscription agreement (the “Sponsor PIPE Subscription Agreement”) with the Sponsor pursuant to which the Sponsor agreed to purchase, in a private placement that closed substantially concurrently with the Closing, 19,973 shares of Class A Common Stock at a price of $100.00 per share for an aggregate purchase price of $1,997,370 paid through the forgiveness of the Forgiven Chavant Obligations (as defined below), on the terms and subject to the conditions set forth in the Sponsor PIPE Subscription Agreement and the Sponsor Letter Agreement described below. Pursuant to the Sponsor PIPE Subscription Agreement, Chavant agreed to issue additional shares of Class A Common Stock to the Sponsor or its permitted transferees in the event that the Adjustment Period VWAP during the Adjustment Period is less than $100.00 per share. In such case, the Sponsor or its permitted transferees will be entitled to receive a number of shares equal to the product of (x) the number of issued to the Sponsor at the closing of the subscription and held by the Sponsor or its permitted transferees through the end of the Adjustment Period multiplied by (y) a fraction, (A) the numerator of which is $100.00 minus the Adjustment Period VWAP and (B) the denominator of which is the Adjustment Period VWAP (the “Make-Whole Shares”). In the event that the Adjustment Period VWAP is less than $70.00, the Adjustment Period VWAP will be deemed to be $70.00.</w:t>
      </w:r>
    </w:p>
    <w:p>
      <w:pPr>
        <w:spacing w:after="0" w:line="147" w:lineRule="exact"/>
        <w:rPr>
          <w:sz w:val="20"/>
          <w:szCs w:val="20"/>
          <w:color w:val="auto"/>
        </w:rPr>
      </w:pPr>
    </w:p>
    <w:p>
      <w:pPr>
        <w:jc w:val="both"/>
        <w:ind w:firstLine="512"/>
        <w:spacing w:after="0" w:line="269" w:lineRule="auto"/>
        <w:rPr>
          <w:sz w:val="20"/>
          <w:szCs w:val="20"/>
          <w:color w:val="auto"/>
        </w:rPr>
      </w:pPr>
      <w:r>
        <w:rPr>
          <w:rFonts w:ascii="Times New Roman" w:cs="Times New Roman" w:eastAsia="Times New Roman" w:hAnsi="Times New Roman"/>
          <w:sz w:val="14"/>
          <w:szCs w:val="14"/>
          <w:color w:val="auto"/>
        </w:rPr>
        <w:t>In connection with the execution of the Sponsor PIPE Subscription Agreement, Mobix Labs issued to the Sponsor a warrant to purchase 27,245 shares of Mobix Labs Stock at an exercise price of $0.10 per share, exercisable upon the closing of the Sponsor PIPE Subscription Agreement (the “Sponsor Warrant”). The Sponsor Warrant was exercised at the closing of the Sponsor PIPE Subscription Agreement and, following net settlement into 27,218 shares of Mobix Labs Stock, converted into 27,218 shares of Class A Common Stock of the Company in connection with the Closing.</w:t>
      </w:r>
    </w:p>
    <w:p>
      <w:pPr>
        <w:spacing w:after="0" w:line="312" w:lineRule="exact"/>
        <w:rPr>
          <w:sz w:val="20"/>
          <w:szCs w:val="20"/>
          <w:color w:val="auto"/>
        </w:rPr>
      </w:pPr>
    </w:p>
    <w:p>
      <w:pPr>
        <w:jc w:val="both"/>
        <w:ind w:firstLine="512"/>
        <w:spacing w:after="0" w:line="259" w:lineRule="auto"/>
        <w:rPr>
          <w:sz w:val="20"/>
          <w:szCs w:val="20"/>
          <w:color w:val="auto"/>
        </w:rPr>
      </w:pPr>
      <w:r>
        <w:rPr>
          <w:rFonts w:ascii="Times New Roman" w:cs="Times New Roman" w:eastAsia="Times New Roman" w:hAnsi="Times New Roman"/>
          <w:sz w:val="14"/>
          <w:szCs w:val="14"/>
          <w:color w:val="auto"/>
        </w:rPr>
        <w:t>On December 20, 2023, Chavant also entered into a Sponsor Letter Agreement with the Sponsor (the “Sponsor Letter Agreement”). Pursuant to the Sponsor Letter Agreement, as consideration for the 19,973 shares issued pursuant to the Sponsor PIPE Subscription Agreement, the Sponsor agreed to forgive, effective upon the Closing, approximately $1,997,370 of aggregate outstanding obligations of Chavant owed to the Sponsor, consisting of (i) $1,150,000 aggregate principal amount of working capital loans outstanding under Chavant’s convertible promissory notes issued to the Sponsor, (ii) $610,000 aggregate principal amount of working capital loans outstanding under Chavant’s non-convertible promissory notes issued to the Sponsor (the accrued interest under which was forgiven), (iii) an estimated additional $40,000 in aggregate principal amount of working capital loans incurred to pay additional expenses in connection with the Closing, (iv) approximately $165,000 of outstanding reimbursement obligations owed to the Sponsor by Chavant for administrative services, as described above under the heading “</w:t>
      </w:r>
      <w:r>
        <w:rPr>
          <w:rFonts w:ascii="Times New Roman" w:cs="Times New Roman" w:eastAsia="Times New Roman" w:hAnsi="Times New Roman"/>
          <w:sz w:val="14"/>
          <w:szCs w:val="14"/>
          <w:i w:val="1"/>
          <w:iCs w:val="1"/>
          <w:color w:val="auto"/>
        </w:rPr>
        <w:t>Certain Chavant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Relationships and Related Person Transactions - Administrative Services</w:t>
      </w:r>
      <w:r>
        <w:rPr>
          <w:rFonts w:ascii="Times New Roman" w:cs="Times New Roman" w:eastAsia="Times New Roman" w:hAnsi="Times New Roman"/>
          <w:sz w:val="14"/>
          <w:szCs w:val="14"/>
          <w:color w:val="auto"/>
        </w:rPr>
        <w:t>” and (v) approximately $32,370 of reimbursement obligations owed to Dr. Jiong Ma, the Chief Executive Officer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Chavant, by Chavant for certain operating expenses of Chavant paid by Dr. Ma (collectively, the “Forgiven Chavant Obligations”).</w:t>
      </w:r>
    </w:p>
    <w:p>
      <w:pPr>
        <w:spacing w:after="0" w:line="147"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In addition, pursuant to the Sponsor Letter Agreement, the Sponsor agreed to forfeit (1) 65,863 Founder Shares that it held (“Sponsor Forfeited Founder Shares”) and (2) 40,000 Private Placement Warrants that it held (“Sponsor Forfeited Private Placement Warrants”), in each case upon the Closing.</w:t>
      </w:r>
    </w:p>
    <w:p>
      <w:pPr>
        <w:spacing w:after="0" w:line="124" w:lineRule="exact"/>
        <w:rPr>
          <w:sz w:val="20"/>
          <w:szCs w:val="20"/>
          <w:color w:val="auto"/>
        </w:rPr>
      </w:pPr>
    </w:p>
    <w:p>
      <w:pPr>
        <w:jc w:val="both"/>
        <w:ind w:firstLine="512"/>
        <w:spacing w:after="0" w:line="257" w:lineRule="auto"/>
        <w:rPr>
          <w:sz w:val="20"/>
          <w:szCs w:val="20"/>
          <w:color w:val="auto"/>
        </w:rPr>
      </w:pPr>
      <w:r>
        <w:rPr>
          <w:rFonts w:ascii="Times New Roman" w:cs="Times New Roman" w:eastAsia="Times New Roman" w:hAnsi="Times New Roman"/>
          <w:sz w:val="14"/>
          <w:szCs w:val="14"/>
          <w:color w:val="auto"/>
        </w:rPr>
        <w:t>The forfeiture of the Sponsor Forfeited Founder Shares reduced the number of Founder Shares held by the Sponsor, which are subject to the lock-up agreement applicable to the Founder Equityholders as set forth in the Amended and Restated Registration Rights and Lock-Up Agreement (the “Founder Share Lock-Up”), to 92,218 Founder Shares. The Sponsor has distributed these Founder Shares to its members, subject to the Founder Share Lock-Up. In such distributions, (1) Chavant Family Office, a controlled affiliate of Dr. Ma, received 72,460 representing Founder Shares, and (2) STAR SCI, a controlled affiliate of Dr. André-Jacques Auberton-Hervé, Chavant’s Chairman, received 19,758 representing Founder Shares. The forfeiture of the Sponsor Forfeited Private Placement Warrants reduced the number of Private Placement Warrants held by the Sponsor to 239,433 Private Placement Warrants. None of the Private Placement Warrants are subject to the Founder Share Lock-Up, and the Sponsor distributed these Private Placement Warrants to its members following the Closing. In such distribution, (i) Chavant Family Office, a controlled affiliate of Dr. Ma, received 124,155 Private Placement Warrants, and (ii) STAR SCI, a controlled affiliate of Dr. Auberton-Hervé, received 35,832 Private Placement Warrants. In addition, the shares of Class A Common Stock the Sponsor received upon the Closing pursuant to the Sponsor PIPE Subscription Agreement and the conversion of the Sponsor Warrant, as described above, are not subject to the Founder Share Lock-Up. The Sponsor distributed these PIPE Shares to its members in April 2024. In such distribution, (1) Chavant Family Office, a controlled affiliate of Dr. Ma, is expected to receive approximately 7,139 shares of Class A Common Stock (reflecting $140,000 of non-convertible debt that Dr. Ma had funded to the Sponsor in respect of working capital loans to Chavant, Dr. Ma’s pro rata share in the amount of approximately $130,000 of the outstanding reimbursement obligations owed to the Sponsor for administrative services, and the outstanding reimbursement obligations of $32,370 owed to Dr. Ma, as described above, each forgiven pursuant to the Sponsor Letter Agreement) and (2) STAR SCI, a controlled affiliate of Dr. Auberton-Hervé, is expected to receive approximately 34,338 shares of Class A Common Stock (reflecting $1.4 million of convertible and non-convertible debt that Dr. Auberton-Hervé had funded to the Sponsor in respect of working capital loans to Chavant and Dr. Auberton-Hervé’s pro rata share of the outstanding reimbursement obligations owed to the Sponsor for administrative services, each forgiven pursuant to the Sponsor Letter Agreement).</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i w:val="1"/>
          <w:iCs w:val="1"/>
          <w:color w:val="auto"/>
        </w:rPr>
        <w:t>Additional PIPE Subscription Agreements and Additional Warrants</w:t>
      </w:r>
    </w:p>
    <w:p>
      <w:pPr>
        <w:spacing w:after="0" w:line="182"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As of December 21, 2023, Chavant had entered into additional subscription agreements (the “Additional PIPE Subscription Agreements and, together with the Sage Hill PIPE Subscription Agreement and the Sponsor PIPE Subscription Agreement, the “PIPE Subscription Agreements”) with other investors (the “Other Investors”), pursuant to which the Other Investors agreed to purchase, in private placements that closed substantially concurrently with the Closing, a total of 47,500 shares of Class A Common Stock in cash at a price of $100.00 per share for an aggregate purchase price of $4,750,000, on the terms and subject to the conditions set forth in each such Additional PIPE Subscription Agreement. The terms of each Additional PIPE Subscription Agreement (other than the purchase amount) are substantially similar to those in the subscription agreement entered into between Chavant and Sage Hill and the Sponsor, including those relating to issuance of additional shares of Class A Common Stock in the event that the Adjustment Period VWAP is less than $100.00, as discussed above.</w:t>
      </w:r>
    </w:p>
    <w:p>
      <w:pPr>
        <w:spacing w:after="0" w:line="145"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In connection with the execution of the Additional PIPE Subscription Agreements, Mobix Labs issued to the Other Investors warrants to purchase 45,000 shares of Mobix Labs Stock at an exercise price of $0.10 per share (the “Additional Warrants”), of which Additional Warrants convertible into 19,980 shares of Class A Common Stock (following net settlement) were exercisable upon the closing of the Additional PIPE Subscription Agreements (the “Converted Additional Warrants”) and Additional Warrants convertible into 25,000 shares of Class A Common Stock are exercisable upon the closing of the Additional PIPE Subscription Agreements and stockholder approval (the “Non-Converted Additional Warrants”; the shares of Class A Common Stock underlying the Non-Converted Additional Warrants and the Sage Hill Warrant, the “Unregistered Warrant Shares”). The Converted Additional Warrants were exercised at the closing of the Additional PIPE Subscription Agreements and, following net settlement into 19,980 shares of Mobix Common Stock, converted into 19,980 shares of Class A Common Stock in connection with the Closing. The Non-Converted Warrants remain outstanding, and stockholder approval for the exercise of the Non-Converted Warrants is expected to be obtained in 2024.</w:t>
      </w:r>
    </w:p>
    <w:p>
      <w:pPr>
        <w:spacing w:after="0" w:line="145"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The Company issued, or will issue, the foregoing securities under Section 4(a)(2) of the Securities Act of 1933, as amended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the Company’s transfer agent). The parties also had adequate access, through business or other relationships, to information about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Under the Committed Equity Facility</w:t>
      </w:r>
    </w:p>
    <w:p>
      <w:pPr>
        <w:spacing w:after="0" w:line="184"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On March 18, 2024, we entered into the B. Riley Purchase Agreement with B. Riley Principal Capital, pursuant to which we have the right to sell to B. Riley Principal Capital up to $100 million in shares of Class A Common Stock, subject to certain limitations and the satisfaction of specified conditions in the B. Riley Purchase Agreement, from time to time over the 24-month period commencing on the date that a registration statement covering the resale of the shares is declared effective by the SEC. Such registration statement, which registered 950,000 shares of Class A Common Stock, became effective on May 13, 2024. As of the date of this prospectus, we sold 3,636 shares of our Class A Common Stock to B. Riley Principal Capital for proceeds of $73, net of discounts. We intend to use the net proceeds for general corporate purposes, including funding capital expenditures, future acquisitions and working capital. The issuance of the shares was deemed to be exempt from registration under the Securities Act, in reliance on Section 4(a)(2) of the Securities Act as transactions by an issuer not involving a public offering.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 of RaGE Systems Inc.</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May 21, 2024, we consummated the transactions pursuant to the RaGE Business Combination Agreement.</w:t>
      </w:r>
    </w:p>
    <w:p>
      <w:pPr>
        <w:spacing w:after="0" w:line="180"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Pursuant to the RaGE Business Combination Agreement, we issued 321,404 shares of Class A Common Stock to the RaGE Systems stockholders. In addition, RaGE Systems stockholders will be paid an aggregate cash amount of $2.0 million as follows: (a) $0.2 million was paid on May 21, 2024; (b) $1.0 million will be paid on November 15, 2024 and (c) $0.8 million will be paid on April 15, 2025. Moreover, subject to achievement of certain milestones, the RaGE Systems stockholders will also be entitled to receive the RaGE EarnOut of up to $8.0 million over eight fiscal quarters in a combination of cash and stock.</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June 2, 2026, we issued 464,952 earnout shares shares in connection with our acquisition of RaGE Systems.</w:t>
      </w:r>
    </w:p>
    <w:p>
      <w:pPr>
        <w:spacing w:after="0" w:line="18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Class A Shares will be issued pursuant to and in accordance with the exemption from registration under the Securities Act of 1933, as amended, provided by Section 4(a)(2) thereof as a transaction by an issuer not involving any public offering.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Shares under Confidential Settlement and Release Agreement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June 4, 2024, we entered into a Confidential Settlement and Release Agreement pursuant to which we issued 2,499 shares of Class A Common Stock to a former employee.</w:t>
      </w:r>
    </w:p>
    <w:p>
      <w:pPr>
        <w:spacing w:after="0" w:line="18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Class A Shares were issued pursuant to and in accordance with the exemption from registration under the Securities Act of 1933, as amended, provided by Section 4(a)(2) thereof as a transaction by an issuer not involving any public offering.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Shares under the July 2024 Purchase Agreement</w:t>
      </w:r>
    </w:p>
    <w:p>
      <w:pPr>
        <w:spacing w:after="0" w:line="184"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On July 22, 2024, we entered into the July 2024 Purchase Agreement with Master Fund in connection with the 2024 Private Placement. Pursuant to the July 2024 Purchase Agreement, we issued the Pre-Funded Warrant to purchase up to 287,769 shares of Class A Common Stock. We also issued the Existing Warrants to purchase an aggregate of 575,539 shares of our Class A Common Stock. In August 2024, the Master Fund exercised the Pre-Funded Warrant in full and hence has now expired. The Existing Warrants had an original exercise price of $13.90 per share, which was amended in the 2025 Offering to have a new exercise price of $8.20. The Existing Warrants are exercisable beginning on the effective date of stockholder approval of the issuance of the shares of Class A Common Stock issuable upon exercise of the Existing Warrants. The gross proceeds in connection with the 2024 Private Placement was approximately $4 million. The Pre-Funded Warrants and the Existing Warrants and the shares of Class A Common Stock issuable thereunder were issued in reliance upon the exemption from the registration requirements in Section 4(a)(2) of the Securities Act, and Regulation D promulgated thereunder and HCW acted as the exclusive placement agent for the Company in connection with the 2024 Private Placement.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Shares under the Stock Purchase Agreement</w:t>
      </w:r>
    </w:p>
    <w:p>
      <w:pPr>
        <w:spacing w:after="0" w:line="18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Effective August 30, 2024, we entered into a Stock Purchase Agreement with an unaffiliated investor, pursuant to which we sold 37,641 share of our Class A Common Stock and issued the investor a warrant to purchase up to 40,700 shares of our Class A Common Stock. The warrant has an exercise price of $11.80, is immediately exercisable upon issuance, and has a five year term. The gross proceeds in connection with this Stock Purchase Agreement were $192. The shares of our Class A Common Stock, the warrants and the shares of Class A Common Stock issuable thereunder were issued in reliance upon the exemption from the registration requirements in Section 4(a)(2) of the Securities Act, and Regulation D promulgated thereunder.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69" w:right="319" w:bottom="1440" w:gutter="0" w:footer="0" w:header="0"/>
        </w:sectPr>
      </w:pPr>
    </w:p>
    <w:bookmarkStart w:id="159" w:name="page160"/>
    <w:bookmarkEnd w:id="159"/>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In connection with the settlement of litigation, on October 11, 2024, we agreed to issue a warrant to purchase 25,000 shares of Class A Common Stock to a former employee. Such warrants have an exercise price of $0.10 per share.</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November 25, 2024 and December 20, 2024, we agreed that two outstanding notes payable with an aggregate principal balance of $500,000, plus accrued interest of $45,896, would be converted into an aggregate of 631,805 shares of Class A Common Stock.</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December 4, 2024, we agreed to issue 4,000 shares of Class A Common Stock to two of our vendors in exchange for services rendered to us.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December 26, 2024, we agreed to sell 52,173 shares of Class A Common Stock to an accredited investor for an aggregate of $600,000.</w:t>
      </w:r>
    </w:p>
    <w:p>
      <w:pPr>
        <w:spacing w:after="0" w:line="18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January 1, 2025, we issued 24,818 shares of Class A Common Stock to one of the holders of our outstanding warrants upon that holder’s exercise pursuant to a cashless exercise provision. The warrant had an exercise price of $0.10 per share.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January 1, 2025, we issued 56,310 shares of Class A Common Stock to RaGE Systems stockholders under the first tranche of the RaGE Earnout.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January 2, 2025, we issued 1,000 shares of Class A Common Stock upon the vesting of RSUs.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February 6, 2025, we issued 150,000 shares of Class A Common Stock to one of the holders of our outstanding warrants upon the exercise of warrant for cash of $15,000.</w:t>
      </w:r>
    </w:p>
    <w:p>
      <w:pPr>
        <w:spacing w:after="0" w:line="18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issued an aggregate of 61,058 shares of Class A Common Stock, with (i) 7,723 shares issued on January 25, 2025, (ii) 3,335 shares issued on March 17, 2025, and (iii) 50,000 shares issued on March 21, 2025, to three of our vendors in settlement of unpaid accounts payable of $700,000.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 of shares under the April 2025 Offering</w:t>
      </w:r>
    </w:p>
    <w:p>
      <w:pPr>
        <w:spacing w:after="0" w:line="184"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In April 2025, concurrent with the Registered Direct Offering, the Company conducted a private placement and offered unregistered Common Warrants to purchase up to 487,686 shares of Company’s Class A Common Stock. Roth acted as the exclusive placement agent for the Company in connection with the 2025 Offering. Furthermore, the Company agreed to issue Placement Agent Warrants to Roth (or its designees) to purchase up to 68,276 shares of Class A Common Stock at an exercise price of $8.20. The Placement Agent Warrants issued to Roth are exercisable upon receipt of stockholder approval, will expire on April 4, 2030, and are not transferable for 180 days beginning April 4, 2025 (the date of entering into the April 2025 Purchase Agreement). The net proceeds from the 2025 Offering were $3.2 million, after payment of Roth’s fees and expenses.</w:t>
      </w:r>
    </w:p>
    <w:p>
      <w:pPr>
        <w:spacing w:after="0" w:line="14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Common Warrants and Placement Agent Warrants issued to Roth and the shares of Class A Common Stock issuable thereunder were issued in reliance upon the exemption from the registration requirements provided in Section 4(a)(2) under the Securities Act and Rule 506(b) promulgated thereunder.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April 2025 Warrant Exercise</w:t>
      </w:r>
    </w:p>
    <w:p>
      <w:pPr>
        <w:spacing w:after="0" w:line="184"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On April 1, 2025, we issued 29,700 shares of Class A Common Stock to one of the holders of our outstanding warrants upon that holder’s exercise pursuant to a cashless exercise provision. The warrant had an exercise price of $0.10 per share. No underwriting discounts and commissions were paid with respect to the foregoing transaction. We believe the sales and issuances of the above securities were exempt from registration under the Securities Act by virtue of Section 3(a)(9) of the Securities Act because the warrants were exercised pursuant to a cashless exercise.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April 2025 Debt Exchange</w:t>
      </w:r>
    </w:p>
    <w:p>
      <w:pPr>
        <w:spacing w:after="0" w:line="18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April 10, 2025, we issued 16,687 shares of Class A Common Stock to one of our creditors in exchange for satisfaction of the Company’s debt owed to such creditor in the amount of $115,500. On May 9, 2025, we issued 7,970 shares of Class A Common Stock to RaGE Systems stockholders as partial settlement of liability under the RaGE Earnout.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160" w:name="page161"/>
    <w:bookmarkEnd w:id="160"/>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No underwriting discounts and commissions were paid with respect to the foregoing transactions. We believe the sales and issuances of the above securities were exempt from registration under the Securities Act by virtue of Section 4(a)(2) of the Securities Act or Regulation D promulgated thereunder because the issuance of securities to the recipients did not involve a public offering, or in reliance on Rule 701 because the transactions were pursuant to compensatory benefit plans or contracts relating to compensation as provided under such rule.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Second Half of 2025 Financings</w:t>
      </w:r>
    </w:p>
    <w:p>
      <w:pPr>
        <w:spacing w:after="0" w:line="184"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On August 13, 2025, we entered into a Securities Purchase Agreement with Lendspark Corporation, pursuant to which it issued a secured promissory note (the “Lendspark Note”) in the principal amount of $550,000. The Note bears a fixed annual interest rate and matures 12 months from issuance. As part of the financing, the Company issued 15,000 shares of Class A Common Stock as commitment shares, granted customary registration rights, and provided a first-priority security interest in substantially all of our assets, subject to permitted liens. The Note is convertible at the option of Lendspark, into up to 250,000 shares of our Class A Common Stock at a fixed conversion price of $7.00 per share. In addition, the Note contains “make-whole” provisions that require us to issue a limited number of additional shares or make cash payments under certain circumstances.</w:t>
      </w:r>
    </w:p>
    <w:p>
      <w:pPr>
        <w:spacing w:after="0" w:line="14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On August 13, 2025, we also entered into a Business Loan and Security Agreement with Maximcash Solutions LLC (“Maxim”), pursuant to which the Company received $600,000 of loan proceeds secured by all of our assets. In connection with this financing, we issued 19,375 shares of Class A Common Stock as commitment shares and issued 150,000 shares of Class A Common Stock to Maxim which were pledged as additional collateral, which may only be utilized by Maxim in the event of default. Maxim was also granted customary registration rights.</w:t>
      </w:r>
    </w:p>
    <w:p>
      <w:pPr>
        <w:spacing w:after="0" w:line="135"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Additionally, on August 15, 2025, we entered into a Stock Purchase Agreement with an accredited investor for the sale of 105,272 shares of Class A Common Stock at a price of $9.50 per share, resulting in gross proceeds of approximately $1.0 million. The investor also received a warrant to purchase 50,004 shares of Class A Common Stock at $9.60 per share, which is exercisable for three years.</w:t>
      </w:r>
    </w:p>
    <w:p>
      <w:pPr>
        <w:spacing w:after="0" w:line="135"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On September 3, 2025, we entered into the Inducement Letter with a warrant holder pursuant to which the holder agreed to exercise for cash previously issued warrants to purchase up to 548,646 shares of our common stock at a price of $8.20 per share, resulting in gross proceeds of approximately $4.5 million. In consideration for the exercise, the holder received inducement warrants to purchase up to 822,970 shares of our common stock at $10.80 per share, which are exercisable for five years following stockholder approval. Roth Capital Partners acted as our financial advisor and received a cash placement fee equal to 7.0% of the gross proceeds, as well as warrants to purchase up to 38,405 shares of our common stock at $10.80 per share.</w:t>
      </w:r>
    </w:p>
    <w:p>
      <w:pPr>
        <w:spacing w:after="0" w:line="14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Additionally, on October 24, 2025, we issued an additional warrant to purchase 100,000 shares of Class A Common Stock to the Master Fund as consideration for revising certain terms of the Armistice Warrants.</w:t>
      </w:r>
    </w:p>
    <w:p>
      <w:pPr>
        <w:spacing w:after="0" w:line="12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From October 15, 2025 through October 23, 2025, we issued an aggregate of 116,284 shares of Class A Common Stock to three of our creditors in exchange for satisfaction of the Company’s debt owed to such creditors in the aggregate amount of $916 thousand.</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November 7, 2025, we issued 35,000 shares of Class A Common Stock to an accredited investor in exchange for advisory services.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Additionally, on December 15, 2025, we issued 2,500 shares of Class A Common Stock in connection with the settlement of litigation.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Financings</w:t>
      </w:r>
    </w:p>
    <w:p>
      <w:pPr>
        <w:spacing w:after="0" w:line="18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March 13, 2026, we issued an aggregate of 206,876 shares of Class A Common Stock to three of our creditors in exchange for satisfaction of the Company’s debt owed to such creditors in the aggregate amount of $3 million.</w:t>
      </w:r>
    </w:p>
    <w:p>
      <w:pPr>
        <w:spacing w:after="0" w:line="124"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Between February 23, 2026 and March 16, 2026, we entered into two securities purchase agreements providing for the issuance of convertible notes. The agreements were entered into on February 23, 2026 and March 16, 2026, respectively, and provided for bridge promissory notes with an aggregate principal amount of $554 thousand, aggregate original issue discount of $72 thousand, aggregate purchase price of $482 thousand, and one-time interest charges of 12%. These bridge notes mature on December 30, 2026 and January 15, 2027, respectively, and require aggregate scheduled payments of $621 thousand. The promissory notes are convertible into shares of our Class A Common Stock at the election of the holder at a conversion price equal to 75% multiplied by the lowest trading price of the Class A Common Stock during the 10 trading days prior to the conversion date.</w:t>
      </w:r>
    </w:p>
    <w:p>
      <w:pPr>
        <w:spacing w:after="0" w:line="14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On March 31, 2026, we entered into a securities purchase agreement (the “Securities Purchase Agreement”) with Leviston Resources, LLC (“Leviston”), pursuant to which we agreed to issue a convertible promissory note (the “Promissory Note”). The $3 million principal amount of the Promissory Note will be payable with interest in July 2026. We intend to use the net proceeds from the sale of the Promissory Note for working capital and general corporate purposes. The Promissory Note bears an interest rate of 10% per annum. The Promissory Note is convertible into shares of our Class A Common Stock at the election of Leviston at a Conversion Price that is the lesser of (i) the closing price on March 31, 2026, which was $3.34 and (ii) 85% of the lowest 8-day VWAP immediately prior to and including the date of the notice of conversion.</w:t>
      </w:r>
    </w:p>
    <w:p>
      <w:pPr>
        <w:spacing w:after="0" w:line="14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May 13, 2026, we issued 488,506 shares of Class A Common Stock to Rocket in exchange for satisfaction of a portion of the debt owed to them in the amount of $850 thousand. On June 8, 2026 we issued 344,431 shares to Rocket in satisfaction of the remaining debt owed to them in the amount of $779 thousand.</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June 5, 2026, we entered into a final exchange and release agreement with Fuji West Funding, LLC, pursuant to which issued 375,005 shares of Class A Common Stock.</w:t>
      </w:r>
    </w:p>
    <w:p>
      <w:pPr>
        <w:spacing w:after="0" w:line="18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 xml:space="preserve">On May 13, 2026, we entered into the Investor Rights Agreement that grants Leviston the right, but not the obligation, to acquire, over a seven-month period, additional secured convertible notes of up to $4 million in aggregate principal amount on terms substantially similar to the Promissory Note and secured on a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basis.</w:t>
      </w:r>
    </w:p>
    <w:p>
      <w:pPr>
        <w:spacing w:after="0" w:line="12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Between May 12, 2026 and May 18, 2026, Leviston converted the entire $4,000 of outstanding principal under the Promissory Note, as amended, together with all accrued interest thereon, into an aggregate of 2,500,000 shares of Class A Common Stock, satisfying the Promissory Note in full. The issuance of the shares of Class A Common Stock was exempt from registration under Section 3(a)(9) of the Securities Act. Any shares issuable pursuant to the Investor Rights Agreement upon conversion of additional secured convertible notes will be effected in reliance upon Section 3(a)(9) of the Securities Act.</w:t>
      </w:r>
    </w:p>
    <w:p>
      <w:pPr>
        <w:spacing w:after="0" w:line="140"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On May 19, 2026, we entered into a Securities Purchase Agreement with Kips (the “May 2026 Purchase Agreement”), pursuant to which we agreed to sell to Kips (i) 2,000 shares of Series A Preferred Stock for aggregate gross proceeds of $2,400 and (ii) the Preferred Warrant to purchase up to an additional 6,000 Preferred Shares at an exercise price of $1,000.00 per share. Dividends are payable in cash, or at our option, in additional shares of Series A Preferred Stock. The Preferred Shares are convertible into shares of our Class A Common Stock at a conversion price equal to 82% of the lowest 8-day VWAP of the Class A Common Stock, immediately prior to and including the conversion date, subject to adjustments provided in the Certificate of Designation of Preferences, Rights and Limitations of Series A 10% Convertible Preferred Stock, including for stock dividends, stock splits, subsequent equity sales and similar events. The Preferred Warrant is exercisable beginning May 19, 2026 and expires no later than twelve months thereafter. In connection with the transaction, on May 19, 2026, we also entered into a registration rights agreement, as amended on June 18, 2026, with Kips (the “May 2026 Registration Rights Agreement”) pursuant to which we agreed to register the resale of shares of Class A Common Stock issuable upon conversion of the Preferred Shares. We agreed to issue $600,000 of shares of Class A Common Stock (or 294,117 shares) to Kips as consideration for extending the filing deadlines in the May 2026 Registration Rights Agreement.</w:t>
      </w:r>
    </w:p>
    <w:p>
      <w:pPr>
        <w:spacing w:after="0" w:line="150" w:lineRule="exact"/>
        <w:rPr>
          <w:sz w:val="20"/>
          <w:szCs w:val="20"/>
          <w:color w:val="auto"/>
        </w:rPr>
      </w:pPr>
    </w:p>
    <w:p>
      <w:pPr>
        <w:jc w:val="both"/>
        <w:ind w:firstLine="512"/>
        <w:spacing w:after="0" w:line="282" w:lineRule="auto"/>
        <w:rPr>
          <w:sz w:val="20"/>
          <w:szCs w:val="20"/>
          <w:color w:val="auto"/>
        </w:rPr>
      </w:pPr>
      <w:r>
        <w:rPr>
          <w:rFonts w:ascii="Times New Roman" w:cs="Times New Roman" w:eastAsia="Times New Roman" w:hAnsi="Times New Roman"/>
          <w:sz w:val="14"/>
          <w:szCs w:val="14"/>
          <w:color w:val="auto"/>
        </w:rPr>
        <w:t>No underwriting discounts and commissions were paid with respect to the foregoing transactions. We believe the sales and issuances of the above securities were exempt from registration under the Securities Act by virtue of Section 4(a)(2) of the Securities Act or Regulation D promulgated thereunder because the issuance of securities to the recipients did not involve a public offering.</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Settlement of Litigation</w:t>
      </w:r>
    </w:p>
    <w:p>
      <w:pPr>
        <w:spacing w:after="0" w:line="184"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On June 5, 2026, we entered into a settlement agreement and mutual release pursuant to which we issued 49,702 shares to Green Flash Media LLC and 21,565 shares to Wolff Moscaro LLP in connection with the settlement of litigation.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The financial statements filed as part of this registration statement are listed in the index to the financial statements immediately preceding such financial statements, which index to the financial statements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r>
        <w:rPr>
          <w:rFonts w:ascii="Times New Roman" w:cs="Times New Roman" w:eastAsia="Times New Roman" w:hAnsi="Times New Roman"/>
          <w:sz w:val="14"/>
          <w:szCs w:val="14"/>
          <w:b w:val="1"/>
          <w:bCs w:val="1"/>
          <w:color w:val="auto"/>
        </w:rPr>
        <w:t xml:space="preserve">  Description</w:t>
      </w:r>
    </w:p>
    <w:p>
      <w:pPr>
        <w:spacing w:after="0" w:line="10" w:lineRule="exact"/>
        <w:rPr>
          <w:sz w:val="20"/>
          <w:szCs w:val="20"/>
          <w:color w:val="auto"/>
        </w:rPr>
      </w:pPr>
    </w:p>
    <w:p>
      <w:pPr>
        <w:jc w:val="both"/>
        <w:ind w:left="620" w:hanging="607"/>
        <w:spacing w:after="0" w:line="262"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2.1†</w:t>
      </w:r>
      <w:r>
        <w:rPr>
          <w:sz w:val="20"/>
          <w:szCs w:val="20"/>
          <w:color w:val="auto"/>
        </w:rPr>
        <w:tab/>
      </w:r>
      <w:hyperlink r:id="rId181">
        <w:r>
          <w:rPr>
            <w:rFonts w:ascii="Times New Roman" w:cs="Times New Roman" w:eastAsia="Times New Roman" w:hAnsi="Times New Roman"/>
            <w:sz w:val="14"/>
            <w:szCs w:val="14"/>
            <w:u w:val="single" w:color="auto"/>
            <w:color w:val="0000EE"/>
          </w:rPr>
          <w:t>Business Combination Agreement, dated as of November 15, 2022, by and among Chavant, Merger Sub and Mobix Labs, Inc. (included as Annex A-1 to the proxy statement/prospectus,</w:t>
        </w:r>
      </w:hyperlink>
      <w:r>
        <w:rPr>
          <w:rFonts w:ascii="Times New Roman" w:cs="Times New Roman" w:eastAsia="Times New Roman" w:hAnsi="Times New Roman"/>
          <w:sz w:val="14"/>
          <w:szCs w:val="14"/>
          <w:u w:val="single" w:color="auto"/>
          <w:color w:val="0000EE"/>
        </w:rPr>
        <w:t xml:space="preserve"> </w:t>
      </w:r>
      <w:hyperlink r:id="rId181">
        <w:r>
          <w:rPr>
            <w:rFonts w:ascii="Times New Roman" w:cs="Times New Roman" w:eastAsia="Times New Roman" w:hAnsi="Times New Roman"/>
            <w:sz w:val="14"/>
            <w:szCs w:val="14"/>
            <w:u w:val="single" w:color="auto"/>
            <w:color w:val="0000EE"/>
          </w:rPr>
          <w:t>which is a part of the Company’s Registration Statement on Form S-4 filed on November 13, 2023,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-222250</wp:posOffset>
            </wp:positionV>
            <wp:extent cx="677481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6774815" cy="6985"/>
                    </a:xfrm>
                    <a:prstGeom prst="rect">
                      <a:avLst/>
                    </a:prstGeom>
                    <a:noFill/>
                  </pic:spPr>
                </pic:pic>
              </a:graphicData>
            </a:graphic>
          </wp:anchor>
        </w:drawing>
      </w:r>
    </w:p>
    <w:p>
      <w:pPr>
        <w:jc w:val="both"/>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2.2</w:t>
      </w:r>
      <w:r>
        <w:rPr>
          <w:sz w:val="20"/>
          <w:szCs w:val="20"/>
          <w:color w:val="auto"/>
        </w:rPr>
        <w:tab/>
      </w:r>
      <w:hyperlink r:id="rId183">
        <w:r>
          <w:rPr>
            <w:rFonts w:ascii="Times New Roman" w:cs="Times New Roman" w:eastAsia="Times New Roman" w:hAnsi="Times New Roman"/>
            <w:sz w:val="14"/>
            <w:szCs w:val="14"/>
            <w:u w:val="single" w:color="auto"/>
            <w:color w:val="0000EE"/>
          </w:rPr>
          <w:t>Amendment No. 1 to the Business Combination Agreement, dated as of April 7, 2023, by and among Chavant, Merger Sub and Mobix Labs, Inc. (included as Annex A-2 to the proxy</w:t>
        </w:r>
      </w:hyperlink>
      <w:r>
        <w:rPr>
          <w:rFonts w:ascii="Times New Roman" w:cs="Times New Roman" w:eastAsia="Times New Roman" w:hAnsi="Times New Roman"/>
          <w:sz w:val="14"/>
          <w:szCs w:val="14"/>
          <w:u w:val="single" w:color="auto"/>
          <w:color w:val="0000EE"/>
        </w:rPr>
        <w:t xml:space="preserve"> </w:t>
      </w:r>
      <w:hyperlink r:id="rId183">
        <w:r>
          <w:rPr>
            <w:rFonts w:ascii="Times New Roman" w:cs="Times New Roman" w:eastAsia="Times New Roman" w:hAnsi="Times New Roman"/>
            <w:sz w:val="14"/>
            <w:szCs w:val="14"/>
            <w:u w:val="single" w:color="auto"/>
            <w:color w:val="0000EE"/>
          </w:rPr>
          <w:t>statement/prospectus, which is a part of the Company’s Registration Statement on Form S-4 filed on November 13, 2023, and incorporated herein by reference).</w:t>
        </w:r>
      </w:hyperlink>
    </w:p>
    <w:p>
      <w:pPr>
        <w:spacing w:after="0" w:line="1" w:lineRule="exact"/>
        <w:rPr>
          <w:sz w:val="20"/>
          <w:szCs w:val="20"/>
          <w:color w:val="auto"/>
        </w:rPr>
      </w:pPr>
    </w:p>
    <w:p>
      <w:pPr>
        <w:jc w:val="both"/>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2.3</w:t>
      </w:r>
      <w:r>
        <w:rPr>
          <w:sz w:val="20"/>
          <w:szCs w:val="20"/>
          <w:color w:val="auto"/>
        </w:rPr>
        <w:tab/>
      </w:r>
      <w:hyperlink r:id="rId184">
        <w:r>
          <w:rPr>
            <w:rFonts w:ascii="Times New Roman" w:cs="Times New Roman" w:eastAsia="Times New Roman" w:hAnsi="Times New Roman"/>
            <w:sz w:val="14"/>
            <w:szCs w:val="14"/>
            <w:u w:val="single" w:color="auto"/>
            <w:color w:val="0000EE"/>
          </w:rPr>
          <w:t>Amendment No. 2 to the Business Combination Agreement, dated as of November 26, 2023, by and among Chavant, Merger Sub and Mobix Labs, Inc. (incorporated by reference to</w:t>
        </w:r>
      </w:hyperlink>
      <w:r>
        <w:rPr>
          <w:rFonts w:ascii="Times New Roman" w:cs="Times New Roman" w:eastAsia="Times New Roman" w:hAnsi="Times New Roman"/>
          <w:sz w:val="14"/>
          <w:szCs w:val="14"/>
          <w:u w:val="single" w:color="auto"/>
          <w:color w:val="0000EE"/>
        </w:rPr>
        <w:t xml:space="preserve"> </w:t>
      </w:r>
      <w:hyperlink r:id="rId184">
        <w:r>
          <w:rPr>
            <w:rFonts w:ascii="Times New Roman" w:cs="Times New Roman" w:eastAsia="Times New Roman" w:hAnsi="Times New Roman"/>
            <w:sz w:val="14"/>
            <w:szCs w:val="14"/>
            <w:u w:val="single" w:color="auto"/>
            <w:color w:val="0000EE"/>
          </w:rPr>
          <w:t>Exhibit 2.1 to Chavant’s Current Report on Form 8-K filed on November 30, 2023).</w:t>
        </w:r>
      </w:hyperlink>
    </w:p>
    <w:p>
      <w:pPr>
        <w:spacing w:after="0" w:line="1" w:lineRule="exact"/>
        <w:rPr>
          <w:sz w:val="20"/>
          <w:szCs w:val="20"/>
          <w:color w:val="auto"/>
        </w:rPr>
      </w:pPr>
    </w:p>
    <w:p>
      <w:pPr>
        <w:jc w:val="both"/>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2.4</w:t>
      </w:r>
      <w:r>
        <w:rPr>
          <w:sz w:val="20"/>
          <w:szCs w:val="20"/>
          <w:color w:val="auto"/>
        </w:rPr>
        <w:tab/>
      </w:r>
      <w:hyperlink r:id="rId185">
        <w:r>
          <w:rPr>
            <w:rFonts w:ascii="Times New Roman" w:cs="Times New Roman" w:eastAsia="Times New Roman" w:hAnsi="Times New Roman"/>
            <w:sz w:val="14"/>
            <w:szCs w:val="14"/>
            <w:u w:val="single" w:color="auto"/>
            <w:color w:val="0000EE"/>
          </w:rPr>
          <w:t>Amendment No. 3 to the Business Combination Agreement, dated as of February 12, 2024, by and among Mobix Labs, Inc. and Mobix Labs Operations, Inc. (incorporated by reference to</w:t>
        </w:r>
      </w:hyperlink>
      <w:r>
        <w:rPr>
          <w:rFonts w:ascii="Times New Roman" w:cs="Times New Roman" w:eastAsia="Times New Roman" w:hAnsi="Times New Roman"/>
          <w:sz w:val="14"/>
          <w:szCs w:val="14"/>
          <w:u w:val="single" w:color="auto"/>
          <w:color w:val="0000EE"/>
        </w:rPr>
        <w:t xml:space="preserve"> </w:t>
      </w:r>
      <w:hyperlink r:id="rId185">
        <w:r>
          <w:rPr>
            <w:rFonts w:ascii="Times New Roman" w:cs="Times New Roman" w:eastAsia="Times New Roman" w:hAnsi="Times New Roman"/>
            <w:sz w:val="14"/>
            <w:szCs w:val="14"/>
            <w:u w:val="single" w:color="auto"/>
            <w:color w:val="0000EE"/>
          </w:rPr>
          <w:t>Exhibit 2.4 to the Registrant’s Registration Statement on Form S-1 (File No. 333.278451), filed with the SEC on April 2, 2024).</w:t>
        </w:r>
      </w:hyperlink>
    </w:p>
    <w:p>
      <w:pPr>
        <w:spacing w:after="0" w:line="1" w:lineRule="exact"/>
        <w:rPr>
          <w:sz w:val="20"/>
          <w:szCs w:val="20"/>
          <w:color w:val="auto"/>
        </w:rPr>
      </w:pPr>
    </w:p>
    <w:p>
      <w:pPr>
        <w:jc w:val="both"/>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2.5</w:t>
      </w:r>
      <w:r>
        <w:rPr>
          <w:sz w:val="20"/>
          <w:szCs w:val="20"/>
          <w:color w:val="auto"/>
        </w:rPr>
        <w:tab/>
      </w:r>
      <w:hyperlink r:id="rId186">
        <w:r>
          <w:rPr>
            <w:rFonts w:ascii="Times New Roman" w:cs="Times New Roman" w:eastAsia="Times New Roman" w:hAnsi="Times New Roman"/>
            <w:sz w:val="14"/>
            <w:szCs w:val="14"/>
            <w:u w:val="single" w:color="auto"/>
            <w:color w:val="0000EE"/>
          </w:rPr>
          <w:t>Agreement and Plan of Merger, dated as of September 26, 2022, by and among Mobix Labs, Inc., Mobix Merger Sub I, Inc., Mobix Merger Sub II, LLC, EMI Solutions, Inc., Yden</w:t>
        </w:r>
      </w:hyperlink>
      <w:r>
        <w:rPr>
          <w:rFonts w:ascii="Times New Roman" w:cs="Times New Roman" w:eastAsia="Times New Roman" w:hAnsi="Times New Roman"/>
          <w:sz w:val="14"/>
          <w:szCs w:val="14"/>
          <w:u w:val="single" w:color="auto"/>
          <w:color w:val="0000EE"/>
        </w:rPr>
        <w:t xml:space="preserve"> </w:t>
      </w:r>
      <w:hyperlink r:id="rId186">
        <w:r>
          <w:rPr>
            <w:rFonts w:ascii="Times New Roman" w:cs="Times New Roman" w:eastAsia="Times New Roman" w:hAnsi="Times New Roman"/>
            <w:sz w:val="14"/>
            <w:szCs w:val="14"/>
            <w:u w:val="single" w:color="auto"/>
            <w:color w:val="0000EE"/>
          </w:rPr>
          <w:t>Holdings, LLC, Robert Ydens and Julie Ydens (incorporated by reference to Exhibit 2.4 to Mobix Labs, Inc.’s Current Report on Form 8-K filed on December 28, 2023).</w:t>
        </w:r>
      </w:hyperlink>
    </w:p>
    <w:p>
      <w:pPr>
        <w:spacing w:after="0" w:line="1" w:lineRule="exact"/>
        <w:rPr>
          <w:sz w:val="20"/>
          <w:szCs w:val="20"/>
          <w:color w:val="auto"/>
        </w:rPr>
      </w:pPr>
    </w:p>
    <w:p>
      <w:pPr>
        <w:jc w:val="both"/>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2.6</w:t>
      </w:r>
      <w:r>
        <w:rPr>
          <w:sz w:val="20"/>
          <w:szCs w:val="20"/>
          <w:color w:val="auto"/>
        </w:rPr>
        <w:tab/>
      </w:r>
      <w:hyperlink r:id="rId187">
        <w:r>
          <w:rPr>
            <w:rFonts w:ascii="Times New Roman" w:cs="Times New Roman" w:eastAsia="Times New Roman" w:hAnsi="Times New Roman"/>
            <w:sz w:val="14"/>
            <w:szCs w:val="14"/>
            <w:u w:val="single" w:color="auto"/>
            <w:color w:val="0000EE"/>
          </w:rPr>
          <w:t>Amendment No. 1 to the Agreement and Plan of Merger, dated as of November 28, 2023, by and among Mobix Labs, Inc., Mobix Merger Sub I, Inc., Mobix Merger Sub II, LLC, EMI</w:t>
        </w:r>
      </w:hyperlink>
      <w:r>
        <w:rPr>
          <w:rFonts w:ascii="Times New Roman" w:cs="Times New Roman" w:eastAsia="Times New Roman" w:hAnsi="Times New Roman"/>
          <w:sz w:val="14"/>
          <w:szCs w:val="14"/>
          <w:u w:val="single" w:color="auto"/>
          <w:color w:val="0000EE"/>
        </w:rPr>
        <w:t xml:space="preserve"> </w:t>
      </w:r>
      <w:hyperlink r:id="rId187">
        <w:r>
          <w:rPr>
            <w:rFonts w:ascii="Times New Roman" w:cs="Times New Roman" w:eastAsia="Times New Roman" w:hAnsi="Times New Roman"/>
            <w:sz w:val="14"/>
            <w:szCs w:val="14"/>
            <w:u w:val="single" w:color="auto"/>
            <w:color w:val="0000EE"/>
          </w:rPr>
          <w:t>Solutions, Inc., Yden Holdings, LLC, Robert Ydens and Julie Ydens (incorporated by reference to Exhibit 2.5 to Mobix Labs, Inc.’s Current Report on Form 8-K filed on December 28,</w:t>
        </w:r>
      </w:hyperlink>
      <w:r>
        <w:rPr>
          <w:rFonts w:ascii="Times New Roman" w:cs="Times New Roman" w:eastAsia="Times New Roman" w:hAnsi="Times New Roman"/>
          <w:sz w:val="14"/>
          <w:szCs w:val="14"/>
          <w:u w:val="single" w:color="auto"/>
          <w:color w:val="0000EE"/>
        </w:rPr>
        <w:t xml:space="preserve"> </w:t>
      </w:r>
      <w:hyperlink r:id="rId187">
        <w:r>
          <w:rPr>
            <w:rFonts w:ascii="Times New Roman" w:cs="Times New Roman" w:eastAsia="Times New Roman" w:hAnsi="Times New Roman"/>
            <w:sz w:val="14"/>
            <w:szCs w:val="14"/>
            <w:u w:val="single" w:color="auto"/>
            <w:color w:val="0000EE"/>
          </w:rPr>
          <w:t>2023).</w:t>
        </w:r>
      </w:hyperlink>
    </w:p>
    <w:p>
      <w:pPr>
        <w:spacing w:after="0" w:line="1" w:lineRule="exact"/>
        <w:rPr>
          <w:rFonts w:ascii="Times New Roman" w:cs="Times New Roman" w:eastAsia="Times New Roman" w:hAnsi="Times New Roman"/>
          <w:sz w:val="14"/>
          <w:szCs w:val="14"/>
          <w:u w:val="single" w:color="auto"/>
          <w:color w:val="0000EE"/>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3.1</w:t>
      </w:r>
      <w:r>
        <w:rPr>
          <w:sz w:val="20"/>
          <w:szCs w:val="20"/>
          <w:color w:val="auto"/>
        </w:rPr>
        <w:tab/>
      </w:r>
      <w:hyperlink r:id="rId188">
        <w:r>
          <w:rPr>
            <w:rFonts w:ascii="Times New Roman" w:cs="Times New Roman" w:eastAsia="Times New Roman" w:hAnsi="Times New Roman"/>
            <w:sz w:val="14"/>
            <w:szCs w:val="14"/>
            <w:u w:val="single" w:color="auto"/>
            <w:color w:val="0000EE"/>
          </w:rPr>
          <w:t>Certificate of Incorporation of the Company (incorporated by reference to Exhibit 3.1 to Mobix Labs, Inc.’s Current Report on Form 8-K filed on December 28, 2023).</w:t>
        </w:r>
      </w:hyperlink>
    </w:p>
    <w:p>
      <w:pPr>
        <w:spacing w:after="0" w:line="10" w:lineRule="exact"/>
        <w:rPr>
          <w:rFonts w:ascii="Times New Roman" w:cs="Times New Roman" w:eastAsia="Times New Roman" w:hAnsi="Times New Roman"/>
          <w:sz w:val="14"/>
          <w:szCs w:val="14"/>
          <w:u w:val="single" w:color="auto"/>
          <w:color w:val="0000EE"/>
        </w:rPr>
      </w:pPr>
    </w:p>
    <w:p>
      <w:pPr>
        <w:jc w:val="both"/>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3.2</w:t>
      </w:r>
      <w:r>
        <w:rPr>
          <w:sz w:val="20"/>
          <w:szCs w:val="20"/>
          <w:color w:val="auto"/>
        </w:rPr>
        <w:tab/>
      </w:r>
      <w:hyperlink r:id="rId189">
        <w:r>
          <w:rPr>
            <w:rFonts w:ascii="Times New Roman" w:cs="Times New Roman" w:eastAsia="Times New Roman" w:hAnsi="Times New Roman"/>
            <w:sz w:val="14"/>
            <w:szCs w:val="14"/>
            <w:u w:val="single" w:color="auto"/>
            <w:color w:val="0000EE"/>
          </w:rPr>
          <w:t>Certificate of Amendment of Certificate of Incorporation (incorporated by reference to Exhibit 3.2 of the Registrant’s Registration Statement on Form S-1 (File No. 333-278451), filed</w:t>
        </w:r>
      </w:hyperlink>
      <w:r>
        <w:rPr>
          <w:rFonts w:ascii="Times New Roman" w:cs="Times New Roman" w:eastAsia="Times New Roman" w:hAnsi="Times New Roman"/>
          <w:sz w:val="14"/>
          <w:szCs w:val="14"/>
          <w:u w:val="single" w:color="auto"/>
          <w:color w:val="0000EE"/>
        </w:rPr>
        <w:t xml:space="preserve"> </w:t>
      </w:r>
      <w:hyperlink r:id="rId189">
        <w:r>
          <w:rPr>
            <w:rFonts w:ascii="Times New Roman" w:cs="Times New Roman" w:eastAsia="Times New Roman" w:hAnsi="Times New Roman"/>
            <w:sz w:val="14"/>
            <w:szCs w:val="14"/>
            <w:u w:val="single" w:color="auto"/>
            <w:color w:val="0000EE"/>
          </w:rPr>
          <w:t>with the SEC on April 2, 2024).</w:t>
        </w:r>
      </w:hyperlink>
    </w:p>
    <w:p>
      <w:pPr>
        <w:spacing w:after="0" w:line="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3.3</w:t>
      </w:r>
      <w:r>
        <w:rPr>
          <w:sz w:val="20"/>
          <w:szCs w:val="20"/>
          <w:color w:val="auto"/>
        </w:rPr>
        <w:tab/>
      </w:r>
      <w:hyperlink r:id="rId190">
        <w:r>
          <w:rPr>
            <w:rFonts w:ascii="Times New Roman" w:cs="Times New Roman" w:eastAsia="Times New Roman" w:hAnsi="Times New Roman"/>
            <w:sz w:val="14"/>
            <w:szCs w:val="14"/>
            <w:u w:val="single" w:color="auto"/>
            <w:color w:val="0000EE"/>
          </w:rPr>
          <w:t>Bylaws of Mobix Labs, Inc. (incorporated by reference to Exhibit 3.2 to Mobix Labs, Inc.’s Current Report on Form 8-K filed on December 28, 2023).</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w:t>
      </w:r>
      <w:r>
        <w:rPr>
          <w:sz w:val="20"/>
          <w:szCs w:val="20"/>
          <w:color w:val="auto"/>
        </w:rPr>
        <w:tab/>
      </w:r>
      <w:hyperlink r:id="rId191">
        <w:r>
          <w:rPr>
            <w:rFonts w:ascii="Times New Roman" w:cs="Times New Roman" w:eastAsia="Times New Roman" w:hAnsi="Times New Roman"/>
            <w:sz w:val="14"/>
            <w:szCs w:val="14"/>
            <w:u w:val="single" w:color="auto"/>
            <w:color w:val="0000EE"/>
          </w:rPr>
          <w:t>Specimen Class A Common Stock Certificate (incorporated by reference to Exhibit 4.1 to Mobix Labs, Inc.’s Current Report on Form 8-K filed on December 28, 2023).</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4.2</w:t>
      </w:r>
      <w:r>
        <w:rPr>
          <w:sz w:val="20"/>
          <w:szCs w:val="20"/>
          <w:color w:val="auto"/>
        </w:rPr>
        <w:tab/>
      </w:r>
      <w:hyperlink r:id="rId192">
        <w:r>
          <w:rPr>
            <w:rFonts w:ascii="Times New Roman" w:cs="Times New Roman" w:eastAsia="Times New Roman" w:hAnsi="Times New Roman"/>
            <w:sz w:val="14"/>
            <w:szCs w:val="14"/>
            <w:u w:val="single" w:color="auto"/>
            <w:color w:val="0000EE"/>
          </w:rPr>
          <w:t>Specimen Warrant Certificate (incorporated by reference to Exhibit 4.2 to Mobix Labs, Inc.’s Current Report on Form 8-K filed on December 28, 2023).</w:t>
        </w:r>
      </w:hyperlink>
    </w:p>
    <w:p>
      <w:pPr>
        <w:spacing w:after="0" w:line="10" w:lineRule="exact"/>
        <w:rPr>
          <w:sz w:val="20"/>
          <w:szCs w:val="20"/>
          <w:color w:val="auto"/>
        </w:rPr>
      </w:pPr>
    </w:p>
    <w:p>
      <w:pPr>
        <w:jc w:val="both"/>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4.3</w:t>
      </w:r>
      <w:r>
        <w:rPr>
          <w:sz w:val="20"/>
          <w:szCs w:val="20"/>
          <w:color w:val="auto"/>
        </w:rPr>
        <w:tab/>
      </w:r>
      <w:hyperlink r:id="rId193">
        <w:r>
          <w:rPr>
            <w:rFonts w:ascii="Times New Roman" w:cs="Times New Roman" w:eastAsia="Times New Roman" w:hAnsi="Times New Roman"/>
            <w:sz w:val="14"/>
            <w:szCs w:val="14"/>
            <w:u w:val="single" w:color="auto"/>
            <w:color w:val="0000EE"/>
          </w:rPr>
          <w:t>Warrant Agreement, dated July 19, 2021, by and between Chavant and Continental Stock Transfer &amp; Trust Company, as warrant agent (incorporated by reference to Exhibit 4.1 to</w:t>
        </w:r>
      </w:hyperlink>
      <w:r>
        <w:rPr>
          <w:rFonts w:ascii="Times New Roman" w:cs="Times New Roman" w:eastAsia="Times New Roman" w:hAnsi="Times New Roman"/>
          <w:sz w:val="14"/>
          <w:szCs w:val="14"/>
          <w:u w:val="single" w:color="auto"/>
          <w:color w:val="0000EE"/>
        </w:rPr>
        <w:t xml:space="preserve"> </w:t>
      </w:r>
      <w:hyperlink r:id="rId193">
        <w:r>
          <w:rPr>
            <w:rFonts w:ascii="Times New Roman" w:cs="Times New Roman" w:eastAsia="Times New Roman" w:hAnsi="Times New Roman"/>
            <w:sz w:val="14"/>
            <w:szCs w:val="14"/>
            <w:u w:val="single" w:color="auto"/>
            <w:color w:val="0000EE"/>
          </w:rPr>
          <w:t>Chavant’s Current Report on Form 8-K filed on July 23, 2021).</w:t>
        </w:r>
      </w:hyperlink>
    </w:p>
    <w:p>
      <w:pPr>
        <w:spacing w:after="0" w:line="1" w:lineRule="exact"/>
        <w:rPr>
          <w:sz w:val="20"/>
          <w:szCs w:val="20"/>
          <w:color w:val="auto"/>
        </w:rPr>
      </w:pPr>
    </w:p>
    <w:p>
      <w:pPr>
        <w:jc w:val="both"/>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4.4</w:t>
      </w:r>
      <w:r>
        <w:rPr>
          <w:sz w:val="20"/>
          <w:szCs w:val="20"/>
          <w:color w:val="auto"/>
        </w:rPr>
        <w:tab/>
      </w:r>
      <w:hyperlink r:id="rId194">
        <w:r>
          <w:rPr>
            <w:rFonts w:ascii="Times New Roman" w:cs="Times New Roman" w:eastAsia="Times New Roman" w:hAnsi="Times New Roman"/>
            <w:sz w:val="14"/>
            <w:szCs w:val="14"/>
            <w:u w:val="single" w:color="auto"/>
            <w:color w:val="0000EE"/>
          </w:rPr>
          <w:t>Amendment to the Warrant Agreement, dated December 21, 2023, by and between Chavant and Continental Stock Transfer &amp; Trust Company, as warrant agent (incorporated by reference</w:t>
        </w:r>
      </w:hyperlink>
      <w:r>
        <w:rPr>
          <w:rFonts w:ascii="Times New Roman" w:cs="Times New Roman" w:eastAsia="Times New Roman" w:hAnsi="Times New Roman"/>
          <w:sz w:val="14"/>
          <w:szCs w:val="14"/>
          <w:u w:val="single" w:color="auto"/>
          <w:color w:val="0000EE"/>
        </w:rPr>
        <w:t xml:space="preserve"> </w:t>
      </w:r>
      <w:hyperlink r:id="rId194">
        <w:r>
          <w:rPr>
            <w:rFonts w:ascii="Times New Roman" w:cs="Times New Roman" w:eastAsia="Times New Roman" w:hAnsi="Times New Roman"/>
            <w:sz w:val="14"/>
            <w:szCs w:val="14"/>
            <w:u w:val="single" w:color="auto"/>
            <w:color w:val="0000EE"/>
          </w:rPr>
          <w:t>to Exhibit 4.4 to Mobix Labs, Inc.’s Current Report on Form 8-K filed on December 28, 2023).</w:t>
        </w:r>
      </w:hyperlink>
    </w:p>
    <w:p>
      <w:pPr>
        <w:spacing w:after="0" w:line="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4.5</w:t>
      </w:r>
      <w:r>
        <w:rPr>
          <w:sz w:val="20"/>
          <w:szCs w:val="20"/>
          <w:color w:val="auto"/>
        </w:rPr>
        <w:tab/>
      </w:r>
      <w:hyperlink r:id="rId195">
        <w:r>
          <w:rPr>
            <w:rFonts w:ascii="Times New Roman" w:cs="Times New Roman" w:eastAsia="Times New Roman" w:hAnsi="Times New Roman"/>
            <w:sz w:val="14"/>
            <w:szCs w:val="14"/>
            <w:u w:val="single" w:color="auto"/>
            <w:color w:val="0000EE"/>
          </w:rPr>
          <w:t>Form of Pre-Funded Warrant, dated July 24, 2024 (incorporated by reference to Exhibit 4.1 to Mobix Labs, Inc.’s Current Report on Form 8-K filed on July 24, 2024).</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4.6</w:t>
      </w:r>
      <w:r>
        <w:rPr>
          <w:sz w:val="20"/>
          <w:szCs w:val="20"/>
          <w:color w:val="auto"/>
        </w:rPr>
        <w:tab/>
      </w:r>
      <w:hyperlink r:id="rId196">
        <w:r>
          <w:rPr>
            <w:rFonts w:ascii="Times New Roman" w:cs="Times New Roman" w:eastAsia="Times New Roman" w:hAnsi="Times New Roman"/>
            <w:sz w:val="14"/>
            <w:szCs w:val="14"/>
            <w:u w:val="single" w:color="auto"/>
            <w:color w:val="0000EE"/>
          </w:rPr>
          <w:t>Form of Placement Agent Warrant, dated July 24, 2024 (incorporated by reference to Exhibit 4.4 to Mobix Labs, Inc.’s Current Report on Form 8-K filed on July 24, 2024).</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4.7</w:t>
      </w:r>
      <w:r>
        <w:rPr>
          <w:sz w:val="20"/>
          <w:szCs w:val="20"/>
          <w:color w:val="auto"/>
        </w:rPr>
        <w:tab/>
      </w:r>
      <w:hyperlink r:id="rId197">
        <w:r>
          <w:rPr>
            <w:rFonts w:ascii="Times New Roman" w:cs="Times New Roman" w:eastAsia="Times New Roman" w:hAnsi="Times New Roman"/>
            <w:sz w:val="14"/>
            <w:szCs w:val="14"/>
            <w:u w:val="single" w:color="auto"/>
            <w:color w:val="0000EE"/>
          </w:rPr>
          <w:t>Form of Pre-Funded Warrant, dated April 7, 2025 (incorporated by reference to Exhibit 4.2 to Mobix Labs, Inc.’s Current Report on Form 8-K filed on April 7, 2025).</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4.8</w:t>
      </w:r>
      <w:r>
        <w:rPr>
          <w:sz w:val="20"/>
          <w:szCs w:val="20"/>
          <w:color w:val="auto"/>
        </w:rPr>
        <w:tab/>
      </w:r>
      <w:hyperlink r:id="rId198">
        <w:r>
          <w:rPr>
            <w:rFonts w:ascii="Times New Roman" w:cs="Times New Roman" w:eastAsia="Times New Roman" w:hAnsi="Times New Roman"/>
            <w:sz w:val="14"/>
            <w:szCs w:val="14"/>
            <w:u w:val="single" w:color="auto"/>
            <w:color w:val="0000EE"/>
          </w:rPr>
          <w:t>Form of Placement Agent Warrant, dated April 7, 2025 (incorporated by reference to Exhibit 4.3 to Mobix Labs, Inc.’s Current Report on Form 8-K filed on April 7, 2025).</w:t>
        </w:r>
      </w:hyperlink>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62" w:name="page163"/>
    <w:bookmarkEnd w:id="162"/>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4.9</w:t>
      </w:r>
      <w:r>
        <w:rPr>
          <w:sz w:val="20"/>
          <w:szCs w:val="20"/>
          <w:color w:val="auto"/>
        </w:rPr>
        <w:tab/>
      </w:r>
      <w:hyperlink r:id="rId200">
        <w:r>
          <w:rPr>
            <w:rFonts w:ascii="Times New Roman" w:cs="Times New Roman" w:eastAsia="Times New Roman" w:hAnsi="Times New Roman"/>
            <w:sz w:val="14"/>
            <w:szCs w:val="14"/>
            <w:u w:val="single" w:color="auto"/>
            <w:color w:val="0000EE"/>
          </w:rPr>
          <w:t>Form of Placement Agent Warrant (incorporated by reference to Exhibit 4.3 to Mobix Labs, Inc.’s Current Report on Form 8-K filed on September 4, 2025).</w:t>
        </w:r>
      </w:hyperlink>
    </w:p>
    <w:p>
      <w:pPr>
        <w:spacing w:after="0" w:line="24"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4.10</w:t>
      </w:r>
      <w:r>
        <w:rPr>
          <w:sz w:val="20"/>
          <w:szCs w:val="20"/>
          <w:color w:val="auto"/>
        </w:rPr>
        <w:tab/>
      </w:r>
      <w:hyperlink r:id="rId201">
        <w:r>
          <w:rPr>
            <w:rFonts w:ascii="Times New Roman" w:cs="Times New Roman" w:eastAsia="Times New Roman" w:hAnsi="Times New Roman"/>
            <w:sz w:val="14"/>
            <w:szCs w:val="14"/>
            <w:u w:val="single" w:color="auto"/>
            <w:color w:val="0000EE"/>
          </w:rPr>
          <w:t>Form of Accredited Investor Warrant (incorporated by reference to Exhibit 4.15 to the Registrant’s Amendment No. 1 to the Registrant’s Registration Statement on Form S-1 (File No.</w:t>
        </w:r>
      </w:hyperlink>
    </w:p>
    <w:p>
      <w:pPr>
        <w:spacing w:after="0" w:line="10" w:lineRule="exact"/>
        <w:rPr>
          <w:sz w:val="20"/>
          <w:szCs w:val="20"/>
          <w:color w:val="auto"/>
        </w:rPr>
      </w:pPr>
    </w:p>
    <w:p>
      <w:pPr>
        <w:ind w:left="620"/>
        <w:spacing w:after="0"/>
        <w:rPr>
          <w:rFonts w:ascii="Times New Roman" w:cs="Times New Roman" w:eastAsia="Times New Roman" w:hAnsi="Times New Roman"/>
          <w:sz w:val="14"/>
          <w:szCs w:val="14"/>
          <w:u w:val="single" w:color="auto"/>
          <w:color w:val="0000EE"/>
        </w:rPr>
      </w:pPr>
      <w:hyperlink r:id="rId201">
        <w:r>
          <w:rPr>
            <w:rFonts w:ascii="Times New Roman" w:cs="Times New Roman" w:eastAsia="Times New Roman" w:hAnsi="Times New Roman"/>
            <w:sz w:val="14"/>
            <w:szCs w:val="14"/>
            <w:u w:val="single" w:color="auto"/>
            <w:color w:val="0000EE"/>
          </w:rPr>
          <w:t>333-287493), filed with the SEC on October 14, 2025).</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4.11</w:t>
      </w:r>
      <w:r>
        <w:rPr>
          <w:sz w:val="20"/>
          <w:szCs w:val="20"/>
          <w:color w:val="auto"/>
        </w:rPr>
        <w:tab/>
      </w:r>
      <w:hyperlink r:id="rId202">
        <w:r>
          <w:rPr>
            <w:rFonts w:ascii="Times New Roman" w:cs="Times New Roman" w:eastAsia="Times New Roman" w:hAnsi="Times New Roman"/>
            <w:sz w:val="14"/>
            <w:szCs w:val="14"/>
            <w:u w:val="single" w:color="auto"/>
            <w:color w:val="0000EE"/>
          </w:rPr>
          <w:t>Form of Amended and Restated Series A Warrant (incorporated by reference to Exhibit 4.1 to Mobix Labs, Inc.’s Current Report on Form 8-K filed on October 30, 2025).</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4.12</w:t>
      </w:r>
      <w:r>
        <w:rPr>
          <w:sz w:val="20"/>
          <w:szCs w:val="20"/>
          <w:color w:val="auto"/>
        </w:rPr>
        <w:tab/>
      </w:r>
      <w:hyperlink r:id="rId203">
        <w:r>
          <w:rPr>
            <w:rFonts w:ascii="Times New Roman" w:cs="Times New Roman" w:eastAsia="Times New Roman" w:hAnsi="Times New Roman"/>
            <w:sz w:val="14"/>
            <w:szCs w:val="14"/>
            <w:u w:val="single" w:color="auto"/>
            <w:color w:val="0000EE"/>
          </w:rPr>
          <w:t>Form of Amended and Restated Series B Warrant (incorporated by reference to Exhibit 4.2 to Mobix Labs, Inc.’s Current Report on Form 8-K filed on October 30, 2025).</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4.13</w:t>
      </w:r>
      <w:r>
        <w:rPr>
          <w:sz w:val="20"/>
          <w:szCs w:val="20"/>
          <w:color w:val="auto"/>
        </w:rPr>
        <w:tab/>
      </w:r>
      <w:hyperlink r:id="rId204">
        <w:r>
          <w:rPr>
            <w:rFonts w:ascii="Times New Roman" w:cs="Times New Roman" w:eastAsia="Times New Roman" w:hAnsi="Times New Roman"/>
            <w:sz w:val="14"/>
            <w:szCs w:val="14"/>
            <w:u w:val="single" w:color="auto"/>
            <w:color w:val="0000EE"/>
          </w:rPr>
          <w:t>Form of Amended and Restated Common Warrant (incorporated by reference to Exhibit 4.13 to Mobix Labs, Inc.’s Annual Report on Form 10-K filed on January 13, 2026).</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4.14</w:t>
      </w:r>
      <w:r>
        <w:rPr>
          <w:sz w:val="20"/>
          <w:szCs w:val="20"/>
          <w:color w:val="auto"/>
        </w:rPr>
        <w:tab/>
      </w:r>
      <w:hyperlink r:id="rId205">
        <w:r>
          <w:rPr>
            <w:rFonts w:ascii="Times New Roman" w:cs="Times New Roman" w:eastAsia="Times New Roman" w:hAnsi="Times New Roman"/>
            <w:sz w:val="14"/>
            <w:szCs w:val="14"/>
            <w:u w:val="single" w:color="auto"/>
            <w:color w:val="0000EE"/>
          </w:rPr>
          <w:t>Form of Amended and Restated Inducement Warrant (incorporated by reference to Exhibit 4.4 to Mobix Labs, Inc.’s Current Report on Form 8-K filed on October 30, 2025).</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4.15</w:t>
      </w:r>
      <w:r>
        <w:rPr>
          <w:sz w:val="20"/>
          <w:szCs w:val="20"/>
          <w:color w:val="auto"/>
        </w:rPr>
        <w:tab/>
      </w:r>
      <w:hyperlink r:id="rId206">
        <w:r>
          <w:rPr>
            <w:rFonts w:ascii="Times New Roman" w:cs="Times New Roman" w:eastAsia="Times New Roman" w:hAnsi="Times New Roman"/>
            <w:sz w:val="14"/>
            <w:szCs w:val="14"/>
            <w:u w:val="single" w:color="auto"/>
            <w:color w:val="0000EE"/>
          </w:rPr>
          <w:t>Form of Warrant (incorporated by reference to Exhibit 4.5 to Mobix Labs, Inc.’s Current Report on Form 8-K filed on October 30, 2025).</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4.16</w:t>
      </w:r>
      <w:r>
        <w:rPr>
          <w:sz w:val="20"/>
          <w:szCs w:val="20"/>
          <w:color w:val="auto"/>
        </w:rPr>
        <w:tab/>
      </w:r>
      <w:hyperlink r:id="rId207">
        <w:r>
          <w:rPr>
            <w:rFonts w:ascii="Times New Roman" w:cs="Times New Roman" w:eastAsia="Times New Roman" w:hAnsi="Times New Roman"/>
            <w:sz w:val="14"/>
            <w:szCs w:val="14"/>
            <w:u w:val="single" w:color="auto"/>
            <w:color w:val="0000EE"/>
          </w:rPr>
          <w:t>Description of Securities (incorporated by reference to Exhibit 4.9 to Mobix Labs, Inc.’s Annual Report on Form 10-K filed on December 26, 2024).</w:t>
        </w:r>
      </w:hyperlink>
    </w:p>
    <w:p>
      <w:pPr>
        <w:spacing w:after="0" w:line="10"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4.17</w:t>
      </w:r>
      <w:r>
        <w:rPr>
          <w:sz w:val="20"/>
          <w:szCs w:val="20"/>
          <w:color w:val="auto"/>
        </w:rPr>
        <w:tab/>
      </w:r>
      <w:hyperlink r:id="rId208">
        <w:r>
          <w:rPr>
            <w:rFonts w:ascii="Times New Roman" w:cs="Times New Roman" w:eastAsia="Times New Roman" w:hAnsi="Times New Roman"/>
            <w:sz w:val="14"/>
            <w:szCs w:val="14"/>
            <w:u w:val="single" w:color="auto"/>
            <w:color w:val="0000EE"/>
          </w:rPr>
          <w:t>Senior Secured Convertible Promissory Note in favor of Leviston Resources, LLC dated as of March 31, 2026 (incorporated by reference to Exhibit 4.17 to the Registrant’s Registration</w:t>
        </w:r>
      </w:hyperlink>
      <w:r>
        <w:rPr>
          <w:rFonts w:ascii="Times New Roman" w:cs="Times New Roman" w:eastAsia="Times New Roman" w:hAnsi="Times New Roman"/>
          <w:sz w:val="14"/>
          <w:szCs w:val="14"/>
          <w:u w:val="single" w:color="auto"/>
          <w:color w:val="0000EE"/>
        </w:rPr>
        <w:t xml:space="preserve"> </w:t>
      </w:r>
      <w:hyperlink r:id="rId208">
        <w:r>
          <w:rPr>
            <w:rFonts w:ascii="Times New Roman" w:cs="Times New Roman" w:eastAsia="Times New Roman" w:hAnsi="Times New Roman"/>
            <w:sz w:val="14"/>
            <w:szCs w:val="14"/>
            <w:u w:val="single" w:color="auto"/>
            <w:color w:val="0000EE"/>
          </w:rPr>
          <w:t>Statement on Form S-1 (File No. 333-295357), filed with the SEC on April 27, 2026).</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4.18</w:t>
      </w:r>
      <w:r>
        <w:rPr>
          <w:sz w:val="20"/>
          <w:szCs w:val="20"/>
          <w:color w:val="auto"/>
        </w:rPr>
        <w:tab/>
      </w:r>
      <w:hyperlink r:id="rId209">
        <w:r>
          <w:rPr>
            <w:rFonts w:ascii="Times New Roman" w:cs="Times New Roman" w:eastAsia="Times New Roman" w:hAnsi="Times New Roman"/>
            <w:sz w:val="14"/>
            <w:szCs w:val="14"/>
            <w:u w:val="single" w:color="auto"/>
            <w:color w:val="0000EE"/>
          </w:rPr>
          <w:t>First Amendment to Securities Purchase Agreement and Senior Secured Convertible Promissory Note in favor of Leviston Resources, LLC dated as of May 13, 2026 (incorporated by</w:t>
        </w:r>
      </w:hyperlink>
      <w:r>
        <w:rPr>
          <w:rFonts w:ascii="Times New Roman" w:cs="Times New Roman" w:eastAsia="Times New Roman" w:hAnsi="Times New Roman"/>
          <w:sz w:val="14"/>
          <w:szCs w:val="14"/>
          <w:u w:val="single" w:color="auto"/>
          <w:color w:val="0000EE"/>
        </w:rPr>
        <w:t xml:space="preserve"> </w:t>
      </w:r>
      <w:hyperlink r:id="rId209">
        <w:r>
          <w:rPr>
            <w:rFonts w:ascii="Times New Roman" w:cs="Times New Roman" w:eastAsia="Times New Roman" w:hAnsi="Times New Roman"/>
            <w:sz w:val="14"/>
            <w:szCs w:val="14"/>
            <w:u w:val="single" w:color="auto"/>
            <w:color w:val="0000EE"/>
          </w:rPr>
          <w:t>reference to Exhibit 4.2 of Mobix Labs, Inc.’s Quarterly Report on Form 10-Q filed on May 20, 2026).</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4.19</w:t>
      </w:r>
      <w:r>
        <w:rPr>
          <w:sz w:val="20"/>
          <w:szCs w:val="20"/>
          <w:color w:val="auto"/>
        </w:rPr>
        <w:tab/>
      </w:r>
      <w:hyperlink r:id="rId210">
        <w:r>
          <w:rPr>
            <w:rFonts w:ascii="Times New Roman" w:cs="Times New Roman" w:eastAsia="Times New Roman" w:hAnsi="Times New Roman"/>
            <w:sz w:val="14"/>
            <w:szCs w:val="14"/>
            <w:u w:val="single" w:color="auto"/>
            <w:color w:val="0000EE"/>
          </w:rPr>
          <w:t>Preferred Stock Purchase Warrant, dated May 19, 2026, in favor of Kips Bay Select, LP (incorporated by reference to Exhibit 4.3 of Mobix Labs, Inc.’s Quarterly Report on Form 10-Q</w:t>
        </w:r>
      </w:hyperlink>
      <w:r>
        <w:rPr>
          <w:rFonts w:ascii="Times New Roman" w:cs="Times New Roman" w:eastAsia="Times New Roman" w:hAnsi="Times New Roman"/>
          <w:sz w:val="14"/>
          <w:szCs w:val="14"/>
          <w:u w:val="single" w:color="auto"/>
          <w:color w:val="0000EE"/>
        </w:rPr>
        <w:t xml:space="preserve"> </w:t>
      </w:r>
      <w:hyperlink r:id="rId210">
        <w:r>
          <w:rPr>
            <w:rFonts w:ascii="Times New Roman" w:cs="Times New Roman" w:eastAsia="Times New Roman" w:hAnsi="Times New Roman"/>
            <w:sz w:val="14"/>
            <w:szCs w:val="14"/>
            <w:u w:val="single" w:color="auto"/>
            <w:color w:val="0000EE"/>
          </w:rPr>
          <w:t>filed on May 20, 2026).</w:t>
        </w:r>
      </w:hyperlink>
    </w:p>
    <w:p>
      <w:pPr>
        <w:spacing w:after="0" w:line="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4"/>
          <w:szCs w:val="14"/>
          <w:color w:val="auto"/>
        </w:rPr>
        <w:t>4.20*</w:t>
      </w:r>
      <w:r>
        <w:rPr>
          <w:sz w:val="20"/>
          <w:szCs w:val="20"/>
          <w:color w:val="auto"/>
        </w:rPr>
        <w:tab/>
      </w:r>
      <w:r>
        <w:rPr>
          <w:rFonts w:ascii="Times New Roman" w:cs="Times New Roman" w:eastAsia="Times New Roman" w:hAnsi="Times New Roman"/>
          <w:sz w:val="14"/>
          <w:szCs w:val="14"/>
          <w:u w:val="single" w:color="auto"/>
          <w:color w:val="0000EE"/>
        </w:rPr>
        <w:t>Certificate of Designation of Series A 10% Convertible Preferred Stock.</w:t>
      </w:r>
    </w:p>
    <w:p>
      <w:pPr>
        <w:spacing w:after="0" w:line="1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4"/>
          <w:szCs w:val="14"/>
          <w:u w:val="single" w:color="auto"/>
          <w:color w:val="0000EE"/>
        </w:rPr>
        <w:t>Opinion of Greenberg Traurig, P.A. as to the validity of shares of Mobix Labs, Inc. Class A Common Stock.</w:t>
      </w:r>
    </w:p>
    <w:p>
      <w:pPr>
        <w:spacing w:after="0" w:line="10"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w:t>
      </w:r>
      <w:r>
        <w:rPr>
          <w:sz w:val="20"/>
          <w:szCs w:val="20"/>
          <w:color w:val="auto"/>
        </w:rPr>
        <w:tab/>
      </w:r>
      <w:hyperlink r:id="rId211">
        <w:r>
          <w:rPr>
            <w:rFonts w:ascii="Times New Roman" w:cs="Times New Roman" w:eastAsia="Times New Roman" w:hAnsi="Times New Roman"/>
            <w:sz w:val="14"/>
            <w:szCs w:val="14"/>
            <w:u w:val="single" w:color="auto"/>
            <w:color w:val="0000EE"/>
          </w:rPr>
          <w:t>Letter Agreement, dated July 19, 2021, by and among Chavant, its executive officers, its directors, Roth Capital Partners, LLC, Craig-Hallum Capital Group LLC and their respective</w:t>
        </w:r>
      </w:hyperlink>
      <w:r>
        <w:rPr>
          <w:rFonts w:ascii="Times New Roman" w:cs="Times New Roman" w:eastAsia="Times New Roman" w:hAnsi="Times New Roman"/>
          <w:sz w:val="14"/>
          <w:szCs w:val="14"/>
          <w:u w:val="single" w:color="auto"/>
          <w:color w:val="0000EE"/>
        </w:rPr>
        <w:t xml:space="preserve"> </w:t>
      </w:r>
      <w:hyperlink r:id="rId211">
        <w:r>
          <w:rPr>
            <w:rFonts w:ascii="Times New Roman" w:cs="Times New Roman" w:eastAsia="Times New Roman" w:hAnsi="Times New Roman"/>
            <w:sz w:val="14"/>
            <w:szCs w:val="14"/>
            <w:u w:val="single" w:color="auto"/>
            <w:color w:val="0000EE"/>
          </w:rPr>
          <w:t>permitted designees and Chavant Capital Partners LLC (incorporated by reference to Exhibit 10.1 to Chavant’s Current Report on Form 8-K filed on July 23, 2021).</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w:t>
      </w:r>
      <w:r>
        <w:rPr>
          <w:sz w:val="20"/>
          <w:szCs w:val="20"/>
          <w:color w:val="auto"/>
        </w:rPr>
        <w:tab/>
      </w:r>
      <w:hyperlink r:id="rId212">
        <w:r>
          <w:rPr>
            <w:rFonts w:ascii="Times New Roman" w:cs="Times New Roman" w:eastAsia="Times New Roman" w:hAnsi="Times New Roman"/>
            <w:sz w:val="14"/>
            <w:szCs w:val="14"/>
            <w:u w:val="single" w:color="auto"/>
            <w:color w:val="0000EE"/>
          </w:rPr>
          <w:t>Amended and Restated Registration Rights and Lock-Up Agreement, dated December 21, 2023, by and among Mobix Labs, Inc. and the other parties thereto (incorporated by reference to</w:t>
        </w:r>
      </w:hyperlink>
      <w:r>
        <w:rPr>
          <w:rFonts w:ascii="Times New Roman" w:cs="Times New Roman" w:eastAsia="Times New Roman" w:hAnsi="Times New Roman"/>
          <w:sz w:val="14"/>
          <w:szCs w:val="14"/>
          <w:u w:val="single" w:color="auto"/>
          <w:color w:val="0000EE"/>
        </w:rPr>
        <w:t xml:space="preserve"> </w:t>
      </w:r>
      <w:hyperlink r:id="rId212">
        <w:r>
          <w:rPr>
            <w:rFonts w:ascii="Times New Roman" w:cs="Times New Roman" w:eastAsia="Times New Roman" w:hAnsi="Times New Roman"/>
            <w:sz w:val="14"/>
            <w:szCs w:val="14"/>
            <w:u w:val="single" w:color="auto"/>
            <w:color w:val="0000EE"/>
          </w:rPr>
          <w:t>Exhibit 10.2 to Mobix Labs, Inc.’s Current Report on Form 8-K filed on December 28, 2023).</w:t>
        </w:r>
      </w:hyperlink>
    </w:p>
    <w:p>
      <w:pPr>
        <w:spacing w:after="0" w:line="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w:t>
      </w:r>
      <w:r>
        <w:rPr>
          <w:sz w:val="20"/>
          <w:szCs w:val="20"/>
          <w:color w:val="auto"/>
        </w:rPr>
        <w:tab/>
      </w:r>
      <w:hyperlink r:id="rId213">
        <w:r>
          <w:rPr>
            <w:rFonts w:ascii="Times New Roman" w:cs="Times New Roman" w:eastAsia="Times New Roman" w:hAnsi="Times New Roman"/>
            <w:sz w:val="14"/>
            <w:szCs w:val="14"/>
            <w:u w:val="single" w:color="auto"/>
            <w:color w:val="0000EE"/>
          </w:rPr>
          <w:t>Form of Indemnification Agreement (incorporated by reference to Exhibit 10.3 to Mobix Labs, Inc.’s Current Report on Form 8-K filed on December 28, 2023).</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w:t>
      </w:r>
      <w:r>
        <w:rPr>
          <w:sz w:val="20"/>
          <w:szCs w:val="20"/>
          <w:color w:val="auto"/>
        </w:rPr>
        <w:tab/>
      </w:r>
      <w:hyperlink r:id="rId214">
        <w:r>
          <w:rPr>
            <w:rFonts w:ascii="Times New Roman" w:cs="Times New Roman" w:eastAsia="Times New Roman" w:hAnsi="Times New Roman"/>
            <w:sz w:val="14"/>
            <w:szCs w:val="14"/>
            <w:u w:val="single" w:color="auto"/>
            <w:color w:val="0000EE"/>
          </w:rPr>
          <w:t>Mobix Labs, Inc. 2023 Equity Incentive Plan (incorporated by reference to Exhibit 10.4 to Mobix Labs, Inc.’s Current Report on Form 8-K filed on December 28, 2023).</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10.5#</w:t>
      </w:r>
      <w:r>
        <w:rPr>
          <w:sz w:val="20"/>
          <w:szCs w:val="20"/>
          <w:color w:val="auto"/>
        </w:rPr>
        <w:tab/>
      </w:r>
      <w:hyperlink r:id="rId215">
        <w:r>
          <w:rPr>
            <w:rFonts w:ascii="Times New Roman" w:cs="Times New Roman" w:eastAsia="Times New Roman" w:hAnsi="Times New Roman"/>
            <w:sz w:val="14"/>
            <w:szCs w:val="14"/>
            <w:u w:val="single" w:color="auto"/>
            <w:color w:val="0000EE"/>
          </w:rPr>
          <w:t>Mobix Labs, Inc. 2023 Employee Stock Purchase Plan (incorporated by reference to Exhibit 10.5 to Mobix Labs, Inc.’s Current Report on Form 8-K filed on December 28, 2023).</w:t>
        </w:r>
      </w:hyperlink>
    </w:p>
    <w:p>
      <w:pPr>
        <w:spacing w:after="0" w:line="10"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10.6#</w:t>
      </w:r>
      <w:r>
        <w:rPr>
          <w:sz w:val="20"/>
          <w:szCs w:val="20"/>
          <w:color w:val="auto"/>
        </w:rPr>
        <w:tab/>
      </w:r>
      <w:hyperlink r:id="rId216">
        <w:r>
          <w:rPr>
            <w:rFonts w:ascii="Times New Roman" w:cs="Times New Roman" w:eastAsia="Times New Roman" w:hAnsi="Times New Roman"/>
            <w:sz w:val="14"/>
            <w:szCs w:val="14"/>
            <w:u w:val="single" w:color="auto"/>
            <w:color w:val="0000EE"/>
          </w:rPr>
          <w:t>Amended and Restated Executive Employment Agreement between Fabrizio Battaglia and Mobix Labs, Inc. (included as Exhibit 10.14 to the proxy statement/prospectus, which is a part</w:t>
        </w:r>
      </w:hyperlink>
      <w:r>
        <w:rPr>
          <w:rFonts w:ascii="Times New Roman" w:cs="Times New Roman" w:eastAsia="Times New Roman" w:hAnsi="Times New Roman"/>
          <w:sz w:val="14"/>
          <w:szCs w:val="14"/>
          <w:u w:val="single" w:color="auto"/>
          <w:color w:val="0000EE"/>
        </w:rPr>
        <w:t xml:space="preserve"> </w:t>
      </w:r>
      <w:hyperlink r:id="rId216">
        <w:r>
          <w:rPr>
            <w:rFonts w:ascii="Times New Roman" w:cs="Times New Roman" w:eastAsia="Times New Roman" w:hAnsi="Times New Roman"/>
            <w:sz w:val="14"/>
            <w:szCs w:val="14"/>
            <w:u w:val="single" w:color="auto"/>
            <w:color w:val="0000EE"/>
          </w:rPr>
          <w:t>of the Company’s Registration Statement on Form S-4 filed on November 13, 2023, and incorporated herein by reference).</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10.7#</w:t>
      </w:r>
      <w:r>
        <w:rPr>
          <w:sz w:val="20"/>
          <w:szCs w:val="20"/>
          <w:color w:val="auto"/>
        </w:rPr>
        <w:tab/>
      </w:r>
      <w:hyperlink r:id="rId217">
        <w:r>
          <w:rPr>
            <w:rFonts w:ascii="Times New Roman" w:cs="Times New Roman" w:eastAsia="Times New Roman" w:hAnsi="Times New Roman"/>
            <w:sz w:val="14"/>
            <w:szCs w:val="14"/>
            <w:u w:val="single" w:color="auto"/>
            <w:color w:val="0000EE"/>
          </w:rPr>
          <w:t>Amended and Restated Executive Employment Term Sheet between Fabrizio Battaglia and Mobix Labs, Inc. (included as Exhibit 10.15 to the proxy statement/prospectus, which is a part</w:t>
        </w:r>
      </w:hyperlink>
      <w:r>
        <w:rPr>
          <w:rFonts w:ascii="Times New Roman" w:cs="Times New Roman" w:eastAsia="Times New Roman" w:hAnsi="Times New Roman"/>
          <w:sz w:val="14"/>
          <w:szCs w:val="14"/>
          <w:u w:val="single" w:color="auto"/>
          <w:color w:val="0000EE"/>
        </w:rPr>
        <w:t xml:space="preserve"> </w:t>
      </w:r>
      <w:hyperlink r:id="rId217">
        <w:r>
          <w:rPr>
            <w:rFonts w:ascii="Times New Roman" w:cs="Times New Roman" w:eastAsia="Times New Roman" w:hAnsi="Times New Roman"/>
            <w:sz w:val="14"/>
            <w:szCs w:val="14"/>
            <w:u w:val="single" w:color="auto"/>
            <w:color w:val="0000EE"/>
          </w:rPr>
          <w:t>of the Company’s Registration Statement on Form S-4 filed on November 13, 2023, and incorporated herein by reference).</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10.8#</w:t>
      </w:r>
      <w:r>
        <w:rPr>
          <w:sz w:val="20"/>
          <w:szCs w:val="20"/>
          <w:color w:val="auto"/>
        </w:rPr>
        <w:tab/>
      </w:r>
      <w:hyperlink r:id="rId218">
        <w:r>
          <w:rPr>
            <w:rFonts w:ascii="Times New Roman" w:cs="Times New Roman" w:eastAsia="Times New Roman" w:hAnsi="Times New Roman"/>
            <w:sz w:val="14"/>
            <w:szCs w:val="14"/>
            <w:u w:val="single" w:color="auto"/>
            <w:color w:val="0000EE"/>
          </w:rPr>
          <w:t>Amended and Restated Executive Employment Agreement between Keyvan Samini and Mobix Labs, Inc. (included as Exhibit 10.16 to the proxy statement/prospectus, which is a part of</w:t>
        </w:r>
      </w:hyperlink>
      <w:r>
        <w:rPr>
          <w:rFonts w:ascii="Times New Roman" w:cs="Times New Roman" w:eastAsia="Times New Roman" w:hAnsi="Times New Roman"/>
          <w:sz w:val="14"/>
          <w:szCs w:val="14"/>
          <w:u w:val="single" w:color="auto"/>
          <w:color w:val="0000EE"/>
        </w:rPr>
        <w:t xml:space="preserve"> </w:t>
      </w:r>
      <w:hyperlink r:id="rId218">
        <w:r>
          <w:rPr>
            <w:rFonts w:ascii="Times New Roman" w:cs="Times New Roman" w:eastAsia="Times New Roman" w:hAnsi="Times New Roman"/>
            <w:sz w:val="14"/>
            <w:szCs w:val="14"/>
            <w:u w:val="single" w:color="auto"/>
            <w:color w:val="0000EE"/>
          </w:rPr>
          <w:t>the Company’s Registration Statement on Form S-4 filed on November 13, 2023, and incorporated herein by reference).</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10.9#</w:t>
      </w:r>
      <w:r>
        <w:rPr>
          <w:sz w:val="20"/>
          <w:szCs w:val="20"/>
          <w:color w:val="auto"/>
        </w:rPr>
        <w:tab/>
      </w:r>
      <w:hyperlink r:id="rId219">
        <w:r>
          <w:rPr>
            <w:rFonts w:ascii="Times New Roman" w:cs="Times New Roman" w:eastAsia="Times New Roman" w:hAnsi="Times New Roman"/>
            <w:sz w:val="14"/>
            <w:szCs w:val="14"/>
            <w:u w:val="single" w:color="auto"/>
            <w:color w:val="0000EE"/>
          </w:rPr>
          <w:t>Amended and Restated Executive Employment Term Sheet between Keyvan Samini and Mobix Labs, Inc. (included as Exhibit 10.17 to the proxy statement/prospectus, which is a part of</w:t>
        </w:r>
      </w:hyperlink>
      <w:r>
        <w:rPr>
          <w:rFonts w:ascii="Times New Roman" w:cs="Times New Roman" w:eastAsia="Times New Roman" w:hAnsi="Times New Roman"/>
          <w:sz w:val="14"/>
          <w:szCs w:val="14"/>
          <w:u w:val="single" w:color="auto"/>
          <w:color w:val="0000EE"/>
        </w:rPr>
        <w:t xml:space="preserve"> </w:t>
      </w:r>
      <w:hyperlink r:id="rId219">
        <w:r>
          <w:rPr>
            <w:rFonts w:ascii="Times New Roman" w:cs="Times New Roman" w:eastAsia="Times New Roman" w:hAnsi="Times New Roman"/>
            <w:sz w:val="14"/>
            <w:szCs w:val="14"/>
            <w:u w:val="single" w:color="auto"/>
            <w:color w:val="0000EE"/>
          </w:rPr>
          <w:t>the Company’s Registration Statement on Form S-4 filed on November 13, 2023, and incorporated herein by reference).</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10.10#</w:t>
      </w:r>
      <w:r>
        <w:rPr>
          <w:sz w:val="20"/>
          <w:szCs w:val="20"/>
          <w:color w:val="auto"/>
        </w:rPr>
        <w:tab/>
      </w:r>
      <w:hyperlink r:id="rId220">
        <w:r>
          <w:rPr>
            <w:rFonts w:ascii="Times New Roman" w:cs="Times New Roman" w:eastAsia="Times New Roman" w:hAnsi="Times New Roman"/>
            <w:sz w:val="14"/>
            <w:szCs w:val="14"/>
            <w:u w:val="single" w:color="auto"/>
            <w:color w:val="0000EE"/>
          </w:rPr>
          <w:t>Employment Agreement between James Aralis and Mobix Labs, Inc. (included as Exhibit 10.18 to the proxy statement/prospectus, which is a part of the Company’s Registration</w:t>
        </w:r>
      </w:hyperlink>
      <w:r>
        <w:rPr>
          <w:rFonts w:ascii="Times New Roman" w:cs="Times New Roman" w:eastAsia="Times New Roman" w:hAnsi="Times New Roman"/>
          <w:sz w:val="14"/>
          <w:szCs w:val="14"/>
          <w:u w:val="single" w:color="auto"/>
          <w:color w:val="0000EE"/>
        </w:rPr>
        <w:t xml:space="preserve"> </w:t>
      </w:r>
      <w:hyperlink r:id="rId220">
        <w:r>
          <w:rPr>
            <w:rFonts w:ascii="Times New Roman" w:cs="Times New Roman" w:eastAsia="Times New Roman" w:hAnsi="Times New Roman"/>
            <w:sz w:val="14"/>
            <w:szCs w:val="14"/>
            <w:u w:val="single" w:color="auto"/>
            <w:color w:val="0000EE"/>
          </w:rPr>
          <w:t>Statement on Form S-4 filed on November 13, 2023, and incorporated herein by reference).</w:t>
        </w:r>
      </w:hyperlink>
    </w:p>
    <w:p>
      <w:pPr>
        <w:spacing w:after="0" w:line="1" w:lineRule="exact"/>
        <w:rPr>
          <w:sz w:val="20"/>
          <w:szCs w:val="20"/>
          <w:color w:val="auto"/>
        </w:rPr>
      </w:pPr>
    </w:p>
    <w:p>
      <w:pPr>
        <w:ind w:left="620" w:hanging="607"/>
        <w:spacing w:after="0" w:line="268"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10.11</w:t>
      </w:r>
      <w:r>
        <w:rPr>
          <w:sz w:val="20"/>
          <w:szCs w:val="20"/>
          <w:color w:val="auto"/>
        </w:rPr>
        <w:tab/>
      </w:r>
      <w:hyperlink r:id="rId221">
        <w:r>
          <w:rPr>
            <w:rFonts w:ascii="Times New Roman" w:cs="Times New Roman" w:eastAsia="Times New Roman" w:hAnsi="Times New Roman"/>
            <w:sz w:val="14"/>
            <w:szCs w:val="14"/>
            <w:u w:val="single" w:color="auto"/>
            <w:color w:val="0000EE"/>
          </w:rPr>
          <w:t>Form of Cancellation and Termination Agreement between Mobix Labs, Inc. and certain RSU holders (included as Exhibit 10.20 to the proxy statement/prospectus, which is a part of the</w:t>
        </w:r>
      </w:hyperlink>
      <w:r>
        <w:rPr>
          <w:rFonts w:ascii="Times New Roman" w:cs="Times New Roman" w:eastAsia="Times New Roman" w:hAnsi="Times New Roman"/>
          <w:sz w:val="14"/>
          <w:szCs w:val="14"/>
          <w:u w:val="single" w:color="auto"/>
          <w:color w:val="0000EE"/>
        </w:rPr>
        <w:t xml:space="preserve"> </w:t>
      </w:r>
      <w:hyperlink r:id="rId221">
        <w:r>
          <w:rPr>
            <w:rFonts w:ascii="Times New Roman" w:cs="Times New Roman" w:eastAsia="Times New Roman" w:hAnsi="Times New Roman"/>
            <w:sz w:val="14"/>
            <w:szCs w:val="14"/>
            <w:u w:val="single" w:color="auto"/>
            <w:color w:val="0000EE"/>
          </w:rPr>
          <w:t>Company’s Registration Statement on Form S-4 filed on November 13, 2023, and incorporated herein by reference).</w:t>
        </w:r>
      </w:hyperlink>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163" w:name="page164"/>
    <w:bookmarkEnd w:id="163"/>
    <w:p>
      <w:pPr>
        <w:ind w:left="620" w:hanging="607"/>
        <w:spacing w:after="0" w:line="26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10.12#</w:t>
      </w:r>
      <w:r>
        <w:rPr>
          <w:sz w:val="20"/>
          <w:szCs w:val="20"/>
          <w:color w:val="auto"/>
        </w:rPr>
        <w:tab/>
      </w:r>
      <w:hyperlink r:id="rId223">
        <w:r>
          <w:rPr>
            <w:rFonts w:ascii="Times New Roman" w:cs="Times New Roman" w:eastAsia="Times New Roman" w:hAnsi="Times New Roman"/>
            <w:sz w:val="14"/>
            <w:szCs w:val="14"/>
            <w:u w:val="single" w:color="auto"/>
            <w:color w:val="0000EE"/>
          </w:rPr>
          <w:t>Board of Directors Agreement, dated March 12, 2021, between Mobix Labs, Inc. and Kurt Busch (included as Exhibit 10.21 to the proxy statement/prospectus, which is a part of the</w:t>
        </w:r>
      </w:hyperlink>
      <w:r>
        <w:rPr>
          <w:rFonts w:ascii="Times New Roman" w:cs="Times New Roman" w:eastAsia="Times New Roman" w:hAnsi="Times New Roman"/>
          <w:sz w:val="14"/>
          <w:szCs w:val="14"/>
          <w:u w:val="single" w:color="auto"/>
          <w:color w:val="0000EE"/>
        </w:rPr>
        <w:t xml:space="preserve"> </w:t>
      </w:r>
      <w:hyperlink r:id="rId223">
        <w:r>
          <w:rPr>
            <w:rFonts w:ascii="Times New Roman" w:cs="Times New Roman" w:eastAsia="Times New Roman" w:hAnsi="Times New Roman"/>
            <w:sz w:val="14"/>
            <w:szCs w:val="14"/>
            <w:u w:val="single" w:color="auto"/>
            <w:color w:val="0000EE"/>
          </w:rPr>
          <w:t>Company’s Registration Statement on Form S-4 filed on November 13, 2023, and incorporated herein by reference).</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10.13#</w:t>
      </w:r>
      <w:r>
        <w:rPr>
          <w:sz w:val="20"/>
          <w:szCs w:val="20"/>
          <w:color w:val="auto"/>
        </w:rPr>
        <w:tab/>
      </w:r>
      <w:hyperlink r:id="rId224">
        <w:r>
          <w:rPr>
            <w:rFonts w:ascii="Times New Roman" w:cs="Times New Roman" w:eastAsia="Times New Roman" w:hAnsi="Times New Roman"/>
            <w:sz w:val="14"/>
            <w:szCs w:val="14"/>
            <w:u w:val="single" w:color="auto"/>
            <w:color w:val="0000EE"/>
          </w:rPr>
          <w:t>Board of Directors Agreement, dated March 12, 2021, between Mobix Labs, Inc. and William Carpou (included as Exhibit 10.22 to the proxy statement/prospectus, which is a part of the</w:t>
        </w:r>
      </w:hyperlink>
      <w:r>
        <w:rPr>
          <w:rFonts w:ascii="Times New Roman" w:cs="Times New Roman" w:eastAsia="Times New Roman" w:hAnsi="Times New Roman"/>
          <w:sz w:val="14"/>
          <w:szCs w:val="14"/>
          <w:u w:val="single" w:color="auto"/>
          <w:color w:val="0000EE"/>
        </w:rPr>
        <w:t xml:space="preserve"> </w:t>
      </w:r>
      <w:hyperlink r:id="rId224">
        <w:r>
          <w:rPr>
            <w:rFonts w:ascii="Times New Roman" w:cs="Times New Roman" w:eastAsia="Times New Roman" w:hAnsi="Times New Roman"/>
            <w:sz w:val="14"/>
            <w:szCs w:val="14"/>
            <w:u w:val="single" w:color="auto"/>
            <w:color w:val="0000EE"/>
          </w:rPr>
          <w:t>Company’s Registration Statement on Form S-4 filed on November 13, 2023, and incorporated herein by reference).</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10.14#</w:t>
      </w:r>
      <w:r>
        <w:rPr>
          <w:sz w:val="20"/>
          <w:szCs w:val="20"/>
          <w:color w:val="auto"/>
        </w:rPr>
        <w:tab/>
      </w:r>
      <w:hyperlink r:id="rId225">
        <w:r>
          <w:rPr>
            <w:rFonts w:ascii="Times New Roman" w:cs="Times New Roman" w:eastAsia="Times New Roman" w:hAnsi="Times New Roman"/>
            <w:sz w:val="14"/>
            <w:szCs w:val="14"/>
            <w:u w:val="single" w:color="auto"/>
            <w:color w:val="0000EE"/>
          </w:rPr>
          <w:t>Board of Directors Agreement, dated March 2, 2021, between Mobix Labs, Inc. and David Aldrich (included as Exhibit 10.23 to the proxy statement/prospectus, which is a part of the</w:t>
        </w:r>
      </w:hyperlink>
      <w:r>
        <w:rPr>
          <w:rFonts w:ascii="Times New Roman" w:cs="Times New Roman" w:eastAsia="Times New Roman" w:hAnsi="Times New Roman"/>
          <w:sz w:val="14"/>
          <w:szCs w:val="14"/>
          <w:u w:val="single" w:color="auto"/>
          <w:color w:val="0000EE"/>
        </w:rPr>
        <w:t xml:space="preserve"> </w:t>
      </w:r>
      <w:hyperlink r:id="rId225">
        <w:r>
          <w:rPr>
            <w:rFonts w:ascii="Times New Roman" w:cs="Times New Roman" w:eastAsia="Times New Roman" w:hAnsi="Times New Roman"/>
            <w:sz w:val="14"/>
            <w:szCs w:val="14"/>
            <w:u w:val="single" w:color="auto"/>
            <w:color w:val="0000EE"/>
          </w:rPr>
          <w:t>Company’s Registration Statement on Form S-4 filed on November 13, 2023, and incorporated herein by reference).</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10.15#</w:t>
      </w:r>
      <w:r>
        <w:rPr>
          <w:sz w:val="20"/>
          <w:szCs w:val="20"/>
          <w:color w:val="auto"/>
        </w:rPr>
        <w:tab/>
      </w:r>
      <w:hyperlink r:id="rId226">
        <w:r>
          <w:rPr>
            <w:rFonts w:ascii="Times New Roman" w:cs="Times New Roman" w:eastAsia="Times New Roman" w:hAnsi="Times New Roman"/>
            <w:sz w:val="14"/>
            <w:szCs w:val="14"/>
            <w:u w:val="single" w:color="auto"/>
            <w:color w:val="0000EE"/>
          </w:rPr>
          <w:t>Board of Directors Agreement, dated February 1, 2021, between Mobix Labs, Inc. and James Peterson (included as Exhibit 10.24 to the proxy statement/prospectus, which is a part of the</w:t>
        </w:r>
      </w:hyperlink>
      <w:r>
        <w:rPr>
          <w:rFonts w:ascii="Times New Roman" w:cs="Times New Roman" w:eastAsia="Times New Roman" w:hAnsi="Times New Roman"/>
          <w:sz w:val="14"/>
          <w:szCs w:val="14"/>
          <w:u w:val="single" w:color="auto"/>
          <w:color w:val="0000EE"/>
        </w:rPr>
        <w:t xml:space="preserve"> </w:t>
      </w:r>
      <w:hyperlink r:id="rId226">
        <w:r>
          <w:rPr>
            <w:rFonts w:ascii="Times New Roman" w:cs="Times New Roman" w:eastAsia="Times New Roman" w:hAnsi="Times New Roman"/>
            <w:sz w:val="14"/>
            <w:szCs w:val="14"/>
            <w:u w:val="single" w:color="auto"/>
            <w:color w:val="0000EE"/>
          </w:rPr>
          <w:t>Company’s Registration Statement on Form S-4 filed on November 13, 2023, and incorporated herein by reference).</w:t>
        </w:r>
      </w:hyperlink>
    </w:p>
    <w:p>
      <w:pPr>
        <w:spacing w:after="0" w:line="1" w:lineRule="exact"/>
        <w:rPr>
          <w:sz w:val="20"/>
          <w:szCs w:val="20"/>
          <w:color w:val="auto"/>
        </w:rPr>
      </w:pPr>
    </w:p>
    <w:p>
      <w:pPr>
        <w:ind w:left="620" w:hanging="571"/>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10.16#</w:t>
      </w:r>
      <w:r>
        <w:rPr>
          <w:sz w:val="20"/>
          <w:szCs w:val="20"/>
          <w:color w:val="auto"/>
        </w:rPr>
        <w:tab/>
      </w:r>
      <w:hyperlink r:id="rId227">
        <w:r>
          <w:rPr>
            <w:rFonts w:ascii="Times New Roman" w:cs="Times New Roman" w:eastAsia="Times New Roman" w:hAnsi="Times New Roman"/>
            <w:sz w:val="14"/>
            <w:szCs w:val="14"/>
            <w:u w:val="single" w:color="auto"/>
            <w:color w:val="0000EE"/>
          </w:rPr>
          <w:t>Board of Directors Agreement, dated February 1, 2021, between Mobix Labs, Inc. and Frederick Goerner (included as Exhibit 10.25 to the proxy statement/prospectus, which is a part of</w:t>
        </w:r>
      </w:hyperlink>
      <w:r>
        <w:rPr>
          <w:rFonts w:ascii="Times New Roman" w:cs="Times New Roman" w:eastAsia="Times New Roman" w:hAnsi="Times New Roman"/>
          <w:sz w:val="14"/>
          <w:szCs w:val="14"/>
          <w:u w:val="single" w:color="auto"/>
          <w:color w:val="0000EE"/>
        </w:rPr>
        <w:t xml:space="preserve"> </w:t>
      </w:r>
      <w:hyperlink r:id="rId227">
        <w:r>
          <w:rPr>
            <w:rFonts w:ascii="Times New Roman" w:cs="Times New Roman" w:eastAsia="Times New Roman" w:hAnsi="Times New Roman"/>
            <w:sz w:val="14"/>
            <w:szCs w:val="14"/>
            <w:u w:val="single" w:color="auto"/>
            <w:color w:val="0000EE"/>
          </w:rPr>
          <w:t>the Company’s Registration Statement on Form S-4 filed on November 13, 2023, and incorporated herein by reference).</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10.17#</w:t>
      </w:r>
      <w:r>
        <w:rPr>
          <w:sz w:val="20"/>
          <w:szCs w:val="20"/>
          <w:color w:val="auto"/>
        </w:rPr>
        <w:tab/>
      </w:r>
      <w:hyperlink r:id="rId228">
        <w:r>
          <w:rPr>
            <w:rFonts w:ascii="Times New Roman" w:cs="Times New Roman" w:eastAsia="Times New Roman" w:hAnsi="Times New Roman"/>
            <w:sz w:val="14"/>
            <w:szCs w:val="14"/>
            <w:u w:val="single" w:color="auto"/>
            <w:color w:val="0000EE"/>
          </w:rPr>
          <w:t>First Amendment to Board of Directors Agreement, dated March 26, 2023, between Mobix Labs, Inc. and James Peterson (included as Exhibit 10.26 to the proxy statement/prospectus,</w:t>
        </w:r>
      </w:hyperlink>
      <w:r>
        <w:rPr>
          <w:rFonts w:ascii="Times New Roman" w:cs="Times New Roman" w:eastAsia="Times New Roman" w:hAnsi="Times New Roman"/>
          <w:sz w:val="14"/>
          <w:szCs w:val="14"/>
          <w:u w:val="single" w:color="auto"/>
          <w:color w:val="0000EE"/>
        </w:rPr>
        <w:t xml:space="preserve"> </w:t>
      </w:r>
      <w:hyperlink r:id="rId228">
        <w:r>
          <w:rPr>
            <w:rFonts w:ascii="Times New Roman" w:cs="Times New Roman" w:eastAsia="Times New Roman" w:hAnsi="Times New Roman"/>
            <w:sz w:val="14"/>
            <w:szCs w:val="14"/>
            <w:u w:val="single" w:color="auto"/>
            <w:color w:val="0000EE"/>
          </w:rPr>
          <w:t>which is a part of the Company’s Registration Statement on Form S-4 filed on November 13, 2023, and incorporated herein by reference).</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10.18#</w:t>
      </w:r>
      <w:r>
        <w:rPr>
          <w:sz w:val="20"/>
          <w:szCs w:val="20"/>
          <w:color w:val="auto"/>
        </w:rPr>
        <w:tab/>
      </w:r>
      <w:hyperlink r:id="rId229">
        <w:r>
          <w:rPr>
            <w:rFonts w:ascii="Times New Roman" w:cs="Times New Roman" w:eastAsia="Times New Roman" w:hAnsi="Times New Roman"/>
            <w:sz w:val="14"/>
            <w:szCs w:val="14"/>
            <w:u w:val="single" w:color="auto"/>
            <w:color w:val="0000EE"/>
          </w:rPr>
          <w:t>First Amendment to Board of Directors Agreement, dated March 26, 2023, between Mobix Labs, Inc. and Frederick Goerner (included as Exhibit 10.27 to the proxy statement/prospectus,</w:t>
        </w:r>
      </w:hyperlink>
      <w:r>
        <w:rPr>
          <w:rFonts w:ascii="Times New Roman" w:cs="Times New Roman" w:eastAsia="Times New Roman" w:hAnsi="Times New Roman"/>
          <w:sz w:val="14"/>
          <w:szCs w:val="14"/>
          <w:u w:val="single" w:color="auto"/>
          <w:color w:val="0000EE"/>
        </w:rPr>
        <w:t xml:space="preserve"> </w:t>
      </w:r>
      <w:hyperlink r:id="rId229">
        <w:r>
          <w:rPr>
            <w:rFonts w:ascii="Times New Roman" w:cs="Times New Roman" w:eastAsia="Times New Roman" w:hAnsi="Times New Roman"/>
            <w:sz w:val="14"/>
            <w:szCs w:val="14"/>
            <w:u w:val="single" w:color="auto"/>
            <w:color w:val="0000EE"/>
          </w:rPr>
          <w:t>which is a part of the Company’s Registration Statement on Form S-4 filed on November 13, 2023, and incorporated herein by reference).</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10.19</w:t>
      </w:r>
      <w:r>
        <w:rPr>
          <w:sz w:val="20"/>
          <w:szCs w:val="20"/>
          <w:color w:val="auto"/>
        </w:rPr>
        <w:tab/>
      </w:r>
      <w:hyperlink r:id="rId230">
        <w:r>
          <w:rPr>
            <w:rFonts w:ascii="Times New Roman" w:cs="Times New Roman" w:eastAsia="Times New Roman" w:hAnsi="Times New Roman"/>
            <w:sz w:val="14"/>
            <w:szCs w:val="14"/>
            <w:u w:val="single" w:color="auto"/>
            <w:color w:val="0000EE"/>
          </w:rPr>
          <w:t>Subscription Agreement, effective as of December 18, 2023, by and among Chavant Capital Acquisition Corp., Mobix Labs, Inc. and Sage Hill Investors, LLC (incorporated by reference</w:t>
        </w:r>
      </w:hyperlink>
      <w:r>
        <w:rPr>
          <w:rFonts w:ascii="Times New Roman" w:cs="Times New Roman" w:eastAsia="Times New Roman" w:hAnsi="Times New Roman"/>
          <w:sz w:val="14"/>
          <w:szCs w:val="14"/>
          <w:u w:val="single" w:color="auto"/>
          <w:color w:val="0000EE"/>
        </w:rPr>
        <w:t xml:space="preserve"> </w:t>
      </w:r>
      <w:hyperlink r:id="rId230">
        <w:r>
          <w:rPr>
            <w:rFonts w:ascii="Times New Roman" w:cs="Times New Roman" w:eastAsia="Times New Roman" w:hAnsi="Times New Roman"/>
            <w:sz w:val="14"/>
            <w:szCs w:val="14"/>
            <w:u w:val="single" w:color="auto"/>
            <w:color w:val="0000EE"/>
          </w:rPr>
          <w:t>to Exhibit 10.1 to Chavant’s Current Report on Form 8-K filed on December 19, 2023).</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10.20</w:t>
      </w:r>
      <w:r>
        <w:rPr>
          <w:sz w:val="20"/>
          <w:szCs w:val="20"/>
          <w:color w:val="auto"/>
        </w:rPr>
        <w:tab/>
      </w:r>
      <w:hyperlink r:id="rId231">
        <w:r>
          <w:rPr>
            <w:rFonts w:ascii="Times New Roman" w:cs="Times New Roman" w:eastAsia="Times New Roman" w:hAnsi="Times New Roman"/>
            <w:sz w:val="14"/>
            <w:szCs w:val="14"/>
            <w:u w:val="single" w:color="auto"/>
            <w:color w:val="0000EE"/>
          </w:rPr>
          <w:t>Warrant to Purchase Shares of Common Stock, dated December 14, 2023, by and between Mobix Labs, Inc. and Sage Hill Investors, LLC (incorporated by reference to Exhibit 10.2 to</w:t>
        </w:r>
      </w:hyperlink>
      <w:r>
        <w:rPr>
          <w:rFonts w:ascii="Times New Roman" w:cs="Times New Roman" w:eastAsia="Times New Roman" w:hAnsi="Times New Roman"/>
          <w:sz w:val="14"/>
          <w:szCs w:val="14"/>
          <w:u w:val="single" w:color="auto"/>
          <w:color w:val="0000EE"/>
        </w:rPr>
        <w:t xml:space="preserve"> </w:t>
      </w:r>
      <w:hyperlink r:id="rId231">
        <w:r>
          <w:rPr>
            <w:rFonts w:ascii="Times New Roman" w:cs="Times New Roman" w:eastAsia="Times New Roman" w:hAnsi="Times New Roman"/>
            <w:sz w:val="14"/>
            <w:szCs w:val="14"/>
            <w:u w:val="single" w:color="auto"/>
            <w:color w:val="0000EE"/>
          </w:rPr>
          <w:t>Chavant’s Current Report on Form 8-K filed on December 19, 2023).</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10.21</w:t>
      </w:r>
      <w:r>
        <w:rPr>
          <w:sz w:val="20"/>
          <w:szCs w:val="20"/>
          <w:color w:val="auto"/>
        </w:rPr>
        <w:tab/>
      </w:r>
      <w:hyperlink r:id="rId232">
        <w:r>
          <w:rPr>
            <w:rFonts w:ascii="Times New Roman" w:cs="Times New Roman" w:eastAsia="Times New Roman" w:hAnsi="Times New Roman"/>
            <w:sz w:val="14"/>
            <w:szCs w:val="14"/>
            <w:u w:val="single" w:color="auto"/>
            <w:color w:val="0000EE"/>
          </w:rPr>
          <w:t>Subscription Agreement, dated December 19, 2023, by and among Chavant Capital Acquisition Corp., Mobix Labs, Inc. and Chavant Capital Partners LLC (incorporated by reference to</w:t>
        </w:r>
      </w:hyperlink>
      <w:r>
        <w:rPr>
          <w:rFonts w:ascii="Times New Roman" w:cs="Times New Roman" w:eastAsia="Times New Roman" w:hAnsi="Times New Roman"/>
          <w:sz w:val="14"/>
          <w:szCs w:val="14"/>
          <w:u w:val="single" w:color="auto"/>
          <w:color w:val="0000EE"/>
        </w:rPr>
        <w:t xml:space="preserve"> </w:t>
      </w:r>
      <w:hyperlink r:id="rId232">
        <w:r>
          <w:rPr>
            <w:rFonts w:ascii="Times New Roman" w:cs="Times New Roman" w:eastAsia="Times New Roman" w:hAnsi="Times New Roman"/>
            <w:sz w:val="14"/>
            <w:szCs w:val="14"/>
            <w:u w:val="single" w:color="auto"/>
            <w:color w:val="0000EE"/>
          </w:rPr>
          <w:t>Exhibit 10.1 to Mobix Labs, Inc.’s Current Report on Form 8-K on December 26, 2023).</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10.22</w:t>
      </w:r>
      <w:r>
        <w:rPr>
          <w:sz w:val="20"/>
          <w:szCs w:val="20"/>
          <w:color w:val="auto"/>
        </w:rPr>
        <w:tab/>
      </w:r>
      <w:hyperlink r:id="rId233">
        <w:r>
          <w:rPr>
            <w:rFonts w:ascii="Times New Roman" w:cs="Times New Roman" w:eastAsia="Times New Roman" w:hAnsi="Times New Roman"/>
            <w:sz w:val="14"/>
            <w:szCs w:val="14"/>
            <w:u w:val="single" w:color="auto"/>
            <w:color w:val="0000EE"/>
          </w:rPr>
          <w:t>Warrant to Purchase Shares of Common Stock, dated December 20, 2023, by and between Mobix Labs, Inc. and Chavant Capital Partners LLC (incorporated by reference to Exhibit 10.2</w:t>
        </w:r>
      </w:hyperlink>
      <w:r>
        <w:rPr>
          <w:rFonts w:ascii="Times New Roman" w:cs="Times New Roman" w:eastAsia="Times New Roman" w:hAnsi="Times New Roman"/>
          <w:sz w:val="14"/>
          <w:szCs w:val="14"/>
          <w:u w:val="single" w:color="auto"/>
          <w:color w:val="0000EE"/>
        </w:rPr>
        <w:t xml:space="preserve"> </w:t>
      </w:r>
      <w:hyperlink r:id="rId233">
        <w:r>
          <w:rPr>
            <w:rFonts w:ascii="Times New Roman" w:cs="Times New Roman" w:eastAsia="Times New Roman" w:hAnsi="Times New Roman"/>
            <w:sz w:val="14"/>
            <w:szCs w:val="14"/>
            <w:u w:val="single" w:color="auto"/>
            <w:color w:val="0000EE"/>
          </w:rPr>
          <w:t>to Mobix Labs, Inc.’s Current Report on Form 8-K filed on December 26, 2023).</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10.23</w:t>
      </w:r>
      <w:r>
        <w:rPr>
          <w:sz w:val="20"/>
          <w:szCs w:val="20"/>
          <w:color w:val="auto"/>
        </w:rPr>
        <w:tab/>
      </w:r>
      <w:hyperlink r:id="rId234">
        <w:r>
          <w:rPr>
            <w:rFonts w:ascii="Times New Roman" w:cs="Times New Roman" w:eastAsia="Times New Roman" w:hAnsi="Times New Roman"/>
            <w:sz w:val="14"/>
            <w:szCs w:val="14"/>
            <w:u w:val="single" w:color="auto"/>
            <w:color w:val="0000EE"/>
          </w:rPr>
          <w:t>Sponsor Letter Agreement, dated December 20, 2023, by and among Chavant Capital Acquisition Corp., Mobix Labs, Inc. and Chavant Capital Partners (incorporated by reference to</w:t>
        </w:r>
      </w:hyperlink>
      <w:r>
        <w:rPr>
          <w:rFonts w:ascii="Times New Roman" w:cs="Times New Roman" w:eastAsia="Times New Roman" w:hAnsi="Times New Roman"/>
          <w:sz w:val="14"/>
          <w:szCs w:val="14"/>
          <w:u w:val="single" w:color="auto"/>
          <w:color w:val="0000EE"/>
        </w:rPr>
        <w:t xml:space="preserve"> </w:t>
      </w:r>
      <w:hyperlink r:id="rId234">
        <w:r>
          <w:rPr>
            <w:rFonts w:ascii="Times New Roman" w:cs="Times New Roman" w:eastAsia="Times New Roman" w:hAnsi="Times New Roman"/>
            <w:sz w:val="14"/>
            <w:szCs w:val="14"/>
            <w:u w:val="single" w:color="auto"/>
            <w:color w:val="0000EE"/>
          </w:rPr>
          <w:t>Exhibit 10.3 to Mobix Labs, Inc.’s Current Report on Form 8-K filed on December 26, 2023).</w:t>
        </w:r>
      </w:hyperlink>
    </w:p>
    <w:p>
      <w:pPr>
        <w:spacing w:after="0" w:line="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10.24</w:t>
      </w:r>
      <w:r>
        <w:rPr>
          <w:sz w:val="20"/>
          <w:szCs w:val="20"/>
          <w:color w:val="auto"/>
        </w:rPr>
        <w:tab/>
      </w:r>
      <w:hyperlink r:id="rId235">
        <w:r>
          <w:rPr>
            <w:rFonts w:ascii="Times New Roman" w:cs="Times New Roman" w:eastAsia="Times New Roman" w:hAnsi="Times New Roman"/>
            <w:sz w:val="14"/>
            <w:szCs w:val="14"/>
            <w:u w:val="single" w:color="auto"/>
            <w:color w:val="0000EE"/>
          </w:rPr>
          <w:t>Form of Additional PIPE Subscription Agreement (incorporated by reference to Exhibit 10.4 to Mobix Labs, Inc.’s Current Report on Form 8-K filed on December 26, 2023).</w:t>
        </w:r>
      </w:hyperlink>
    </w:p>
    <w:p>
      <w:pPr>
        <w:spacing w:after="0" w:line="10"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10.25</w:t>
      </w:r>
      <w:r>
        <w:rPr>
          <w:sz w:val="20"/>
          <w:szCs w:val="20"/>
          <w:color w:val="auto"/>
        </w:rPr>
        <w:tab/>
      </w:r>
      <w:hyperlink r:id="rId236">
        <w:r>
          <w:rPr>
            <w:rFonts w:ascii="Times New Roman" w:cs="Times New Roman" w:eastAsia="Times New Roman" w:hAnsi="Times New Roman"/>
            <w:sz w:val="14"/>
            <w:szCs w:val="14"/>
            <w:u w:val="single" w:color="auto"/>
            <w:color w:val="0000EE"/>
          </w:rPr>
          <w:t>Form of Converted Additional Warrant to Purchase Shares of Common Stock of Mobix Labs, Inc. (incorporated by reference to Exhibit 10.5 to Mobix Labs, Inc.’s Current Report on</w:t>
        </w:r>
      </w:hyperlink>
      <w:r>
        <w:rPr>
          <w:rFonts w:ascii="Times New Roman" w:cs="Times New Roman" w:eastAsia="Times New Roman" w:hAnsi="Times New Roman"/>
          <w:sz w:val="14"/>
          <w:szCs w:val="14"/>
          <w:u w:val="single" w:color="auto"/>
          <w:color w:val="0000EE"/>
        </w:rPr>
        <w:t xml:space="preserve"> </w:t>
      </w:r>
      <w:hyperlink r:id="rId236">
        <w:r>
          <w:rPr>
            <w:rFonts w:ascii="Times New Roman" w:cs="Times New Roman" w:eastAsia="Times New Roman" w:hAnsi="Times New Roman"/>
            <w:sz w:val="14"/>
            <w:szCs w:val="14"/>
            <w:u w:val="single" w:color="auto"/>
            <w:color w:val="0000EE"/>
          </w:rPr>
          <w:t>Form 8-K filed on December 26, 2023).</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10.26</w:t>
      </w:r>
      <w:r>
        <w:rPr>
          <w:sz w:val="20"/>
          <w:szCs w:val="20"/>
          <w:color w:val="auto"/>
        </w:rPr>
        <w:tab/>
      </w:r>
      <w:hyperlink r:id="rId237">
        <w:r>
          <w:rPr>
            <w:rFonts w:ascii="Times New Roman" w:cs="Times New Roman" w:eastAsia="Times New Roman" w:hAnsi="Times New Roman"/>
            <w:sz w:val="14"/>
            <w:szCs w:val="14"/>
            <w:u w:val="single" w:color="auto"/>
            <w:color w:val="0000EE"/>
          </w:rPr>
          <w:t>Form of Non-Converted Additional Warrant to Purchase Shares of Common Stock of Mobix Labs, Inc. (incorporated by reference to Exhibit 10.6 to Mobix Labs, Inc.’s Current Report on</w:t>
        </w:r>
      </w:hyperlink>
      <w:r>
        <w:rPr>
          <w:rFonts w:ascii="Times New Roman" w:cs="Times New Roman" w:eastAsia="Times New Roman" w:hAnsi="Times New Roman"/>
          <w:sz w:val="14"/>
          <w:szCs w:val="14"/>
          <w:u w:val="single" w:color="auto"/>
          <w:color w:val="0000EE"/>
        </w:rPr>
        <w:t xml:space="preserve"> </w:t>
      </w:r>
      <w:hyperlink r:id="rId237">
        <w:r>
          <w:rPr>
            <w:rFonts w:ascii="Times New Roman" w:cs="Times New Roman" w:eastAsia="Times New Roman" w:hAnsi="Times New Roman"/>
            <w:sz w:val="14"/>
            <w:szCs w:val="14"/>
            <w:u w:val="single" w:color="auto"/>
            <w:color w:val="0000EE"/>
          </w:rPr>
          <w:t>Form 8-K filed on December 26, 2023).</w:t>
        </w:r>
      </w:hyperlink>
    </w:p>
    <w:p>
      <w:pPr>
        <w:spacing w:after="0" w:line="1" w:lineRule="exact"/>
        <w:rPr>
          <w:sz w:val="20"/>
          <w:szCs w:val="20"/>
          <w:color w:val="auto"/>
        </w:rPr>
      </w:pPr>
    </w:p>
    <w:p>
      <w:pPr>
        <w:ind w:left="620" w:hanging="607"/>
        <w:spacing w:after="0" w:line="268"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10.27</w:t>
      </w:r>
      <w:r>
        <w:rPr>
          <w:sz w:val="20"/>
          <w:szCs w:val="20"/>
          <w:color w:val="auto"/>
        </w:rPr>
        <w:tab/>
      </w:r>
      <w:hyperlink r:id="rId238">
        <w:r>
          <w:rPr>
            <w:rFonts w:ascii="Times New Roman" w:cs="Times New Roman" w:eastAsia="Times New Roman" w:hAnsi="Times New Roman"/>
            <w:sz w:val="14"/>
            <w:szCs w:val="14"/>
            <w:u w:val="single" w:color="auto"/>
            <w:color w:val="0000EE"/>
          </w:rPr>
          <w:t>Non-Redemption Agreement, dated December 20, 2023, by and among Chavant Capital Acquisition Corp., Mobix Labs, Inc. and a shareholder of Chavant (incorporated by reference to</w:t>
        </w:r>
      </w:hyperlink>
      <w:r>
        <w:rPr>
          <w:rFonts w:ascii="Times New Roman" w:cs="Times New Roman" w:eastAsia="Times New Roman" w:hAnsi="Times New Roman"/>
          <w:sz w:val="14"/>
          <w:szCs w:val="14"/>
          <w:u w:val="single" w:color="auto"/>
          <w:color w:val="0000EE"/>
        </w:rPr>
        <w:t xml:space="preserve"> </w:t>
      </w:r>
      <w:hyperlink r:id="rId238">
        <w:r>
          <w:rPr>
            <w:rFonts w:ascii="Times New Roman" w:cs="Times New Roman" w:eastAsia="Times New Roman" w:hAnsi="Times New Roman"/>
            <w:sz w:val="14"/>
            <w:szCs w:val="14"/>
            <w:u w:val="single" w:color="auto"/>
            <w:color w:val="0000EE"/>
          </w:rPr>
          <w:t>Exhibit 10.7 to Mobix Labs, Inc.’s Current Report on Form 8-K filed on December 26, 2023).</w:t>
        </w:r>
      </w:hyperlink>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164" w:name="page165"/>
    <w:bookmarkEnd w:id="164"/>
    <w:p>
      <w:pPr>
        <w:ind w:left="620" w:hanging="607"/>
        <w:spacing w:after="0" w:line="26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10.28</w:t>
      </w:r>
      <w:r>
        <w:rPr>
          <w:sz w:val="20"/>
          <w:szCs w:val="20"/>
          <w:color w:val="auto"/>
        </w:rPr>
        <w:tab/>
      </w:r>
      <w:hyperlink r:id="rId240">
        <w:r>
          <w:rPr>
            <w:rFonts w:ascii="Times New Roman" w:cs="Times New Roman" w:eastAsia="Times New Roman" w:hAnsi="Times New Roman"/>
            <w:sz w:val="14"/>
            <w:szCs w:val="14"/>
            <w:u w:val="single" w:color="auto"/>
            <w:color w:val="0000EE"/>
          </w:rPr>
          <w:t>Non-Redemption Warrant, dated December 20, 2023, between Mobix Labs, Inc. and a shareholder of Chavant (incorporated by reference to Exhibit 10.8 to Mobix Labs, Inc.’s Current</w:t>
        </w:r>
      </w:hyperlink>
      <w:r>
        <w:rPr>
          <w:rFonts w:ascii="Times New Roman" w:cs="Times New Roman" w:eastAsia="Times New Roman" w:hAnsi="Times New Roman"/>
          <w:sz w:val="14"/>
          <w:szCs w:val="14"/>
          <w:u w:val="single" w:color="auto"/>
          <w:color w:val="0000EE"/>
        </w:rPr>
        <w:t xml:space="preserve"> </w:t>
      </w:r>
      <w:hyperlink r:id="rId240">
        <w:r>
          <w:rPr>
            <w:rFonts w:ascii="Times New Roman" w:cs="Times New Roman" w:eastAsia="Times New Roman" w:hAnsi="Times New Roman"/>
            <w:sz w:val="14"/>
            <w:szCs w:val="14"/>
            <w:u w:val="single" w:color="auto"/>
            <w:color w:val="0000EE"/>
          </w:rPr>
          <w:t>Report on Form 8-K filed on December 26, 2023).</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10.29</w:t>
      </w:r>
      <w:r>
        <w:rPr>
          <w:sz w:val="20"/>
          <w:szCs w:val="20"/>
          <w:color w:val="auto"/>
        </w:rPr>
        <w:tab/>
      </w:r>
      <w:hyperlink r:id="rId241">
        <w:r>
          <w:rPr>
            <w:rFonts w:ascii="Times New Roman" w:cs="Times New Roman" w:eastAsia="Times New Roman" w:hAnsi="Times New Roman"/>
            <w:sz w:val="14"/>
            <w:szCs w:val="14"/>
            <w:u w:val="single" w:color="auto"/>
            <w:color w:val="0000EE"/>
          </w:rPr>
          <w:t>Amendment to Business Combination Marketing Agreement, dated December 21, 2023, by and among Chavant, Roth Capital Partners, LLC and Craig-Hallum Capital Group LLC</w:t>
        </w:r>
      </w:hyperlink>
      <w:r>
        <w:rPr>
          <w:rFonts w:ascii="Times New Roman" w:cs="Times New Roman" w:eastAsia="Times New Roman" w:hAnsi="Times New Roman"/>
          <w:sz w:val="14"/>
          <w:szCs w:val="14"/>
          <w:u w:val="single" w:color="auto"/>
          <w:color w:val="0000EE"/>
        </w:rPr>
        <w:t xml:space="preserve"> </w:t>
      </w:r>
      <w:hyperlink r:id="rId241">
        <w:r>
          <w:rPr>
            <w:rFonts w:ascii="Times New Roman" w:cs="Times New Roman" w:eastAsia="Times New Roman" w:hAnsi="Times New Roman"/>
            <w:sz w:val="14"/>
            <w:szCs w:val="14"/>
            <w:u w:val="single" w:color="auto"/>
            <w:color w:val="0000EE"/>
          </w:rPr>
          <w:t>(incorporated by reference to Exhibit 10.29 to Mobix Labs, Inc.’s Current Report on Form 8-K filed on December 28, 2023).</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10.30</w:t>
      </w:r>
      <w:r>
        <w:rPr>
          <w:sz w:val="20"/>
          <w:szCs w:val="20"/>
          <w:color w:val="auto"/>
        </w:rPr>
        <w:tab/>
      </w:r>
      <w:hyperlink r:id="rId242">
        <w:r>
          <w:rPr>
            <w:rFonts w:ascii="Times New Roman" w:cs="Times New Roman" w:eastAsia="Times New Roman" w:hAnsi="Times New Roman"/>
            <w:sz w:val="14"/>
            <w:szCs w:val="14"/>
            <w:u w:val="single" w:color="auto"/>
            <w:color w:val="0000EE"/>
          </w:rPr>
          <w:t>Common Stock Purchase Agreement, dated as of March 18, 2024, by and between Mobix Labs, Inc. and B. Riley Principal Capital II, LLC (incorporated by reference to Exhibit 10.1 to</w:t>
        </w:r>
      </w:hyperlink>
      <w:r>
        <w:rPr>
          <w:rFonts w:ascii="Times New Roman" w:cs="Times New Roman" w:eastAsia="Times New Roman" w:hAnsi="Times New Roman"/>
          <w:sz w:val="14"/>
          <w:szCs w:val="14"/>
          <w:u w:val="single" w:color="auto"/>
          <w:color w:val="0000EE"/>
        </w:rPr>
        <w:t xml:space="preserve"> </w:t>
      </w:r>
      <w:hyperlink r:id="rId242">
        <w:r>
          <w:rPr>
            <w:rFonts w:ascii="Times New Roman" w:cs="Times New Roman" w:eastAsia="Times New Roman" w:hAnsi="Times New Roman"/>
            <w:sz w:val="14"/>
            <w:szCs w:val="14"/>
            <w:u w:val="single" w:color="auto"/>
            <w:color w:val="0000EE"/>
          </w:rPr>
          <w:t>Mobix Labs, Inc.’s Current Report on Form 8-K filed on March 19, 2024).</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10.31</w:t>
      </w:r>
      <w:r>
        <w:rPr>
          <w:sz w:val="20"/>
          <w:szCs w:val="20"/>
          <w:color w:val="auto"/>
        </w:rPr>
        <w:tab/>
      </w:r>
      <w:hyperlink r:id="rId243">
        <w:r>
          <w:rPr>
            <w:rFonts w:ascii="Times New Roman" w:cs="Times New Roman" w:eastAsia="Times New Roman" w:hAnsi="Times New Roman"/>
            <w:sz w:val="14"/>
            <w:szCs w:val="14"/>
            <w:u w:val="single" w:color="auto"/>
            <w:color w:val="0000EE"/>
          </w:rPr>
          <w:t>Registration Rights Agreement, dated as of March 18, 2024, by and between Mobix Labs, Inc. and B. Riley Principal Capital II, LLC (incorporated by reference to Exhibit 10.2 to Mobix</w:t>
        </w:r>
      </w:hyperlink>
      <w:r>
        <w:rPr>
          <w:rFonts w:ascii="Times New Roman" w:cs="Times New Roman" w:eastAsia="Times New Roman" w:hAnsi="Times New Roman"/>
          <w:sz w:val="14"/>
          <w:szCs w:val="14"/>
          <w:u w:val="single" w:color="auto"/>
          <w:color w:val="0000EE"/>
        </w:rPr>
        <w:t xml:space="preserve"> </w:t>
      </w:r>
      <w:hyperlink r:id="rId243">
        <w:r>
          <w:rPr>
            <w:rFonts w:ascii="Times New Roman" w:cs="Times New Roman" w:eastAsia="Times New Roman" w:hAnsi="Times New Roman"/>
            <w:sz w:val="14"/>
            <w:szCs w:val="14"/>
            <w:u w:val="single" w:color="auto"/>
            <w:color w:val="0000EE"/>
          </w:rPr>
          <w:t>Labs, Inc.’s Current Report on Form 8-K filed on March 19, 2024).</w:t>
        </w:r>
      </w:hyperlink>
    </w:p>
    <w:p>
      <w:pPr>
        <w:spacing w:after="0" w:line="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10.32</w:t>
      </w:r>
      <w:r>
        <w:rPr>
          <w:sz w:val="20"/>
          <w:szCs w:val="20"/>
          <w:color w:val="auto"/>
        </w:rPr>
        <w:tab/>
      </w:r>
      <w:hyperlink r:id="rId244">
        <w:r>
          <w:rPr>
            <w:rFonts w:ascii="Times New Roman" w:cs="Times New Roman" w:eastAsia="Times New Roman" w:hAnsi="Times New Roman"/>
            <w:sz w:val="14"/>
            <w:szCs w:val="14"/>
            <w:u w:val="single" w:color="auto"/>
            <w:color w:val="0000EE"/>
          </w:rPr>
          <w:t>Business Combination Agreement, dated as of May 8, 2024, by and among Mobix Labs, Inc, RaGE Systems, Inc and Mobix Merger Sub III, LLC (incorporated by reference to Exhibit</w:t>
        </w:r>
      </w:hyperlink>
    </w:p>
    <w:p>
      <w:pPr>
        <w:spacing w:after="0" w:line="10" w:lineRule="exact"/>
        <w:rPr>
          <w:sz w:val="20"/>
          <w:szCs w:val="20"/>
          <w:color w:val="auto"/>
        </w:rPr>
      </w:pPr>
    </w:p>
    <w:p>
      <w:pPr>
        <w:ind w:left="620"/>
        <w:spacing w:after="0"/>
        <w:rPr>
          <w:rFonts w:ascii="Times New Roman" w:cs="Times New Roman" w:eastAsia="Times New Roman" w:hAnsi="Times New Roman"/>
          <w:sz w:val="14"/>
          <w:szCs w:val="14"/>
          <w:u w:val="single" w:color="auto"/>
          <w:color w:val="0000EE"/>
        </w:rPr>
      </w:pPr>
      <w:hyperlink r:id="rId244">
        <w:r>
          <w:rPr>
            <w:rFonts w:ascii="Times New Roman" w:cs="Times New Roman" w:eastAsia="Times New Roman" w:hAnsi="Times New Roman"/>
            <w:sz w:val="14"/>
            <w:szCs w:val="14"/>
            <w:u w:val="single" w:color="auto"/>
            <w:color w:val="0000EE"/>
          </w:rPr>
          <w:t>99.1 to Mobix Labs, Inc.’s Current Report on Form 8-K filed on May 14, 2024).</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10.33†</w:t>
      </w:r>
      <w:r>
        <w:rPr>
          <w:sz w:val="20"/>
          <w:szCs w:val="20"/>
          <w:color w:val="auto"/>
        </w:rPr>
        <w:tab/>
      </w:r>
      <w:hyperlink r:id="rId245">
        <w:r>
          <w:rPr>
            <w:rFonts w:ascii="Times New Roman" w:cs="Times New Roman" w:eastAsia="Times New Roman" w:hAnsi="Times New Roman"/>
            <w:sz w:val="14"/>
            <w:szCs w:val="14"/>
            <w:u w:val="single" w:color="auto"/>
            <w:color w:val="0000EE"/>
          </w:rPr>
          <w:t>Form of Securities Purchase Agreement, dated as of July 22, 2024 (incorporated by reference to Exhibit 10.1 to Mobix Labs, Inc.’s Current Report on Form 8-K filed on July 24, 2024).</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10.34</w:t>
      </w:r>
      <w:r>
        <w:rPr>
          <w:sz w:val="20"/>
          <w:szCs w:val="20"/>
          <w:color w:val="auto"/>
        </w:rPr>
        <w:tab/>
      </w:r>
      <w:hyperlink r:id="rId246">
        <w:r>
          <w:rPr>
            <w:rFonts w:ascii="Times New Roman" w:cs="Times New Roman" w:eastAsia="Times New Roman" w:hAnsi="Times New Roman"/>
            <w:sz w:val="14"/>
            <w:szCs w:val="14"/>
            <w:u w:val="single" w:color="auto"/>
            <w:color w:val="0000EE"/>
          </w:rPr>
          <w:t>Form of Registration Rights Agreement, dated as of July 22, 2024 (incorporated by reference to Exhibit 10.2 to Mobix Labs, Inc.’s Current Report on Form 8-K filed on July 24, 2024).</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10.35</w:t>
      </w:r>
      <w:r>
        <w:rPr>
          <w:sz w:val="20"/>
          <w:szCs w:val="20"/>
          <w:color w:val="auto"/>
        </w:rPr>
        <w:tab/>
      </w:r>
      <w:hyperlink r:id="rId247">
        <w:r>
          <w:rPr>
            <w:rFonts w:ascii="Times New Roman" w:cs="Times New Roman" w:eastAsia="Times New Roman" w:hAnsi="Times New Roman"/>
            <w:sz w:val="14"/>
            <w:szCs w:val="14"/>
            <w:u w:val="single" w:color="auto"/>
            <w:color w:val="0000EE"/>
          </w:rPr>
          <w:t>Form of Lock-Up Agreement, dated as of July 24, 2024 (incorporated by reference to Exhibit 10.3 to Mobix Labs, Inc.’s Current Report on Form 8-K filed on July 24, 2024).</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10.36</w:t>
      </w:r>
      <w:r>
        <w:rPr>
          <w:sz w:val="20"/>
          <w:szCs w:val="20"/>
          <w:color w:val="auto"/>
        </w:rPr>
        <w:tab/>
      </w:r>
      <w:hyperlink r:id="rId248">
        <w:r>
          <w:rPr>
            <w:rFonts w:ascii="Times New Roman" w:cs="Times New Roman" w:eastAsia="Times New Roman" w:hAnsi="Times New Roman"/>
            <w:sz w:val="14"/>
            <w:szCs w:val="14"/>
            <w:u w:val="single" w:color="auto"/>
            <w:color w:val="0000EE"/>
          </w:rPr>
          <w:t>Form of Placement Agency Agreement, dated as of April 4, 2025 (incorporated by reference to Exhibit 10.1 to Mobix Labs, Inc.’s Current Report on Form 8-K filed on April 7, 2025).</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10.37</w:t>
      </w:r>
      <w:r>
        <w:rPr>
          <w:sz w:val="20"/>
          <w:szCs w:val="20"/>
          <w:color w:val="auto"/>
        </w:rPr>
        <w:tab/>
      </w:r>
      <w:hyperlink r:id="rId249">
        <w:r>
          <w:rPr>
            <w:rFonts w:ascii="Times New Roman" w:cs="Times New Roman" w:eastAsia="Times New Roman" w:hAnsi="Times New Roman"/>
            <w:sz w:val="14"/>
            <w:szCs w:val="14"/>
            <w:u w:val="single" w:color="auto"/>
            <w:color w:val="0000EE"/>
          </w:rPr>
          <w:t>Form of Securities Purchase Agreement, dated as of April 4, 2025 (incorporated by reference to Exhibit 10.2 to Mobix Labs, Inc.’s Current Report on Form 8-K filed on April 7, 2025).</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10.38#</w:t>
      </w:r>
      <w:r>
        <w:rPr>
          <w:sz w:val="20"/>
          <w:szCs w:val="20"/>
          <w:color w:val="auto"/>
        </w:rPr>
        <w:tab/>
      </w:r>
      <w:hyperlink r:id="rId250">
        <w:r>
          <w:rPr>
            <w:rFonts w:ascii="Times New Roman" w:cs="Times New Roman" w:eastAsia="Times New Roman" w:hAnsi="Times New Roman"/>
            <w:sz w:val="14"/>
            <w:szCs w:val="14"/>
            <w:u w:val="single" w:color="auto"/>
            <w:color w:val="0000EE"/>
          </w:rPr>
          <w:t>Amended and Restated Restricted Stock Unit Award Agreement by and between Mobix Labs, Inc. and James Peterson dated as of April 11, 2025 (incorporated by reference to Exhibit</w:t>
        </w:r>
      </w:hyperlink>
    </w:p>
    <w:p>
      <w:pPr>
        <w:spacing w:after="0" w:line="10" w:lineRule="exact"/>
        <w:rPr>
          <w:sz w:val="20"/>
          <w:szCs w:val="20"/>
          <w:color w:val="auto"/>
        </w:rPr>
      </w:pPr>
    </w:p>
    <w:p>
      <w:pPr>
        <w:ind w:left="620"/>
        <w:spacing w:after="0"/>
        <w:rPr>
          <w:rFonts w:ascii="Times New Roman" w:cs="Times New Roman" w:eastAsia="Times New Roman" w:hAnsi="Times New Roman"/>
          <w:sz w:val="14"/>
          <w:szCs w:val="14"/>
          <w:u w:val="single" w:color="auto"/>
          <w:color w:val="0000EE"/>
        </w:rPr>
      </w:pPr>
      <w:hyperlink r:id="rId250">
        <w:r>
          <w:rPr>
            <w:rFonts w:ascii="Times New Roman" w:cs="Times New Roman" w:eastAsia="Times New Roman" w:hAnsi="Times New Roman"/>
            <w:sz w:val="14"/>
            <w:szCs w:val="14"/>
            <w:u w:val="single" w:color="auto"/>
            <w:color w:val="0000EE"/>
          </w:rPr>
          <w:t>10.1 to Mobix Labs, Inc.’s Quarterly Report on Form 10-Q filed on May 15, 2025).</w:t>
        </w:r>
      </w:hyperlink>
    </w:p>
    <w:p>
      <w:pPr>
        <w:spacing w:after="0" w:line="10"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10.39#</w:t>
      </w:r>
      <w:r>
        <w:rPr>
          <w:sz w:val="20"/>
          <w:szCs w:val="20"/>
          <w:color w:val="auto"/>
        </w:rPr>
        <w:tab/>
      </w:r>
      <w:hyperlink r:id="rId251">
        <w:r>
          <w:rPr>
            <w:rFonts w:ascii="Times New Roman" w:cs="Times New Roman" w:eastAsia="Times New Roman" w:hAnsi="Times New Roman"/>
            <w:sz w:val="14"/>
            <w:szCs w:val="14"/>
            <w:u w:val="single" w:color="auto"/>
            <w:color w:val="0000EE"/>
          </w:rPr>
          <w:t>Amended and Restated Restricted Stock Unit Award Agreement by and between Mobix Labs, Inc. and Frederick Goerner dated as of April 11, 2025 (incorporated by reference to Exhibit</w:t>
        </w:r>
      </w:hyperlink>
    </w:p>
    <w:p>
      <w:pPr>
        <w:spacing w:after="0" w:line="10" w:lineRule="exact"/>
        <w:rPr>
          <w:sz w:val="20"/>
          <w:szCs w:val="20"/>
          <w:color w:val="auto"/>
        </w:rPr>
      </w:pPr>
    </w:p>
    <w:p>
      <w:pPr>
        <w:ind w:left="620"/>
        <w:spacing w:after="0"/>
        <w:rPr>
          <w:rFonts w:ascii="Times New Roman" w:cs="Times New Roman" w:eastAsia="Times New Roman" w:hAnsi="Times New Roman"/>
          <w:sz w:val="14"/>
          <w:szCs w:val="14"/>
          <w:u w:val="single" w:color="auto"/>
          <w:color w:val="0000EE"/>
        </w:rPr>
      </w:pPr>
      <w:hyperlink r:id="rId251">
        <w:r>
          <w:rPr>
            <w:rFonts w:ascii="Times New Roman" w:cs="Times New Roman" w:eastAsia="Times New Roman" w:hAnsi="Times New Roman"/>
            <w:sz w:val="14"/>
            <w:szCs w:val="14"/>
            <w:u w:val="single" w:color="auto"/>
            <w:color w:val="0000EE"/>
          </w:rPr>
          <w:t>10.2 to Mobix Labs, Inc.’s Quarterly Report on Form 10-Q filed on May 15, 2025)</w:t>
        </w:r>
      </w:hyperlink>
    </w:p>
    <w:p>
      <w:pPr>
        <w:spacing w:after="0" w:line="10"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10.40#</w:t>
      </w:r>
      <w:r>
        <w:rPr>
          <w:sz w:val="20"/>
          <w:szCs w:val="20"/>
          <w:color w:val="auto"/>
        </w:rPr>
        <w:tab/>
      </w:r>
      <w:hyperlink r:id="rId252">
        <w:r>
          <w:rPr>
            <w:rFonts w:ascii="Times New Roman" w:cs="Times New Roman" w:eastAsia="Times New Roman" w:hAnsi="Times New Roman"/>
            <w:sz w:val="14"/>
            <w:szCs w:val="14"/>
            <w:u w:val="single" w:color="auto"/>
            <w:color w:val="0000EE"/>
          </w:rPr>
          <w:t>Restricted Stock Unit Award Agreement by and between Mobix Labs, Inc. and David Aldrich dated as of April 10, 2025 (incorporated by reference to Exhibit 99.3 of the Registrant’s</w:t>
        </w:r>
      </w:hyperlink>
      <w:r>
        <w:rPr>
          <w:rFonts w:ascii="Times New Roman" w:cs="Times New Roman" w:eastAsia="Times New Roman" w:hAnsi="Times New Roman"/>
          <w:sz w:val="14"/>
          <w:szCs w:val="14"/>
          <w:u w:val="single" w:color="auto"/>
          <w:color w:val="0000EE"/>
        </w:rPr>
        <w:t xml:space="preserve"> </w:t>
      </w:r>
      <w:hyperlink r:id="rId252">
        <w:r>
          <w:rPr>
            <w:rFonts w:ascii="Times New Roman" w:cs="Times New Roman" w:eastAsia="Times New Roman" w:hAnsi="Times New Roman"/>
            <w:sz w:val="14"/>
            <w:szCs w:val="14"/>
            <w:u w:val="single" w:color="auto"/>
            <w:color w:val="0000EE"/>
          </w:rPr>
          <w:t>Registration Statement on Form S-8 (File No. 333-286200), filed with the SEC on March 28, 2025).</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10.41#</w:t>
      </w:r>
      <w:r>
        <w:rPr>
          <w:sz w:val="20"/>
          <w:szCs w:val="20"/>
          <w:color w:val="auto"/>
        </w:rPr>
        <w:tab/>
      </w:r>
      <w:hyperlink r:id="rId253">
        <w:r>
          <w:rPr>
            <w:rFonts w:ascii="Times New Roman" w:cs="Times New Roman" w:eastAsia="Times New Roman" w:hAnsi="Times New Roman"/>
            <w:sz w:val="14"/>
            <w:szCs w:val="14"/>
            <w:u w:val="single" w:color="auto"/>
            <w:color w:val="0000EE"/>
          </w:rPr>
          <w:t>Restricted Stock Unit Award Agreement by and between Mobix Labs, Inc. and Kurt Busch dated as of April 10, 2025 (incorporated by reference to Exhibit 99.4 of the Registrant’s</w:t>
        </w:r>
      </w:hyperlink>
      <w:r>
        <w:rPr>
          <w:rFonts w:ascii="Times New Roman" w:cs="Times New Roman" w:eastAsia="Times New Roman" w:hAnsi="Times New Roman"/>
          <w:sz w:val="14"/>
          <w:szCs w:val="14"/>
          <w:u w:val="single" w:color="auto"/>
          <w:color w:val="0000EE"/>
        </w:rPr>
        <w:t xml:space="preserve"> </w:t>
      </w:r>
      <w:hyperlink r:id="rId253">
        <w:r>
          <w:rPr>
            <w:rFonts w:ascii="Times New Roman" w:cs="Times New Roman" w:eastAsia="Times New Roman" w:hAnsi="Times New Roman"/>
            <w:sz w:val="14"/>
            <w:szCs w:val="14"/>
            <w:u w:val="single" w:color="auto"/>
            <w:color w:val="0000EE"/>
          </w:rPr>
          <w:t>Registration Statement on Form S-8 (File No. 333-286200), filed with the SEC on March 28, 2025).</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10.42#</w:t>
      </w:r>
      <w:r>
        <w:rPr>
          <w:sz w:val="20"/>
          <w:szCs w:val="20"/>
          <w:color w:val="auto"/>
        </w:rPr>
        <w:tab/>
      </w:r>
      <w:hyperlink r:id="rId254">
        <w:r>
          <w:rPr>
            <w:rFonts w:ascii="Times New Roman" w:cs="Times New Roman" w:eastAsia="Times New Roman" w:hAnsi="Times New Roman"/>
            <w:sz w:val="14"/>
            <w:szCs w:val="14"/>
            <w:u w:val="single" w:color="auto"/>
            <w:color w:val="0000EE"/>
          </w:rPr>
          <w:t>Restricted Stock Unit Award Agreement by and between Mobix Labs, Inc. and William Carpou dated as of April 10, 2025 (incorporated by reference to Exhibit 99.5 of the Registrant’s</w:t>
        </w:r>
      </w:hyperlink>
      <w:r>
        <w:rPr>
          <w:rFonts w:ascii="Times New Roman" w:cs="Times New Roman" w:eastAsia="Times New Roman" w:hAnsi="Times New Roman"/>
          <w:sz w:val="14"/>
          <w:szCs w:val="14"/>
          <w:u w:val="single" w:color="auto"/>
          <w:color w:val="0000EE"/>
        </w:rPr>
        <w:t xml:space="preserve"> </w:t>
      </w:r>
      <w:hyperlink r:id="rId254">
        <w:r>
          <w:rPr>
            <w:rFonts w:ascii="Times New Roman" w:cs="Times New Roman" w:eastAsia="Times New Roman" w:hAnsi="Times New Roman"/>
            <w:sz w:val="14"/>
            <w:szCs w:val="14"/>
            <w:u w:val="single" w:color="auto"/>
            <w:color w:val="0000EE"/>
          </w:rPr>
          <w:t>Registration Statement on Form S-8 (File No. 333-286200), filed with the SEC on March 28, 2025).</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10.43#</w:t>
      </w:r>
      <w:r>
        <w:rPr>
          <w:sz w:val="20"/>
          <w:szCs w:val="20"/>
          <w:color w:val="auto"/>
        </w:rPr>
        <w:tab/>
      </w:r>
      <w:hyperlink r:id="rId255">
        <w:r>
          <w:rPr>
            <w:rFonts w:ascii="Times New Roman" w:cs="Times New Roman" w:eastAsia="Times New Roman" w:hAnsi="Times New Roman"/>
            <w:sz w:val="14"/>
            <w:szCs w:val="14"/>
            <w:u w:val="single" w:color="auto"/>
            <w:color w:val="0000EE"/>
          </w:rPr>
          <w:t>Amended and Restated Restricted Stock Award Agreement by and between Mobix Labs, Inc. and Fabrizio Battaglia dated as of May 5, 2025 (incorporated by reference to Exhibit 10.6 to</w:t>
        </w:r>
      </w:hyperlink>
      <w:r>
        <w:rPr>
          <w:rFonts w:ascii="Times New Roman" w:cs="Times New Roman" w:eastAsia="Times New Roman" w:hAnsi="Times New Roman"/>
          <w:sz w:val="14"/>
          <w:szCs w:val="14"/>
          <w:u w:val="single" w:color="auto"/>
          <w:color w:val="0000EE"/>
        </w:rPr>
        <w:t xml:space="preserve"> </w:t>
      </w:r>
      <w:hyperlink r:id="rId255">
        <w:r>
          <w:rPr>
            <w:rFonts w:ascii="Times New Roman" w:cs="Times New Roman" w:eastAsia="Times New Roman" w:hAnsi="Times New Roman"/>
            <w:sz w:val="14"/>
            <w:szCs w:val="14"/>
            <w:u w:val="single" w:color="auto"/>
            <w:color w:val="0000EE"/>
          </w:rPr>
          <w:t>Mobix Labs, Inc.’s Quarterly Report on Form 10-Q filed on May 15, 2025).</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10.44#</w:t>
      </w:r>
      <w:r>
        <w:rPr>
          <w:sz w:val="20"/>
          <w:szCs w:val="20"/>
          <w:color w:val="auto"/>
        </w:rPr>
        <w:tab/>
      </w:r>
      <w:hyperlink r:id="rId256">
        <w:r>
          <w:rPr>
            <w:rFonts w:ascii="Times New Roman" w:cs="Times New Roman" w:eastAsia="Times New Roman" w:hAnsi="Times New Roman"/>
            <w:sz w:val="14"/>
            <w:szCs w:val="14"/>
            <w:u w:val="single" w:color="auto"/>
            <w:color w:val="0000EE"/>
          </w:rPr>
          <w:t>Amended and Restated Restricted Stock Award Agreement by and between Mobix Labs, Inc. and Keyvan Samini dated as of May 5, 2025 (incorporated by reference to Exhibit 10.7 to</w:t>
        </w:r>
      </w:hyperlink>
      <w:r>
        <w:rPr>
          <w:rFonts w:ascii="Times New Roman" w:cs="Times New Roman" w:eastAsia="Times New Roman" w:hAnsi="Times New Roman"/>
          <w:sz w:val="14"/>
          <w:szCs w:val="14"/>
          <w:u w:val="single" w:color="auto"/>
          <w:color w:val="0000EE"/>
        </w:rPr>
        <w:t xml:space="preserve"> </w:t>
      </w:r>
      <w:hyperlink r:id="rId256">
        <w:r>
          <w:rPr>
            <w:rFonts w:ascii="Times New Roman" w:cs="Times New Roman" w:eastAsia="Times New Roman" w:hAnsi="Times New Roman"/>
            <w:sz w:val="14"/>
            <w:szCs w:val="14"/>
            <w:u w:val="single" w:color="auto"/>
            <w:color w:val="0000EE"/>
          </w:rPr>
          <w:t>Mobix Labs, Inc.’s Quarterly Report on Form 10-Q filed on May 15, 2025).</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10.45#</w:t>
      </w:r>
      <w:r>
        <w:rPr>
          <w:sz w:val="20"/>
          <w:szCs w:val="20"/>
          <w:color w:val="auto"/>
        </w:rPr>
        <w:tab/>
      </w:r>
      <w:hyperlink r:id="rId257">
        <w:r>
          <w:rPr>
            <w:rFonts w:ascii="Times New Roman" w:cs="Times New Roman" w:eastAsia="Times New Roman" w:hAnsi="Times New Roman"/>
            <w:sz w:val="14"/>
            <w:szCs w:val="14"/>
            <w:u w:val="single" w:color="auto"/>
            <w:color w:val="0000EE"/>
          </w:rPr>
          <w:t>2023 Equity Incentive Plan (As Amended) (incorporated by reference to Exhibit 99.11 of the Registrant’s Registration Statement on Form S-8 (File No. 333-286200), filed with the SEC</w:t>
        </w:r>
      </w:hyperlink>
      <w:r>
        <w:rPr>
          <w:rFonts w:ascii="Times New Roman" w:cs="Times New Roman" w:eastAsia="Times New Roman" w:hAnsi="Times New Roman"/>
          <w:sz w:val="14"/>
          <w:szCs w:val="14"/>
          <w:u w:val="single" w:color="auto"/>
          <w:color w:val="0000EE"/>
        </w:rPr>
        <w:t xml:space="preserve"> </w:t>
      </w:r>
      <w:hyperlink r:id="rId257">
        <w:r>
          <w:rPr>
            <w:rFonts w:ascii="Times New Roman" w:cs="Times New Roman" w:eastAsia="Times New Roman" w:hAnsi="Times New Roman"/>
            <w:sz w:val="14"/>
            <w:szCs w:val="14"/>
            <w:u w:val="single" w:color="auto"/>
            <w:color w:val="0000EE"/>
          </w:rPr>
          <w:t>on March 28, 2025).</w:t>
        </w:r>
      </w:hyperlink>
    </w:p>
    <w:p>
      <w:pPr>
        <w:spacing w:after="0" w:line="1" w:lineRule="exact"/>
        <w:rPr>
          <w:sz w:val="20"/>
          <w:szCs w:val="20"/>
          <w:color w:val="auto"/>
        </w:rPr>
      </w:pPr>
    </w:p>
    <w:p>
      <w:pPr>
        <w:ind w:left="620" w:hanging="607"/>
        <w:spacing w:after="0" w:line="25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10.46#</w:t>
      </w:r>
      <w:r>
        <w:rPr>
          <w:sz w:val="20"/>
          <w:szCs w:val="20"/>
          <w:color w:val="auto"/>
        </w:rPr>
        <w:tab/>
      </w:r>
      <w:hyperlink r:id="rId258">
        <w:r>
          <w:rPr>
            <w:rFonts w:ascii="Times New Roman" w:cs="Times New Roman" w:eastAsia="Times New Roman" w:hAnsi="Times New Roman"/>
            <w:sz w:val="14"/>
            <w:szCs w:val="14"/>
            <w:u w:val="single" w:color="auto"/>
            <w:color w:val="0000EE"/>
          </w:rPr>
          <w:t>Retirement and Release Agreement, by and among Mobix Labs, Inc. and Fabrizio Battaglia, dated as of July 25, 2025 (incorporated by reference to Exhibit 10.46 to the Registrant’s</w:t>
        </w:r>
      </w:hyperlink>
      <w:r>
        <w:rPr>
          <w:rFonts w:ascii="Times New Roman" w:cs="Times New Roman" w:eastAsia="Times New Roman" w:hAnsi="Times New Roman"/>
          <w:sz w:val="14"/>
          <w:szCs w:val="14"/>
          <w:u w:val="single" w:color="auto"/>
          <w:color w:val="0000EE"/>
        </w:rPr>
        <w:t xml:space="preserve"> </w:t>
      </w:r>
      <w:hyperlink r:id="rId258">
        <w:r>
          <w:rPr>
            <w:rFonts w:ascii="Times New Roman" w:cs="Times New Roman" w:eastAsia="Times New Roman" w:hAnsi="Times New Roman"/>
            <w:sz w:val="14"/>
            <w:szCs w:val="14"/>
            <w:u w:val="single" w:color="auto"/>
            <w:color w:val="0000EE"/>
          </w:rPr>
          <w:t>Amendment No. 1 to the Registrant’s Registration on Form S-1).</w:t>
        </w:r>
      </w:hyperlink>
    </w:p>
    <w:p>
      <w:pPr>
        <w:spacing w:after="0" w:line="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10.47</w:t>
      </w:r>
      <w:r>
        <w:rPr>
          <w:sz w:val="20"/>
          <w:szCs w:val="20"/>
          <w:color w:val="auto"/>
        </w:rPr>
        <w:tab/>
      </w:r>
      <w:hyperlink r:id="rId259">
        <w:r>
          <w:rPr>
            <w:rFonts w:ascii="Times New Roman" w:cs="Times New Roman" w:eastAsia="Times New Roman" w:hAnsi="Times New Roman"/>
            <w:sz w:val="14"/>
            <w:szCs w:val="14"/>
            <w:u w:val="single" w:color="auto"/>
            <w:color w:val="0000EE"/>
          </w:rPr>
          <w:t>Form of Inducement Letter (incorporated by reference to Exhibit 10.1 to Mobix Labs, Inc.’s Current Report on Form 8-K filed on September 4, 2025).</w:t>
        </w:r>
      </w:hyperlink>
    </w:p>
    <w:p>
      <w:pPr>
        <w:spacing w:after="0" w:line="10" w:lineRule="exact"/>
        <w:rPr>
          <w:sz w:val="20"/>
          <w:szCs w:val="20"/>
          <w:color w:val="auto"/>
        </w:rPr>
      </w:pPr>
    </w:p>
    <w:p>
      <w:pPr>
        <w:ind w:left="620" w:hanging="607"/>
        <w:spacing w:after="0" w:line="268"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10.48</w:t>
      </w:r>
      <w:r>
        <w:rPr>
          <w:sz w:val="20"/>
          <w:szCs w:val="20"/>
          <w:color w:val="auto"/>
        </w:rPr>
        <w:tab/>
      </w:r>
      <w:hyperlink r:id="rId260">
        <w:r>
          <w:rPr>
            <w:rFonts w:ascii="Times New Roman" w:cs="Times New Roman" w:eastAsia="Times New Roman" w:hAnsi="Times New Roman"/>
            <w:sz w:val="14"/>
            <w:szCs w:val="14"/>
            <w:u w:val="single" w:color="auto"/>
            <w:color w:val="0000EE"/>
          </w:rPr>
          <w:t>Senior Secured Promissory Note in favor of Lendspark Corporation, dated as of August 13, 2025 (incorporated by reference to Exhibit 10.48 to the Registrant’s Amendment No. 1 to the</w:t>
        </w:r>
      </w:hyperlink>
      <w:r>
        <w:rPr>
          <w:rFonts w:ascii="Times New Roman" w:cs="Times New Roman" w:eastAsia="Times New Roman" w:hAnsi="Times New Roman"/>
          <w:sz w:val="14"/>
          <w:szCs w:val="14"/>
          <w:u w:val="single" w:color="auto"/>
          <w:color w:val="0000EE"/>
        </w:rPr>
        <w:t xml:space="preserve"> </w:t>
      </w:r>
      <w:hyperlink r:id="rId260">
        <w:r>
          <w:rPr>
            <w:rFonts w:ascii="Times New Roman" w:cs="Times New Roman" w:eastAsia="Times New Roman" w:hAnsi="Times New Roman"/>
            <w:sz w:val="14"/>
            <w:szCs w:val="14"/>
            <w:u w:val="single" w:color="auto"/>
            <w:color w:val="0000EE"/>
          </w:rPr>
          <w:t>Registrant’s Registration Statement on Form S-1 (File No. 333-287493), filed with the SEC on October 14, 2025).</w:t>
        </w:r>
      </w:hyperlink>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10.49^</w:t>
            </w:r>
          </w:p>
        </w:tc>
        <w:tc>
          <w:tcPr>
            <w:tcW w:w="1064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rPr>
            </w:pPr>
            <w:hyperlink r:id="rId262">
              <w:r>
                <w:rPr>
                  <w:rFonts w:ascii="Times New Roman" w:cs="Times New Roman" w:eastAsia="Times New Roman" w:hAnsi="Times New Roman"/>
                  <w:sz w:val="14"/>
                  <w:szCs w:val="14"/>
                  <w:color w:val="0000EE"/>
                </w:rPr>
                <w:t>Securities Purchase Agreement, by and between Mobix Labs, Inc. and Lendspark Corporation, dated as of August 13, 2025 (incorporated by reference to Exhibit 10.49 to the Registrant’s</w:t>
              </w:r>
            </w:hyperlink>
          </w:p>
        </w:tc>
      </w:tr>
      <w:tr>
        <w:trPr>
          <w:trHeight w:val="151"/>
        </w:trPr>
        <w:tc>
          <w:tcPr>
            <w:tcW w:w="640" w:type="dxa"/>
            <w:vAlign w:val="bottom"/>
          </w:tcPr>
          <w:p>
            <w:pPr>
              <w:spacing w:after="0"/>
              <w:rPr>
                <w:sz w:val="13"/>
                <w:szCs w:val="13"/>
                <w:color w:val="auto"/>
              </w:rPr>
            </w:pPr>
          </w:p>
        </w:tc>
        <w:tc>
          <w:tcPr>
            <w:tcW w:w="10640" w:type="dxa"/>
            <w:vAlign w:val="bottom"/>
            <w:gridSpan w:val="15"/>
          </w:tcPr>
          <w:p>
            <w:pPr>
              <w:spacing w:after="0" w:line="151" w:lineRule="exact"/>
              <w:rPr>
                <w:rFonts w:ascii="Times New Roman" w:cs="Times New Roman" w:eastAsia="Times New Roman" w:hAnsi="Times New Roman"/>
                <w:sz w:val="14"/>
                <w:szCs w:val="14"/>
                <w:color w:val="0000EE"/>
              </w:rPr>
            </w:pPr>
            <w:hyperlink r:id="rId262">
              <w:r>
                <w:rPr>
                  <w:rFonts w:ascii="Times New Roman" w:cs="Times New Roman" w:eastAsia="Times New Roman" w:hAnsi="Times New Roman"/>
                  <w:sz w:val="14"/>
                  <w:szCs w:val="14"/>
                  <w:color w:val="0000EE"/>
                </w:rPr>
                <w:t>Amendment No. 1 to the Registrant’s Registration Statement on Form S-1 (File No. 333-287493), filed with the SEC on October 14, 2025).</w:t>
              </w:r>
            </w:hyperlink>
          </w:p>
        </w:tc>
      </w:tr>
      <w:tr>
        <w:trPr>
          <w:trHeight w:val="20"/>
        </w:trPr>
        <w:tc>
          <w:tcPr>
            <w:tcW w:w="64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10.50^+</w:t>
            </w:r>
          </w:p>
        </w:tc>
        <w:tc>
          <w:tcPr>
            <w:tcW w:w="10640" w:type="dxa"/>
            <w:vAlign w:val="bottom"/>
            <w:tcBorders>
              <w:bottom w:val="single" w:sz="8" w:color="0000EE"/>
            </w:tcBorders>
            <w:gridSpan w:val="15"/>
          </w:tcPr>
          <w:p>
            <w:pPr>
              <w:spacing w:after="0" w:line="151" w:lineRule="exact"/>
              <w:rPr>
                <w:rFonts w:ascii="Times New Roman" w:cs="Times New Roman" w:eastAsia="Times New Roman" w:hAnsi="Times New Roman"/>
                <w:sz w:val="14"/>
                <w:szCs w:val="14"/>
                <w:color w:val="0000EE"/>
              </w:rPr>
            </w:pPr>
            <w:hyperlink r:id="rId263">
              <w:r>
                <w:rPr>
                  <w:rFonts w:ascii="Times New Roman" w:cs="Times New Roman" w:eastAsia="Times New Roman" w:hAnsi="Times New Roman"/>
                  <w:sz w:val="14"/>
                  <w:szCs w:val="14"/>
                  <w:color w:val="0000EE"/>
                </w:rPr>
                <w:t>Business Loan and Security Agreement, by and between Mobix Labs, Inc. and Maximcash Solutions LLC, dated as August 13, 2025 (incorporated by reference to Exhibit 10.50 to the</w:t>
              </w:r>
            </w:hyperlink>
          </w:p>
        </w:tc>
      </w:tr>
      <w:tr>
        <w:trPr>
          <w:trHeight w:val="151"/>
        </w:trPr>
        <w:tc>
          <w:tcPr>
            <w:tcW w:w="640" w:type="dxa"/>
            <w:vAlign w:val="bottom"/>
          </w:tcPr>
          <w:p>
            <w:pPr>
              <w:spacing w:after="0"/>
              <w:rPr>
                <w:sz w:val="13"/>
                <w:szCs w:val="13"/>
                <w:color w:val="auto"/>
              </w:rPr>
            </w:pPr>
          </w:p>
        </w:tc>
        <w:tc>
          <w:tcPr>
            <w:tcW w:w="8660" w:type="dxa"/>
            <w:vAlign w:val="bottom"/>
            <w:tcBorders>
              <w:bottom w:val="single" w:sz="8" w:color="0000EE"/>
            </w:tcBorders>
            <w:gridSpan w:val="13"/>
          </w:tcPr>
          <w:p>
            <w:pPr>
              <w:spacing w:after="0" w:line="151" w:lineRule="exact"/>
              <w:rPr>
                <w:rFonts w:ascii="Times New Roman" w:cs="Times New Roman" w:eastAsia="Times New Roman" w:hAnsi="Times New Roman"/>
                <w:sz w:val="14"/>
                <w:szCs w:val="14"/>
                <w:color w:val="0000EE"/>
              </w:rPr>
            </w:pPr>
            <w:hyperlink r:id="rId263">
              <w:r>
                <w:rPr>
                  <w:rFonts w:ascii="Times New Roman" w:cs="Times New Roman" w:eastAsia="Times New Roman" w:hAnsi="Times New Roman"/>
                  <w:sz w:val="14"/>
                  <w:szCs w:val="14"/>
                  <w:color w:val="0000EE"/>
                </w:rPr>
                <w:t>Registrant’s Amendment No. 1 to the Registrant’s Registration Statement on Form S-1 (File No. 333-287493), filed with the SEC on October 14, 2025).</w:t>
              </w:r>
            </w:hyperlink>
          </w:p>
        </w:tc>
        <w:tc>
          <w:tcPr>
            <w:tcW w:w="1980" w:type="dxa"/>
            <w:vAlign w:val="bottom"/>
            <w:gridSpan w:val="2"/>
          </w:tcPr>
          <w:p>
            <w:pPr>
              <w:spacing w:after="0"/>
              <w:rPr>
                <w:sz w:val="13"/>
                <w:szCs w:val="13"/>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10.51+</w:t>
            </w:r>
          </w:p>
        </w:tc>
        <w:tc>
          <w:tcPr>
            <w:tcW w:w="10640" w:type="dxa"/>
            <w:vAlign w:val="bottom"/>
            <w:tcBorders>
              <w:bottom w:val="single" w:sz="8" w:color="0000EE"/>
            </w:tcBorders>
            <w:gridSpan w:val="15"/>
          </w:tcPr>
          <w:p>
            <w:pPr>
              <w:spacing w:after="0" w:line="151" w:lineRule="exact"/>
              <w:rPr>
                <w:rFonts w:ascii="Times New Roman" w:cs="Times New Roman" w:eastAsia="Times New Roman" w:hAnsi="Times New Roman"/>
                <w:sz w:val="14"/>
                <w:szCs w:val="14"/>
                <w:color w:val="0000EE"/>
              </w:rPr>
            </w:pPr>
            <w:hyperlink r:id="rId264">
              <w:r>
                <w:rPr>
                  <w:rFonts w:ascii="Times New Roman" w:cs="Times New Roman" w:eastAsia="Times New Roman" w:hAnsi="Times New Roman"/>
                  <w:sz w:val="14"/>
                  <w:szCs w:val="14"/>
                  <w:color w:val="0000EE"/>
                </w:rPr>
                <w:t>Stock Pledge Agreement, by and between Mobix Labs, Inc. and Maximcash Solutions LLC, dated as August 13, 2025 (incorporated by reference to Exhibit 10.51 to the Registrant’s</w:t>
              </w:r>
            </w:hyperlink>
          </w:p>
        </w:tc>
      </w:tr>
      <w:tr>
        <w:trPr>
          <w:trHeight w:val="151"/>
        </w:trPr>
        <w:tc>
          <w:tcPr>
            <w:tcW w:w="640" w:type="dxa"/>
            <w:vAlign w:val="bottom"/>
          </w:tcPr>
          <w:p>
            <w:pPr>
              <w:spacing w:after="0"/>
              <w:rPr>
                <w:sz w:val="13"/>
                <w:szCs w:val="13"/>
                <w:color w:val="auto"/>
              </w:rPr>
            </w:pPr>
          </w:p>
        </w:tc>
        <w:tc>
          <w:tcPr>
            <w:tcW w:w="10640" w:type="dxa"/>
            <w:vAlign w:val="bottom"/>
            <w:gridSpan w:val="15"/>
          </w:tcPr>
          <w:p>
            <w:pPr>
              <w:spacing w:after="0" w:line="151" w:lineRule="exact"/>
              <w:rPr>
                <w:rFonts w:ascii="Times New Roman" w:cs="Times New Roman" w:eastAsia="Times New Roman" w:hAnsi="Times New Roman"/>
                <w:sz w:val="14"/>
                <w:szCs w:val="14"/>
                <w:color w:val="0000EE"/>
              </w:rPr>
            </w:pPr>
            <w:hyperlink r:id="rId264">
              <w:r>
                <w:rPr>
                  <w:rFonts w:ascii="Times New Roman" w:cs="Times New Roman" w:eastAsia="Times New Roman" w:hAnsi="Times New Roman"/>
                  <w:sz w:val="14"/>
                  <w:szCs w:val="14"/>
                  <w:color w:val="0000EE"/>
                </w:rPr>
                <w:t>Amendment No. 1 to the Registrant’s Registration Statement on Form S-1 (File No. 333-287493), filed with the SEC on October 14, 2025).</w:t>
              </w:r>
            </w:hyperlink>
          </w:p>
        </w:tc>
      </w:tr>
      <w:tr>
        <w:trPr>
          <w:trHeight w:val="20"/>
        </w:trPr>
        <w:tc>
          <w:tcPr>
            <w:tcW w:w="64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10.52^+</w:t>
            </w:r>
          </w:p>
        </w:tc>
        <w:tc>
          <w:tcPr>
            <w:tcW w:w="10640" w:type="dxa"/>
            <w:vAlign w:val="bottom"/>
            <w:tcBorders>
              <w:bottom w:val="single" w:sz="8" w:color="0000EE"/>
            </w:tcBorders>
            <w:gridSpan w:val="15"/>
          </w:tcPr>
          <w:p>
            <w:pPr>
              <w:spacing w:after="0" w:line="151" w:lineRule="exact"/>
              <w:rPr>
                <w:rFonts w:ascii="Times New Roman" w:cs="Times New Roman" w:eastAsia="Times New Roman" w:hAnsi="Times New Roman"/>
                <w:sz w:val="14"/>
                <w:szCs w:val="14"/>
                <w:color w:val="0000EE"/>
              </w:rPr>
            </w:pPr>
            <w:hyperlink r:id="rId265">
              <w:r>
                <w:rPr>
                  <w:rFonts w:ascii="Times New Roman" w:cs="Times New Roman" w:eastAsia="Times New Roman" w:hAnsi="Times New Roman"/>
                  <w:sz w:val="14"/>
                  <w:szCs w:val="14"/>
                  <w:color w:val="0000EE"/>
                </w:rPr>
                <w:t>Stock Purchase Agreement, by and between Mobix Labs, Inc. and Charles William Jacobson, dated as of August 15, 2025 (incorporated by reference to Exhibit 10.52 to the Registrant’s</w:t>
              </w:r>
            </w:hyperlink>
          </w:p>
        </w:tc>
      </w:tr>
      <w:tr>
        <w:trPr>
          <w:trHeight w:val="151"/>
        </w:trPr>
        <w:tc>
          <w:tcPr>
            <w:tcW w:w="640" w:type="dxa"/>
            <w:vAlign w:val="bottom"/>
          </w:tcPr>
          <w:p>
            <w:pPr>
              <w:spacing w:after="0"/>
              <w:rPr>
                <w:sz w:val="13"/>
                <w:szCs w:val="13"/>
                <w:color w:val="auto"/>
              </w:rPr>
            </w:pPr>
          </w:p>
        </w:tc>
        <w:tc>
          <w:tcPr>
            <w:tcW w:w="10640" w:type="dxa"/>
            <w:vAlign w:val="bottom"/>
            <w:gridSpan w:val="15"/>
          </w:tcPr>
          <w:p>
            <w:pPr>
              <w:spacing w:after="0" w:line="151" w:lineRule="exact"/>
              <w:rPr>
                <w:rFonts w:ascii="Times New Roman" w:cs="Times New Roman" w:eastAsia="Times New Roman" w:hAnsi="Times New Roman"/>
                <w:sz w:val="14"/>
                <w:szCs w:val="14"/>
                <w:color w:val="0000EE"/>
              </w:rPr>
            </w:pPr>
            <w:hyperlink r:id="rId265">
              <w:r>
                <w:rPr>
                  <w:rFonts w:ascii="Times New Roman" w:cs="Times New Roman" w:eastAsia="Times New Roman" w:hAnsi="Times New Roman"/>
                  <w:sz w:val="14"/>
                  <w:szCs w:val="14"/>
                  <w:color w:val="0000EE"/>
                </w:rPr>
                <w:t>Amendment No. 1 to the Registrant’s Registration Statement on Form S-1 (File No. 333-287493), filed with the SEC on October 14, 2025).</w:t>
              </w:r>
            </w:hyperlink>
          </w:p>
        </w:tc>
      </w:tr>
      <w:tr>
        <w:trPr>
          <w:trHeight w:val="20"/>
        </w:trPr>
        <w:tc>
          <w:tcPr>
            <w:tcW w:w="64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10.53</w:t>
            </w:r>
          </w:p>
        </w:tc>
        <w:tc>
          <w:tcPr>
            <w:tcW w:w="10640" w:type="dxa"/>
            <w:vAlign w:val="bottom"/>
            <w:tcBorders>
              <w:bottom w:val="single" w:sz="8" w:color="0000EE"/>
            </w:tcBorders>
            <w:gridSpan w:val="15"/>
          </w:tcPr>
          <w:p>
            <w:pPr>
              <w:spacing w:after="0" w:line="151" w:lineRule="exact"/>
              <w:rPr>
                <w:rFonts w:ascii="Times New Roman" w:cs="Times New Roman" w:eastAsia="Times New Roman" w:hAnsi="Times New Roman"/>
                <w:sz w:val="14"/>
                <w:szCs w:val="14"/>
                <w:color w:val="0000EE"/>
              </w:rPr>
            </w:pPr>
            <w:hyperlink r:id="rId266">
              <w:r>
                <w:rPr>
                  <w:rFonts w:ascii="Times New Roman" w:cs="Times New Roman" w:eastAsia="Times New Roman" w:hAnsi="Times New Roman"/>
                  <w:sz w:val="14"/>
                  <w:szCs w:val="14"/>
                  <w:color w:val="0000EE"/>
                </w:rPr>
                <w:t>Side Letter, by and between Mobix Labs, Inc. and Maximcash Solutions LLC, dated as of September 2, 2025 (incorporated by reference to Exhibit 10.53 to the Registrant’s Amendment</w:t>
              </w:r>
            </w:hyperlink>
          </w:p>
        </w:tc>
      </w:tr>
      <w:tr>
        <w:trPr>
          <w:trHeight w:val="151"/>
        </w:trPr>
        <w:tc>
          <w:tcPr>
            <w:tcW w:w="640" w:type="dxa"/>
            <w:vAlign w:val="bottom"/>
          </w:tcPr>
          <w:p>
            <w:pPr>
              <w:spacing w:after="0"/>
              <w:rPr>
                <w:sz w:val="13"/>
                <w:szCs w:val="13"/>
                <w:color w:val="auto"/>
              </w:rPr>
            </w:pPr>
          </w:p>
        </w:tc>
        <w:tc>
          <w:tcPr>
            <w:tcW w:w="10640" w:type="dxa"/>
            <w:vAlign w:val="bottom"/>
            <w:gridSpan w:val="15"/>
          </w:tcPr>
          <w:p>
            <w:pPr>
              <w:spacing w:after="0" w:line="151" w:lineRule="exact"/>
              <w:rPr>
                <w:rFonts w:ascii="Times New Roman" w:cs="Times New Roman" w:eastAsia="Times New Roman" w:hAnsi="Times New Roman"/>
                <w:sz w:val="14"/>
                <w:szCs w:val="14"/>
                <w:color w:val="0000EE"/>
              </w:rPr>
            </w:pPr>
            <w:hyperlink r:id="rId266">
              <w:r>
                <w:rPr>
                  <w:rFonts w:ascii="Times New Roman" w:cs="Times New Roman" w:eastAsia="Times New Roman" w:hAnsi="Times New Roman"/>
                  <w:sz w:val="14"/>
                  <w:szCs w:val="14"/>
                  <w:color w:val="0000EE"/>
                </w:rPr>
                <w:t>No. 1 to the Registrant’s Registration Statement on Form S-1 (File No. 333-287493), filed with the SEC on October 14, 2025).</w:t>
              </w:r>
            </w:hyperlink>
          </w:p>
        </w:tc>
      </w:tr>
      <w:tr>
        <w:trPr>
          <w:trHeight w:val="20"/>
        </w:trPr>
        <w:tc>
          <w:tcPr>
            <w:tcW w:w="64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10.54</w:t>
            </w:r>
          </w:p>
        </w:tc>
        <w:tc>
          <w:tcPr>
            <w:tcW w:w="10640" w:type="dxa"/>
            <w:vAlign w:val="bottom"/>
            <w:gridSpan w:val="15"/>
          </w:tcPr>
          <w:p>
            <w:pPr>
              <w:spacing w:after="0" w:line="151" w:lineRule="exact"/>
              <w:rPr>
                <w:rFonts w:ascii="Times New Roman" w:cs="Times New Roman" w:eastAsia="Times New Roman" w:hAnsi="Times New Roman"/>
                <w:sz w:val="14"/>
                <w:szCs w:val="14"/>
                <w:color w:val="0000EE"/>
              </w:rPr>
            </w:pPr>
            <w:hyperlink r:id="rId267">
              <w:r>
                <w:rPr>
                  <w:rFonts w:ascii="Times New Roman" w:cs="Times New Roman" w:eastAsia="Times New Roman" w:hAnsi="Times New Roman"/>
                  <w:sz w:val="14"/>
                  <w:szCs w:val="14"/>
                  <w:color w:val="0000EE"/>
                </w:rPr>
                <w:t>Form of Placement Agency Agreement (incorporated by reference to Exhibit 10.1 to Mobix Labs, Inc.’s Current Report on Form 8-K filed on January 7, 2026).</w:t>
              </w:r>
            </w:hyperlink>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10.55</w:t>
            </w:r>
          </w:p>
        </w:tc>
        <w:tc>
          <w:tcPr>
            <w:tcW w:w="9080" w:type="dxa"/>
            <w:vAlign w:val="bottom"/>
            <w:tcBorders>
              <w:top w:val="single" w:sz="8" w:color="0000EE"/>
            </w:tcBorders>
            <w:gridSpan w:val="14"/>
          </w:tcPr>
          <w:p>
            <w:pPr>
              <w:spacing w:after="0" w:line="151" w:lineRule="exact"/>
              <w:rPr>
                <w:rFonts w:ascii="Times New Roman" w:cs="Times New Roman" w:eastAsia="Times New Roman" w:hAnsi="Times New Roman"/>
                <w:sz w:val="14"/>
                <w:szCs w:val="14"/>
                <w:color w:val="0000EE"/>
              </w:rPr>
            </w:pPr>
            <w:hyperlink r:id="rId268">
              <w:r>
                <w:rPr>
                  <w:rFonts w:ascii="Times New Roman" w:cs="Times New Roman" w:eastAsia="Times New Roman" w:hAnsi="Times New Roman"/>
                  <w:sz w:val="14"/>
                  <w:szCs w:val="14"/>
                  <w:color w:val="0000EE"/>
                </w:rPr>
                <w:t>Form of Purchase Agreement (incorporated by reference to Exhibit 10.2 to Mobix Labs, Inc.’s Current Report on Form 8-K filed on January 7, 2026).</w:t>
              </w:r>
            </w:hyperlink>
          </w:p>
        </w:tc>
        <w:tc>
          <w:tcPr>
            <w:tcW w:w="156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10.56</w:t>
            </w:r>
          </w:p>
        </w:tc>
        <w:tc>
          <w:tcPr>
            <w:tcW w:w="10640" w:type="dxa"/>
            <w:vAlign w:val="bottom"/>
            <w:gridSpan w:val="15"/>
          </w:tcPr>
          <w:p>
            <w:pPr>
              <w:spacing w:after="0" w:line="151" w:lineRule="exact"/>
              <w:rPr>
                <w:rFonts w:ascii="Times New Roman" w:cs="Times New Roman" w:eastAsia="Times New Roman" w:hAnsi="Times New Roman"/>
                <w:sz w:val="14"/>
                <w:szCs w:val="14"/>
                <w:color w:val="0000EE"/>
              </w:rPr>
            </w:pPr>
            <w:hyperlink r:id="rId269">
              <w:r>
                <w:rPr>
                  <w:rFonts w:ascii="Times New Roman" w:cs="Times New Roman" w:eastAsia="Times New Roman" w:hAnsi="Times New Roman"/>
                  <w:sz w:val="14"/>
                  <w:szCs w:val="14"/>
                  <w:color w:val="0000EE"/>
                </w:rPr>
                <w:t>Form of Lock-Up Agreement (incorporated by reference to Exhibit 10.3 to Mobix Labs, Inc.’s Current Report on Form 8-K filed on January 7, 2026).</w:t>
              </w:r>
            </w:hyperlink>
          </w:p>
        </w:tc>
      </w:tr>
      <w:tr>
        <w:trPr>
          <w:trHeight w:val="20"/>
        </w:trPr>
        <w:tc>
          <w:tcPr>
            <w:tcW w:w="64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10.57</w:t>
            </w:r>
          </w:p>
        </w:tc>
        <w:tc>
          <w:tcPr>
            <w:tcW w:w="10640" w:type="dxa"/>
            <w:vAlign w:val="bottom"/>
            <w:tcBorders>
              <w:bottom w:val="single" w:sz="8" w:color="0000EE"/>
            </w:tcBorders>
            <w:gridSpan w:val="15"/>
          </w:tcPr>
          <w:p>
            <w:pPr>
              <w:spacing w:after="0" w:line="151" w:lineRule="exact"/>
              <w:rPr>
                <w:rFonts w:ascii="Times New Roman" w:cs="Times New Roman" w:eastAsia="Times New Roman" w:hAnsi="Times New Roman"/>
                <w:sz w:val="14"/>
                <w:szCs w:val="14"/>
                <w:color w:val="0000EE"/>
              </w:rPr>
            </w:pPr>
            <w:hyperlink r:id="rId270">
              <w:r>
                <w:rPr>
                  <w:rFonts w:ascii="Times New Roman" w:cs="Times New Roman" w:eastAsia="Times New Roman" w:hAnsi="Times New Roman"/>
                  <w:sz w:val="14"/>
                  <w:szCs w:val="14"/>
                  <w:color w:val="0000EE"/>
                </w:rPr>
                <w:t>Securities Purchase Agreement, by and between Mobix Labs, Inc and Leviston Resources, LLC, dated as of March 31, 2026 (incorporated by reference to Exhibit 10.57 to the</w:t>
              </w:r>
            </w:hyperlink>
          </w:p>
        </w:tc>
      </w:tr>
      <w:tr>
        <w:trPr>
          <w:trHeight w:val="151"/>
        </w:trPr>
        <w:tc>
          <w:tcPr>
            <w:tcW w:w="640" w:type="dxa"/>
            <w:vAlign w:val="bottom"/>
          </w:tcPr>
          <w:p>
            <w:pPr>
              <w:spacing w:after="0"/>
              <w:rPr>
                <w:sz w:val="13"/>
                <w:szCs w:val="13"/>
                <w:color w:val="auto"/>
              </w:rPr>
            </w:pPr>
          </w:p>
        </w:tc>
        <w:tc>
          <w:tcPr>
            <w:tcW w:w="6340" w:type="dxa"/>
            <w:vAlign w:val="bottom"/>
            <w:tcBorders>
              <w:bottom w:val="single" w:sz="8" w:color="0000EE"/>
            </w:tcBorders>
            <w:gridSpan w:val="7"/>
          </w:tcPr>
          <w:p>
            <w:pPr>
              <w:spacing w:after="0" w:line="151" w:lineRule="exact"/>
              <w:rPr>
                <w:rFonts w:ascii="Times New Roman" w:cs="Times New Roman" w:eastAsia="Times New Roman" w:hAnsi="Times New Roman"/>
                <w:sz w:val="14"/>
                <w:szCs w:val="14"/>
                <w:color w:val="0000EE"/>
              </w:rPr>
            </w:pPr>
            <w:hyperlink r:id="rId270">
              <w:r>
                <w:rPr>
                  <w:rFonts w:ascii="Times New Roman" w:cs="Times New Roman" w:eastAsia="Times New Roman" w:hAnsi="Times New Roman"/>
                  <w:sz w:val="14"/>
                  <w:szCs w:val="14"/>
                  <w:color w:val="0000EE"/>
                </w:rPr>
                <w:t>Registrant’s Registration Statement on Form S-1 (File No. 333-295357), filed with the SEC on April 27, 2026).</w:t>
              </w:r>
            </w:hyperlink>
          </w:p>
        </w:tc>
        <w:tc>
          <w:tcPr>
            <w:tcW w:w="4300" w:type="dxa"/>
            <w:vAlign w:val="bottom"/>
            <w:gridSpan w:val="8"/>
          </w:tcPr>
          <w:p>
            <w:pPr>
              <w:spacing w:after="0"/>
              <w:rPr>
                <w:sz w:val="13"/>
                <w:szCs w:val="13"/>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10.58</w:t>
            </w:r>
          </w:p>
        </w:tc>
        <w:tc>
          <w:tcPr>
            <w:tcW w:w="10640" w:type="dxa"/>
            <w:vAlign w:val="bottom"/>
            <w:tcBorders>
              <w:bottom w:val="single" w:sz="8" w:color="0000EE"/>
            </w:tcBorders>
            <w:gridSpan w:val="15"/>
          </w:tcPr>
          <w:p>
            <w:pPr>
              <w:spacing w:after="0" w:line="151" w:lineRule="exact"/>
              <w:rPr>
                <w:rFonts w:ascii="Times New Roman" w:cs="Times New Roman" w:eastAsia="Times New Roman" w:hAnsi="Times New Roman"/>
                <w:sz w:val="14"/>
                <w:szCs w:val="14"/>
                <w:color w:val="0000EE"/>
              </w:rPr>
            </w:pPr>
            <w:hyperlink r:id="rId271">
              <w:r>
                <w:rPr>
                  <w:rFonts w:ascii="Times New Roman" w:cs="Times New Roman" w:eastAsia="Times New Roman" w:hAnsi="Times New Roman"/>
                  <w:sz w:val="14"/>
                  <w:szCs w:val="14"/>
                  <w:color w:val="0000EE"/>
                </w:rPr>
                <w:t>Registration Rights Agreement by and between Mobix Labs, Inc and Leviston Resources, LLC, dated as of March 31, 2026 (incorporated by reference to Exhibit 10.58 to the Registrant’s</w:t>
              </w:r>
            </w:hyperlink>
          </w:p>
        </w:tc>
      </w:tr>
      <w:tr>
        <w:trPr>
          <w:trHeight w:val="151"/>
        </w:trPr>
        <w:tc>
          <w:tcPr>
            <w:tcW w:w="640" w:type="dxa"/>
            <w:vAlign w:val="bottom"/>
          </w:tcPr>
          <w:p>
            <w:pPr>
              <w:spacing w:after="0"/>
              <w:rPr>
                <w:sz w:val="13"/>
                <w:szCs w:val="13"/>
                <w:color w:val="auto"/>
              </w:rPr>
            </w:pPr>
          </w:p>
        </w:tc>
        <w:tc>
          <w:tcPr>
            <w:tcW w:w="10640" w:type="dxa"/>
            <w:vAlign w:val="bottom"/>
            <w:gridSpan w:val="15"/>
          </w:tcPr>
          <w:p>
            <w:pPr>
              <w:spacing w:after="0" w:line="151" w:lineRule="exact"/>
              <w:rPr>
                <w:rFonts w:ascii="Times New Roman" w:cs="Times New Roman" w:eastAsia="Times New Roman" w:hAnsi="Times New Roman"/>
                <w:sz w:val="14"/>
                <w:szCs w:val="14"/>
                <w:color w:val="0000EE"/>
              </w:rPr>
            </w:pPr>
            <w:hyperlink r:id="rId271">
              <w:r>
                <w:rPr>
                  <w:rFonts w:ascii="Times New Roman" w:cs="Times New Roman" w:eastAsia="Times New Roman" w:hAnsi="Times New Roman"/>
                  <w:sz w:val="14"/>
                  <w:szCs w:val="14"/>
                  <w:color w:val="0000EE"/>
                </w:rPr>
                <w:t>Registration Statement on Form S-1 (File No. 333-295357), filed with the SEC on April 27, 2026).</w:t>
              </w:r>
            </w:hyperlink>
          </w:p>
        </w:tc>
      </w:tr>
      <w:tr>
        <w:trPr>
          <w:trHeight w:val="20"/>
        </w:trPr>
        <w:tc>
          <w:tcPr>
            <w:tcW w:w="64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10.59</w:t>
            </w:r>
          </w:p>
        </w:tc>
        <w:tc>
          <w:tcPr>
            <w:tcW w:w="10640" w:type="dxa"/>
            <w:vAlign w:val="bottom"/>
            <w:tcBorders>
              <w:bottom w:val="single" w:sz="8" w:color="0000EE"/>
            </w:tcBorders>
            <w:gridSpan w:val="15"/>
          </w:tcPr>
          <w:p>
            <w:pPr>
              <w:spacing w:after="0" w:line="151" w:lineRule="exact"/>
              <w:rPr>
                <w:rFonts w:ascii="Times New Roman" w:cs="Times New Roman" w:eastAsia="Times New Roman" w:hAnsi="Times New Roman"/>
                <w:sz w:val="14"/>
                <w:szCs w:val="14"/>
                <w:color w:val="0000EE"/>
              </w:rPr>
            </w:pPr>
            <w:hyperlink r:id="rId272">
              <w:r>
                <w:rPr>
                  <w:rFonts w:ascii="Times New Roman" w:cs="Times New Roman" w:eastAsia="Times New Roman" w:hAnsi="Times New Roman"/>
                  <w:sz w:val="14"/>
                  <w:szCs w:val="14"/>
                  <w:color w:val="0000EE"/>
                </w:rPr>
                <w:t>Investor Rights Agreement by and between Mobix Labs, Inc. and Leviston Resources, LLC, dated as of May 13, 2026 (incorporated by reference to Exhibit 10.3 of Mobix Labs, Inc.’s</w:t>
              </w:r>
            </w:hyperlink>
          </w:p>
        </w:tc>
      </w:tr>
      <w:tr>
        <w:trPr>
          <w:trHeight w:val="151"/>
        </w:trPr>
        <w:tc>
          <w:tcPr>
            <w:tcW w:w="640" w:type="dxa"/>
            <w:vAlign w:val="bottom"/>
          </w:tcPr>
          <w:p>
            <w:pPr>
              <w:spacing w:after="0"/>
              <w:rPr>
                <w:sz w:val="13"/>
                <w:szCs w:val="13"/>
                <w:color w:val="auto"/>
              </w:rPr>
            </w:pPr>
          </w:p>
        </w:tc>
        <w:tc>
          <w:tcPr>
            <w:tcW w:w="3200" w:type="dxa"/>
            <w:vAlign w:val="bottom"/>
            <w:tcBorders>
              <w:bottom w:val="single" w:sz="8" w:color="0000EE"/>
            </w:tcBorders>
            <w:gridSpan w:val="2"/>
          </w:tcPr>
          <w:p>
            <w:pPr>
              <w:spacing w:after="0" w:line="151" w:lineRule="exact"/>
              <w:rPr>
                <w:rFonts w:ascii="Times New Roman" w:cs="Times New Roman" w:eastAsia="Times New Roman" w:hAnsi="Times New Roman"/>
                <w:sz w:val="14"/>
                <w:szCs w:val="14"/>
                <w:color w:val="0000EE"/>
              </w:rPr>
            </w:pPr>
            <w:hyperlink r:id="rId272">
              <w:r>
                <w:rPr>
                  <w:rFonts w:ascii="Times New Roman" w:cs="Times New Roman" w:eastAsia="Times New Roman" w:hAnsi="Times New Roman"/>
                  <w:sz w:val="14"/>
                  <w:szCs w:val="14"/>
                  <w:color w:val="0000EE"/>
                </w:rPr>
                <w:t>Quarterly Report on Form 10-Q filed on May 20, 2026).</w:t>
              </w:r>
            </w:hyperlink>
          </w:p>
        </w:tc>
        <w:tc>
          <w:tcPr>
            <w:tcW w:w="7440" w:type="dxa"/>
            <w:vAlign w:val="bottom"/>
            <w:gridSpan w:val="13"/>
          </w:tcPr>
          <w:p>
            <w:pPr>
              <w:spacing w:after="0"/>
              <w:rPr>
                <w:sz w:val="13"/>
                <w:szCs w:val="13"/>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10.60</w:t>
            </w:r>
          </w:p>
        </w:tc>
        <w:tc>
          <w:tcPr>
            <w:tcW w:w="10640" w:type="dxa"/>
            <w:vAlign w:val="bottom"/>
            <w:tcBorders>
              <w:bottom w:val="single" w:sz="8" w:color="0000EE"/>
            </w:tcBorders>
            <w:gridSpan w:val="15"/>
          </w:tcPr>
          <w:p>
            <w:pPr>
              <w:spacing w:after="0" w:line="151" w:lineRule="exact"/>
              <w:rPr>
                <w:rFonts w:ascii="Times New Roman" w:cs="Times New Roman" w:eastAsia="Times New Roman" w:hAnsi="Times New Roman"/>
                <w:sz w:val="14"/>
                <w:szCs w:val="14"/>
                <w:color w:val="0000EE"/>
              </w:rPr>
            </w:pPr>
            <w:hyperlink r:id="rId273">
              <w:r>
                <w:rPr>
                  <w:rFonts w:ascii="Times New Roman" w:cs="Times New Roman" w:eastAsia="Times New Roman" w:hAnsi="Times New Roman"/>
                  <w:sz w:val="14"/>
                  <w:szCs w:val="14"/>
                  <w:color w:val="0000EE"/>
                </w:rPr>
                <w:t>Securities Purchase Agreement, dated May 19, 2026, by and between Mobix Labs, Inc. and Kips Bay Select, LP (incorporated by reference to Exhibit 10.4 of Mobix Labs, Inc.’s</w:t>
              </w:r>
            </w:hyperlink>
          </w:p>
        </w:tc>
      </w:tr>
      <w:tr>
        <w:trPr>
          <w:trHeight w:val="151"/>
        </w:trPr>
        <w:tc>
          <w:tcPr>
            <w:tcW w:w="640" w:type="dxa"/>
            <w:vAlign w:val="bottom"/>
          </w:tcPr>
          <w:p>
            <w:pPr>
              <w:spacing w:after="0"/>
              <w:rPr>
                <w:sz w:val="13"/>
                <w:szCs w:val="13"/>
                <w:color w:val="auto"/>
              </w:rPr>
            </w:pPr>
          </w:p>
        </w:tc>
        <w:tc>
          <w:tcPr>
            <w:tcW w:w="3200" w:type="dxa"/>
            <w:vAlign w:val="bottom"/>
            <w:tcBorders>
              <w:bottom w:val="single" w:sz="8" w:color="0000EE"/>
            </w:tcBorders>
            <w:gridSpan w:val="2"/>
          </w:tcPr>
          <w:p>
            <w:pPr>
              <w:spacing w:after="0" w:line="151" w:lineRule="exact"/>
              <w:rPr>
                <w:rFonts w:ascii="Times New Roman" w:cs="Times New Roman" w:eastAsia="Times New Roman" w:hAnsi="Times New Roman"/>
                <w:sz w:val="14"/>
                <w:szCs w:val="14"/>
                <w:color w:val="0000EE"/>
              </w:rPr>
            </w:pPr>
            <w:hyperlink r:id="rId273">
              <w:r>
                <w:rPr>
                  <w:rFonts w:ascii="Times New Roman" w:cs="Times New Roman" w:eastAsia="Times New Roman" w:hAnsi="Times New Roman"/>
                  <w:sz w:val="14"/>
                  <w:szCs w:val="14"/>
                  <w:color w:val="0000EE"/>
                </w:rPr>
                <w:t>Quarterly Report on Form 10-Q filed on May 20, 2026).</w:t>
              </w:r>
            </w:hyperlink>
          </w:p>
        </w:tc>
        <w:tc>
          <w:tcPr>
            <w:tcW w:w="7440" w:type="dxa"/>
            <w:vAlign w:val="bottom"/>
            <w:gridSpan w:val="13"/>
          </w:tcPr>
          <w:p>
            <w:pPr>
              <w:spacing w:after="0"/>
              <w:rPr>
                <w:sz w:val="13"/>
                <w:szCs w:val="13"/>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10.61</w:t>
            </w:r>
          </w:p>
        </w:tc>
        <w:tc>
          <w:tcPr>
            <w:tcW w:w="10640" w:type="dxa"/>
            <w:vAlign w:val="bottom"/>
            <w:tcBorders>
              <w:bottom w:val="single" w:sz="8" w:color="0000EE"/>
            </w:tcBorders>
            <w:gridSpan w:val="15"/>
          </w:tcPr>
          <w:p>
            <w:pPr>
              <w:spacing w:after="0" w:line="151" w:lineRule="exact"/>
              <w:rPr>
                <w:rFonts w:ascii="Times New Roman" w:cs="Times New Roman" w:eastAsia="Times New Roman" w:hAnsi="Times New Roman"/>
                <w:sz w:val="14"/>
                <w:szCs w:val="14"/>
                <w:color w:val="0000EE"/>
              </w:rPr>
            </w:pPr>
            <w:hyperlink r:id="rId274">
              <w:r>
                <w:rPr>
                  <w:rFonts w:ascii="Times New Roman" w:cs="Times New Roman" w:eastAsia="Times New Roman" w:hAnsi="Times New Roman"/>
                  <w:sz w:val="14"/>
                  <w:szCs w:val="14"/>
                  <w:color w:val="0000EE"/>
                </w:rPr>
                <w:t>Registration Rights Agreement, dated May 19, 2026 by and between Mobix Labs, Inc. and Kips Bay Select, LP (incorporated by reference to Exhibit 10.5 of Mobix Labs, Inc.’s Quarterly</w:t>
              </w:r>
            </w:hyperlink>
          </w:p>
        </w:tc>
      </w:tr>
      <w:tr>
        <w:trPr>
          <w:trHeight w:val="151"/>
        </w:trPr>
        <w:tc>
          <w:tcPr>
            <w:tcW w:w="640" w:type="dxa"/>
            <w:vAlign w:val="bottom"/>
          </w:tcPr>
          <w:p>
            <w:pPr>
              <w:spacing w:after="0"/>
              <w:rPr>
                <w:sz w:val="13"/>
                <w:szCs w:val="13"/>
                <w:color w:val="auto"/>
              </w:rPr>
            </w:pPr>
          </w:p>
        </w:tc>
        <w:tc>
          <w:tcPr>
            <w:tcW w:w="2620" w:type="dxa"/>
            <w:vAlign w:val="bottom"/>
            <w:tcBorders>
              <w:bottom w:val="single" w:sz="8" w:color="0000EE"/>
            </w:tcBorders>
          </w:tcPr>
          <w:p>
            <w:pPr>
              <w:spacing w:after="0" w:line="151" w:lineRule="exact"/>
              <w:rPr>
                <w:rFonts w:ascii="Times New Roman" w:cs="Times New Roman" w:eastAsia="Times New Roman" w:hAnsi="Times New Roman"/>
                <w:sz w:val="14"/>
                <w:szCs w:val="14"/>
                <w:color w:val="0000EE"/>
              </w:rPr>
            </w:pPr>
            <w:hyperlink r:id="rId274">
              <w:r>
                <w:rPr>
                  <w:rFonts w:ascii="Times New Roman" w:cs="Times New Roman" w:eastAsia="Times New Roman" w:hAnsi="Times New Roman"/>
                  <w:sz w:val="14"/>
                  <w:szCs w:val="14"/>
                  <w:color w:val="0000EE"/>
                </w:rPr>
                <w:t>Report on Form 10-Q filed on May 20, 2026).</w:t>
              </w:r>
            </w:hyperlink>
          </w:p>
        </w:tc>
        <w:tc>
          <w:tcPr>
            <w:tcW w:w="8020" w:type="dxa"/>
            <w:vAlign w:val="bottom"/>
            <w:gridSpan w:val="14"/>
          </w:tcPr>
          <w:p>
            <w:pPr>
              <w:spacing w:after="0"/>
              <w:rPr>
                <w:sz w:val="13"/>
                <w:szCs w:val="13"/>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10.62*</w:t>
            </w:r>
          </w:p>
        </w:tc>
        <w:tc>
          <w:tcPr>
            <w:tcW w:w="10640" w:type="dxa"/>
            <w:vAlign w:val="bottom"/>
            <w:gridSpan w:val="15"/>
          </w:tcPr>
          <w:p>
            <w:pPr>
              <w:spacing w:after="0" w:line="151" w:lineRule="exact"/>
              <w:rPr>
                <w:sz w:val="20"/>
                <w:szCs w:val="20"/>
                <w:color w:val="auto"/>
              </w:rPr>
            </w:pPr>
            <w:r>
              <w:rPr>
                <w:rFonts w:ascii="Times New Roman" w:cs="Times New Roman" w:eastAsia="Times New Roman" w:hAnsi="Times New Roman"/>
                <w:sz w:val="14"/>
                <w:szCs w:val="14"/>
                <w:color w:val="0000EE"/>
              </w:rPr>
              <w:t>Amendment No. 1 to Registration Rights Agreement, dated June 18, 2026 by and between Mobix Labs, Inc. and Kips Bay Select, LP.</w:t>
            </w:r>
          </w:p>
        </w:tc>
      </w:tr>
      <w:tr>
        <w:trPr>
          <w:trHeight w:val="20"/>
        </w:trPr>
        <w:tc>
          <w:tcPr>
            <w:tcW w:w="640" w:type="dxa"/>
            <w:vAlign w:val="bottom"/>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21.1</w:t>
            </w:r>
          </w:p>
        </w:tc>
        <w:tc>
          <w:tcPr>
            <w:tcW w:w="8080" w:type="dxa"/>
            <w:vAlign w:val="bottom"/>
            <w:tcBorders>
              <w:bottom w:val="single" w:sz="8" w:color="0000EE"/>
            </w:tcBorders>
            <w:gridSpan w:val="11"/>
          </w:tcPr>
          <w:p>
            <w:pPr>
              <w:spacing w:after="0" w:line="151" w:lineRule="exact"/>
              <w:rPr>
                <w:rFonts w:ascii="Times New Roman" w:cs="Times New Roman" w:eastAsia="Times New Roman" w:hAnsi="Times New Roman"/>
                <w:sz w:val="14"/>
                <w:szCs w:val="14"/>
                <w:color w:val="0000EE"/>
              </w:rPr>
            </w:pPr>
            <w:hyperlink r:id="rId275">
              <w:r>
                <w:rPr>
                  <w:rFonts w:ascii="Times New Roman" w:cs="Times New Roman" w:eastAsia="Times New Roman" w:hAnsi="Times New Roman"/>
                  <w:sz w:val="14"/>
                  <w:szCs w:val="14"/>
                  <w:color w:val="0000EE"/>
                </w:rPr>
                <w:t>List of Subsidiaries (incorporated by reference to Exhibit 21.1 to Mobix Labs, Inc.’s Annual Report on Form 10-K filed on January 13, 2026).</w:t>
              </w:r>
            </w:hyperlink>
          </w:p>
        </w:tc>
        <w:tc>
          <w:tcPr>
            <w:tcW w:w="2560" w:type="dxa"/>
            <w:vAlign w:val="bottom"/>
            <w:gridSpan w:val="4"/>
          </w:tcPr>
          <w:p>
            <w:pPr>
              <w:spacing w:after="0"/>
              <w:rPr>
                <w:sz w:val="13"/>
                <w:szCs w:val="13"/>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23.1</w:t>
            </w:r>
          </w:p>
        </w:tc>
        <w:tc>
          <w:tcPr>
            <w:tcW w:w="10640" w:type="dxa"/>
            <w:vAlign w:val="bottom"/>
            <w:gridSpan w:val="15"/>
          </w:tcPr>
          <w:p>
            <w:pPr>
              <w:spacing w:after="0" w:line="151" w:lineRule="exact"/>
              <w:rPr>
                <w:sz w:val="20"/>
                <w:szCs w:val="20"/>
                <w:color w:val="auto"/>
              </w:rPr>
            </w:pPr>
            <w:r>
              <w:rPr>
                <w:rFonts w:ascii="Times New Roman" w:cs="Times New Roman" w:eastAsia="Times New Roman" w:hAnsi="Times New Roman"/>
                <w:sz w:val="14"/>
                <w:szCs w:val="14"/>
                <w:color w:val="0000EE"/>
              </w:rPr>
              <w:t>Consent of PricewaterhouseCoopers LLP, independent registered public accounting firm for Mobix Labs, Inc.</w:t>
            </w: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23.2</w:t>
            </w:r>
          </w:p>
        </w:tc>
        <w:tc>
          <w:tcPr>
            <w:tcW w:w="6240" w:type="dxa"/>
            <w:vAlign w:val="bottom"/>
            <w:tcBorders>
              <w:top w:val="single" w:sz="8" w:color="0000EE"/>
            </w:tcBorders>
            <w:gridSpan w:val="6"/>
          </w:tcPr>
          <w:p>
            <w:pPr>
              <w:spacing w:after="0" w:line="151" w:lineRule="exact"/>
              <w:rPr>
                <w:sz w:val="20"/>
                <w:szCs w:val="20"/>
                <w:color w:val="auto"/>
              </w:rPr>
            </w:pPr>
            <w:r>
              <w:rPr>
                <w:rFonts w:ascii="Times New Roman" w:cs="Times New Roman" w:eastAsia="Times New Roman" w:hAnsi="Times New Roman"/>
                <w:sz w:val="14"/>
                <w:szCs w:val="14"/>
                <w:color w:val="0000EE"/>
              </w:rPr>
              <w:t>Consent of Greenberg Traurig P.A. (included as part of Exhibit 5.1).</w:t>
            </w:r>
          </w:p>
        </w:tc>
        <w:tc>
          <w:tcPr>
            <w:tcW w:w="4400" w:type="dxa"/>
            <w:vAlign w:val="bottom"/>
            <w:gridSpan w:val="9"/>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24.1</w:t>
            </w:r>
          </w:p>
        </w:tc>
        <w:tc>
          <w:tcPr>
            <w:tcW w:w="10640" w:type="dxa"/>
            <w:vAlign w:val="bottom"/>
            <w:gridSpan w:val="15"/>
          </w:tcPr>
          <w:p>
            <w:pPr>
              <w:spacing w:after="0" w:line="151" w:lineRule="exact"/>
              <w:rPr>
                <w:sz w:val="20"/>
                <w:szCs w:val="20"/>
                <w:color w:val="auto"/>
              </w:rPr>
            </w:pPr>
            <w:r>
              <w:rPr>
                <w:rFonts w:ascii="Times New Roman" w:cs="Times New Roman" w:eastAsia="Times New Roman" w:hAnsi="Times New Roman"/>
                <w:sz w:val="14"/>
                <w:szCs w:val="14"/>
                <w:color w:val="0000EE"/>
              </w:rPr>
              <w:t>Power of Attorney (contained on the signature page of the registration statement).</w:t>
            </w:r>
          </w:p>
        </w:tc>
      </w:tr>
      <w:tr>
        <w:trPr>
          <w:trHeight w:val="20"/>
        </w:trPr>
        <w:tc>
          <w:tcPr>
            <w:tcW w:w="640" w:type="dxa"/>
            <w:vAlign w:val="bottom"/>
          </w:tcPr>
          <w:p>
            <w:pPr>
              <w:spacing w:after="0" w:line="20" w:lineRule="exact"/>
              <w:rPr>
                <w:sz w:val="1"/>
                <w:szCs w:val="1"/>
                <w:color w:val="auto"/>
              </w:rPr>
            </w:pPr>
          </w:p>
        </w:tc>
        <w:tc>
          <w:tcPr>
            <w:tcW w:w="4640" w:type="dxa"/>
            <w:vAlign w:val="bottom"/>
            <w:gridSpan w:val="4"/>
            <w:shd w:val="clear" w:color="auto" w:fill="0000EE"/>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r>
      <w:tr>
        <w:trPr>
          <w:trHeight w:val="168"/>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106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 Inline XBRL document.</w:t>
            </w:r>
          </w:p>
        </w:tc>
      </w:tr>
      <w:tr>
        <w:trPr>
          <w:trHeight w:val="171"/>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106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71"/>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106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71"/>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106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171"/>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106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8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106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ind w:left="640" w:hanging="635"/>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and contained in Exhibit 101).</w:t>
      </w:r>
    </w:p>
    <w:p>
      <w:pPr>
        <w:spacing w:after="0" w:line="9" w:lineRule="exact"/>
        <w:rPr>
          <w:rFonts w:ascii="Times New Roman" w:cs="Times New Roman" w:eastAsia="Times New Roman" w:hAnsi="Times New Roman"/>
          <w:sz w:val="14"/>
          <w:szCs w:val="14"/>
          <w:color w:val="auto"/>
        </w:rPr>
      </w:pPr>
    </w:p>
    <w:p>
      <w:pPr>
        <w:ind w:left="640" w:hanging="635"/>
        <w:spacing w:after="0"/>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166" w:lineRule="exact"/>
        <w:rPr>
          <w:sz w:val="20"/>
          <w:szCs w:val="20"/>
          <w:color w:val="auto"/>
        </w:rPr>
      </w:pPr>
    </w:p>
    <w:p>
      <w:pPr>
        <w:ind w:left="260" w:hanging="255"/>
        <w:spacing w:after="0" w:line="264" w:lineRule="auto"/>
        <w:tabs>
          <w:tab w:leader="none" w:pos="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260" w:hanging="255"/>
        <w:spacing w:after="0"/>
        <w:tabs>
          <w:tab w:leader="none" w:pos="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contract or arrangement.</w:t>
      </w:r>
    </w:p>
    <w:p>
      <w:pPr>
        <w:spacing w:after="0" w:line="10" w:lineRule="exact"/>
        <w:rPr>
          <w:sz w:val="20"/>
          <w:szCs w:val="20"/>
          <w:color w:val="auto"/>
        </w:rPr>
      </w:pPr>
    </w:p>
    <w:p>
      <w:pPr>
        <w:ind w:left="260" w:hanging="255"/>
        <w:spacing w:after="0" w:line="254" w:lineRule="auto"/>
        <w:tabs>
          <w:tab w:leader="none" w:pos="2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have been omitted pursuant to Item 601(a)(5) of Regulation S-K. The registrant agrees to furnish supplementally a copy of any omitted schedule or exhibit to the U.S. Securities and Exchange Commission upon request.</w:t>
      </w:r>
    </w:p>
    <w:p>
      <w:pPr>
        <w:spacing w:after="0" w:line="1" w:lineRule="exact"/>
        <w:rPr>
          <w:sz w:val="20"/>
          <w:szCs w:val="20"/>
          <w:color w:val="auto"/>
        </w:rPr>
      </w:pPr>
    </w:p>
    <w:p>
      <w:pPr>
        <w:ind w:left="260" w:hanging="255"/>
        <w:spacing w:after="0"/>
        <w:tabs>
          <w:tab w:leader="none" w:pos="2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indicated by brackets and asterisks, have been omitted because they (i) are not material and (ii) are the type that the Company treats as private or confidential.</w:t>
      </w:r>
    </w:p>
    <w:p>
      <w:pPr>
        <w:spacing w:after="0" w:line="166" w:lineRule="exact"/>
        <w:rPr>
          <w:rFonts w:ascii="Times New Roman" w:cs="Times New Roman" w:eastAsia="Times New Roman" w:hAnsi="Times New Roman"/>
          <w:sz w:val="14"/>
          <w:szCs w:val="14"/>
          <w:color w:val="auto"/>
        </w:rPr>
      </w:pPr>
    </w:p>
    <w:p>
      <w:pPr>
        <w:ind w:left="5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65"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80"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 (i) to include any prospectus required by Section 10(a)</w:t>
      </w:r>
    </w:p>
    <w:p>
      <w:pPr>
        <w:spacing w:after="0" w:line="23" w:lineRule="exact"/>
        <w:rPr>
          <w:rFonts w:ascii="Times New Roman" w:cs="Times New Roman" w:eastAsia="Times New Roman" w:hAnsi="Times New Roman"/>
          <w:sz w:val="14"/>
          <w:szCs w:val="14"/>
          <w:color w:val="auto"/>
        </w:rPr>
      </w:pPr>
    </w:p>
    <w:p>
      <w:pPr>
        <w:jc w:val="both"/>
        <w:ind w:left="1020"/>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(3) of the Securities Act of 1933, as amended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6" w:lineRule="exact"/>
        <w:rPr>
          <w:rFonts w:ascii="Times New Roman" w:cs="Times New Roman" w:eastAsia="Times New Roman" w:hAnsi="Times New Roman"/>
          <w:sz w:val="14"/>
          <w:szCs w:val="14"/>
          <w:color w:val="auto"/>
        </w:rPr>
      </w:pPr>
    </w:p>
    <w:p>
      <w:pPr>
        <w:ind w:left="1020" w:hanging="503"/>
        <w:spacing w:after="0" w:line="289" w:lineRule="auto"/>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4"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80" w:lineRule="exact"/>
        <w:rPr>
          <w:rFonts w:ascii="Times New Roman" w:cs="Times New Roman" w:eastAsia="Times New Roman" w:hAnsi="Times New Roman"/>
          <w:sz w:val="14"/>
          <w:szCs w:val="14"/>
          <w:color w:val="auto"/>
        </w:rPr>
      </w:pPr>
    </w:p>
    <w:p>
      <w:pPr>
        <w:jc w:val="both"/>
        <w:ind w:left="1020" w:hanging="503"/>
        <w:spacing w:after="0" w:line="261" w:lineRule="auto"/>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44" w:lineRule="exact"/>
        <w:rPr>
          <w:rFonts w:ascii="Times New Roman" w:cs="Times New Roman" w:eastAsia="Times New Roman" w:hAnsi="Times New Roman"/>
          <w:sz w:val="14"/>
          <w:szCs w:val="14"/>
          <w:color w:val="auto"/>
        </w:rPr>
      </w:pPr>
    </w:p>
    <w:p>
      <w:pPr>
        <w:jc w:val="both"/>
        <w:ind w:left="1020" w:hanging="503"/>
        <w:spacing w:after="0" w:line="266" w:lineRule="auto"/>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0" w:lineRule="exact"/>
        <w:rPr>
          <w:sz w:val="20"/>
          <w:szCs w:val="20"/>
          <w:color w:val="auto"/>
        </w:rPr>
      </w:pPr>
    </w:p>
    <w:p>
      <w:pPr>
        <w:ind w:left="1540" w:hanging="510"/>
        <w:spacing w:after="0"/>
        <w:tabs>
          <w:tab w:leader="none" w:pos="1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80" w:lineRule="exact"/>
        <w:rPr>
          <w:rFonts w:ascii="Times New Roman" w:cs="Times New Roman" w:eastAsia="Times New Roman" w:hAnsi="Times New Roman"/>
          <w:sz w:val="14"/>
          <w:szCs w:val="14"/>
          <w:color w:val="auto"/>
        </w:rPr>
      </w:pPr>
    </w:p>
    <w:p>
      <w:pPr>
        <w:ind w:left="1540" w:hanging="510"/>
        <w:spacing w:after="0"/>
        <w:tabs>
          <w:tab w:leader="none" w:pos="1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80" w:lineRule="exact"/>
        <w:rPr>
          <w:rFonts w:ascii="Times New Roman" w:cs="Times New Roman" w:eastAsia="Times New Roman" w:hAnsi="Times New Roman"/>
          <w:sz w:val="14"/>
          <w:szCs w:val="14"/>
          <w:color w:val="auto"/>
        </w:rPr>
      </w:pPr>
    </w:p>
    <w:p>
      <w:pPr>
        <w:ind w:left="1540" w:hanging="510"/>
        <w:spacing w:after="0" w:line="289" w:lineRule="auto"/>
        <w:tabs>
          <w:tab w:leader="none" w:pos="1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an undersigned registrant; and</w:t>
      </w:r>
    </w:p>
    <w:p>
      <w:pPr>
        <w:spacing w:after="0" w:line="124" w:lineRule="exact"/>
        <w:rPr>
          <w:rFonts w:ascii="Times New Roman" w:cs="Times New Roman" w:eastAsia="Times New Roman" w:hAnsi="Times New Roman"/>
          <w:sz w:val="14"/>
          <w:szCs w:val="14"/>
          <w:color w:val="auto"/>
        </w:rPr>
      </w:pPr>
    </w:p>
    <w:p>
      <w:pPr>
        <w:ind w:left="1540" w:hanging="510"/>
        <w:spacing w:after="0"/>
        <w:tabs>
          <w:tab w:leader="none" w:pos="1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80"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2"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Irvine, State of California, on June 18, 2026.</w:t>
      </w:r>
    </w:p>
    <w:p>
      <w:pPr>
        <w:spacing w:after="0" w:line="1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/s/ Philip Sansone</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Philip Sansone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-100965</wp:posOffset>
            </wp:positionV>
            <wp:extent cx="357695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8">
                      <a:extLst>
                        <a:ext uri="{28A0092B-C50C-407E-A947-70E740481C1C}"/>
                      </a:extLst>
                    </a:blip>
                    <a:srcRect/>
                    <a:stretch>
                      <a:fillRect/>
                    </a:stretch>
                  </pic:blipFill>
                  <pic:spPr bwMode="auto">
                    <a:xfrm>
                      <a:off x="0" y="0"/>
                      <a:ext cx="3576955" cy="698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2" w:lineRule="exact"/>
        <w:rPr>
          <w:sz w:val="20"/>
          <w:szCs w:val="20"/>
          <w:color w:val="auto"/>
        </w:rPr>
      </w:pPr>
    </w:p>
    <w:p>
      <w:pPr>
        <w:jc w:val="both"/>
        <w:ind w:firstLine="512"/>
        <w:spacing w:after="0" w:line="260"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hereby constitutes and appoints Philip Sansone and Keyvan Samini, and each of them,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has been signed by the following persons in the capacities and on the dates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4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3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Philip Sansone</w:t>
            </w:r>
          </w:p>
        </w:tc>
        <w:tc>
          <w:tcPr>
            <w:tcW w:w="220" w:type="dxa"/>
            <w:vAlign w:val="bottom"/>
          </w:tcPr>
          <w:p>
            <w:pPr>
              <w:spacing w:after="0"/>
              <w:rPr>
                <w:sz w:val="24"/>
                <w:szCs w:val="24"/>
                <w:color w:val="auto"/>
              </w:rPr>
            </w:pPr>
          </w:p>
        </w:tc>
        <w:tc>
          <w:tcPr>
            <w:tcW w:w="5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18, 2026</w:t>
            </w:r>
          </w:p>
        </w:tc>
      </w:tr>
      <w:tr>
        <w:trPr>
          <w:trHeight w:val="176"/>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Philip Sansone</w:t>
            </w:r>
          </w:p>
        </w:tc>
        <w:tc>
          <w:tcPr>
            <w:tcW w:w="220" w:type="dxa"/>
            <w:vAlign w:val="bottom"/>
          </w:tcPr>
          <w:p>
            <w:pPr>
              <w:spacing w:after="0"/>
              <w:rPr>
                <w:sz w:val="15"/>
                <w:szCs w:val="15"/>
                <w:color w:val="auto"/>
              </w:rPr>
            </w:pPr>
          </w:p>
        </w:tc>
        <w:tc>
          <w:tcPr>
            <w:tcW w:w="5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2240" w:type="dxa"/>
            <w:vAlign w:val="bottom"/>
          </w:tcPr>
          <w:p>
            <w:pPr>
              <w:spacing w:after="0"/>
              <w:rPr>
                <w:sz w:val="15"/>
                <w:szCs w:val="15"/>
                <w:color w:val="auto"/>
              </w:rPr>
            </w:pPr>
          </w:p>
        </w:tc>
      </w:tr>
      <w:tr>
        <w:trPr>
          <w:trHeight w:val="3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Keyvan Samini</w:t>
            </w:r>
          </w:p>
        </w:tc>
        <w:tc>
          <w:tcPr>
            <w:tcW w:w="220" w:type="dxa"/>
            <w:vAlign w:val="bottom"/>
          </w:tcPr>
          <w:p>
            <w:pPr>
              <w:spacing w:after="0"/>
              <w:rPr>
                <w:sz w:val="24"/>
                <w:szCs w:val="24"/>
                <w:color w:val="auto"/>
              </w:rPr>
            </w:pPr>
          </w:p>
        </w:tc>
        <w:tc>
          <w:tcPr>
            <w:tcW w:w="5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President, Chief Financial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18, 2026</w:t>
            </w:r>
          </w:p>
        </w:tc>
      </w:tr>
      <w:tr>
        <w:trPr>
          <w:trHeight w:val="176"/>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Keyvan Samini</w:t>
            </w:r>
          </w:p>
        </w:tc>
        <w:tc>
          <w:tcPr>
            <w:tcW w:w="220" w:type="dxa"/>
            <w:vAlign w:val="bottom"/>
          </w:tcPr>
          <w:p>
            <w:pPr>
              <w:spacing w:after="0"/>
              <w:rPr>
                <w:sz w:val="15"/>
                <w:szCs w:val="15"/>
                <w:color w:val="auto"/>
              </w:rPr>
            </w:pPr>
          </w:p>
        </w:tc>
        <w:tc>
          <w:tcPr>
            <w:tcW w:w="5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tc>
        <w:tc>
          <w:tcPr>
            <w:tcW w:w="2240" w:type="dxa"/>
            <w:vAlign w:val="bottom"/>
          </w:tcPr>
          <w:p>
            <w:pPr>
              <w:spacing w:after="0"/>
              <w:rPr>
                <w:sz w:val="15"/>
                <w:szCs w:val="15"/>
                <w:color w:val="auto"/>
              </w:rPr>
            </w:pPr>
          </w:p>
        </w:tc>
      </w:tr>
      <w:tr>
        <w:trPr>
          <w:trHeight w:val="3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James Peterson</w:t>
            </w:r>
          </w:p>
        </w:tc>
        <w:tc>
          <w:tcPr>
            <w:tcW w:w="220" w:type="dxa"/>
            <w:vAlign w:val="bottom"/>
          </w:tcPr>
          <w:p>
            <w:pPr>
              <w:spacing w:after="0"/>
              <w:rPr>
                <w:sz w:val="24"/>
                <w:szCs w:val="24"/>
                <w:color w:val="auto"/>
              </w:rPr>
            </w:pPr>
          </w:p>
        </w:tc>
        <w:tc>
          <w:tcPr>
            <w:tcW w:w="5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18, 2026</w:t>
            </w:r>
          </w:p>
        </w:tc>
      </w:tr>
      <w:tr>
        <w:trPr>
          <w:trHeight w:val="176"/>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James Peterson</w:t>
            </w:r>
          </w:p>
        </w:tc>
        <w:tc>
          <w:tcPr>
            <w:tcW w:w="2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David Aldrich</w:t>
            </w:r>
          </w:p>
        </w:tc>
        <w:tc>
          <w:tcPr>
            <w:tcW w:w="220" w:type="dxa"/>
            <w:vAlign w:val="bottom"/>
          </w:tcPr>
          <w:p>
            <w:pPr>
              <w:spacing w:after="0"/>
              <w:rPr>
                <w:sz w:val="24"/>
                <w:szCs w:val="24"/>
                <w:color w:val="auto"/>
              </w:rPr>
            </w:pPr>
          </w:p>
        </w:tc>
        <w:tc>
          <w:tcPr>
            <w:tcW w:w="5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18, 2026</w:t>
            </w:r>
          </w:p>
        </w:tc>
      </w:tr>
      <w:tr>
        <w:trPr>
          <w:trHeight w:val="176"/>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David Aldrich</w:t>
            </w:r>
          </w:p>
        </w:tc>
        <w:tc>
          <w:tcPr>
            <w:tcW w:w="2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Kurt Busch</w:t>
            </w:r>
          </w:p>
        </w:tc>
        <w:tc>
          <w:tcPr>
            <w:tcW w:w="220" w:type="dxa"/>
            <w:vAlign w:val="bottom"/>
          </w:tcPr>
          <w:p>
            <w:pPr>
              <w:spacing w:after="0"/>
              <w:rPr>
                <w:sz w:val="24"/>
                <w:szCs w:val="24"/>
                <w:color w:val="auto"/>
              </w:rPr>
            </w:pPr>
          </w:p>
        </w:tc>
        <w:tc>
          <w:tcPr>
            <w:tcW w:w="5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18, 2026</w:t>
            </w:r>
          </w:p>
        </w:tc>
      </w:tr>
      <w:tr>
        <w:trPr>
          <w:trHeight w:val="176"/>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Kurt Busch</w:t>
            </w:r>
          </w:p>
        </w:tc>
        <w:tc>
          <w:tcPr>
            <w:tcW w:w="2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William Carpou</w:t>
            </w:r>
          </w:p>
        </w:tc>
        <w:tc>
          <w:tcPr>
            <w:tcW w:w="220" w:type="dxa"/>
            <w:vAlign w:val="bottom"/>
          </w:tcPr>
          <w:p>
            <w:pPr>
              <w:spacing w:after="0"/>
              <w:rPr>
                <w:sz w:val="24"/>
                <w:szCs w:val="24"/>
                <w:color w:val="auto"/>
              </w:rPr>
            </w:pPr>
          </w:p>
        </w:tc>
        <w:tc>
          <w:tcPr>
            <w:tcW w:w="5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18, 2026</w:t>
            </w:r>
          </w:p>
        </w:tc>
      </w:tr>
      <w:tr>
        <w:trPr>
          <w:trHeight w:val="176"/>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William Carpou</w:t>
            </w:r>
          </w:p>
        </w:tc>
        <w:tc>
          <w:tcPr>
            <w:tcW w:w="2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Frederick Goerner</w:t>
            </w:r>
          </w:p>
        </w:tc>
        <w:tc>
          <w:tcPr>
            <w:tcW w:w="220" w:type="dxa"/>
            <w:vAlign w:val="bottom"/>
          </w:tcPr>
          <w:p>
            <w:pPr>
              <w:spacing w:after="0"/>
              <w:rPr>
                <w:sz w:val="24"/>
                <w:szCs w:val="24"/>
                <w:color w:val="auto"/>
              </w:rPr>
            </w:pPr>
          </w:p>
        </w:tc>
        <w:tc>
          <w:tcPr>
            <w:tcW w:w="5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18, 2026</w:t>
            </w:r>
          </w:p>
        </w:tc>
      </w:tr>
      <w:tr>
        <w:trPr>
          <w:trHeight w:val="176"/>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Frederick Goerner</w:t>
            </w:r>
          </w:p>
        </w:tc>
        <w:tc>
          <w:tcPr>
            <w:tcW w:w="2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Michael Long</w:t>
            </w:r>
          </w:p>
        </w:tc>
        <w:tc>
          <w:tcPr>
            <w:tcW w:w="220" w:type="dxa"/>
            <w:vAlign w:val="bottom"/>
          </w:tcPr>
          <w:p>
            <w:pPr>
              <w:spacing w:after="0"/>
              <w:rPr>
                <w:sz w:val="24"/>
                <w:szCs w:val="24"/>
                <w:color w:val="auto"/>
              </w:rPr>
            </w:pPr>
          </w:p>
        </w:tc>
        <w:tc>
          <w:tcPr>
            <w:tcW w:w="5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18, 2026</w:t>
            </w:r>
          </w:p>
        </w:tc>
      </w:tr>
      <w:tr>
        <w:trPr>
          <w:trHeight w:val="176"/>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Michael Long</w:t>
            </w:r>
          </w:p>
        </w:tc>
        <w:tc>
          <w:tcPr>
            <w:tcW w:w="2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7"/>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2"/>
          </w:tcPr>
          <w:p>
            <w:pPr>
              <w:ind w:left="1660"/>
              <w:spacing w:after="0"/>
              <w:rPr>
                <w:sz w:val="20"/>
                <w:szCs w:val="20"/>
                <w:color w:val="auto"/>
              </w:rPr>
            </w:pPr>
            <w:r>
              <w:rPr>
                <w:rFonts w:ascii="Times New Roman" w:cs="Times New Roman" w:eastAsia="Times New Roman" w:hAnsi="Times New Roman"/>
                <w:sz w:val="14"/>
                <w:szCs w:val="14"/>
                <w:color w:val="auto"/>
              </w:rPr>
              <w:t>II-14</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71" w:right="31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4"/>
          <w:szCs w:val="14"/>
          <w:b w:val="1"/>
          <w:bCs w:val="1"/>
          <w:color w:val="auto"/>
        </w:rPr>
        <w:t>Exhibit 4.20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OF DESIGNATION OF PREFERENCES,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RIGHTS AND LIMITATIONS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SERIES A</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10% CONVERTIBLE PREFERRED STOCK</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151 OF THE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DELAWARE GENERAL CORPORATION LAW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Keyvan Samini, does hereby certify that:</w:t>
      </w:r>
    </w:p>
    <w:p>
      <w:pPr>
        <w:spacing w:after="0" w:line="180" w:lineRule="exact"/>
        <w:rPr>
          <w:sz w:val="20"/>
          <w:szCs w:val="20"/>
          <w:color w:val="auto"/>
        </w:rPr>
      </w:pPr>
    </w:p>
    <w:p>
      <w:pPr>
        <w:ind w:left="660" w:hanging="143"/>
        <w:spacing w:after="0"/>
        <w:tabs>
          <w:tab w:leader="none" w:pos="6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is the President, CFO and Acting General Counsel of Mobix Labs, Inc., a Delaware corporation (the “Corporation”).</w:t>
      </w:r>
    </w:p>
    <w:p>
      <w:pPr>
        <w:spacing w:after="0" w:line="180" w:lineRule="exact"/>
        <w:rPr>
          <w:rFonts w:ascii="Times New Roman" w:cs="Times New Roman" w:eastAsia="Times New Roman" w:hAnsi="Times New Roman"/>
          <w:sz w:val="14"/>
          <w:szCs w:val="14"/>
          <w:color w:val="auto"/>
        </w:rPr>
      </w:pPr>
    </w:p>
    <w:p>
      <w:pPr>
        <w:ind w:left="660" w:hanging="143"/>
        <w:spacing w:after="0"/>
        <w:tabs>
          <w:tab w:leader="none" w:pos="6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Corporation is authorized to issue </w:t>
      </w:r>
      <w:r>
        <w:rPr>
          <w:rFonts w:ascii="Times New Roman" w:cs="Times New Roman" w:eastAsia="Times New Roman" w:hAnsi="Times New Roman"/>
          <w:sz w:val="14"/>
          <w:szCs w:val="14"/>
          <w:u w:val="single" w:color="auto"/>
          <w:color w:val="auto"/>
        </w:rPr>
        <w:t>10,000,000</w:t>
      </w:r>
      <w:r>
        <w:rPr>
          <w:rFonts w:ascii="Times New Roman" w:cs="Times New Roman" w:eastAsia="Times New Roman" w:hAnsi="Times New Roman"/>
          <w:sz w:val="14"/>
          <w:szCs w:val="14"/>
          <w:color w:val="auto"/>
        </w:rPr>
        <w:t xml:space="preserve"> shares of preferred stock, none of which are issued and outstanding.</w:t>
      </w:r>
    </w:p>
    <w:p>
      <w:pPr>
        <w:spacing w:after="0" w:line="180" w:lineRule="exact"/>
        <w:rPr>
          <w:rFonts w:ascii="Times New Roman" w:cs="Times New Roman" w:eastAsia="Times New Roman" w:hAnsi="Times New Roman"/>
          <w:sz w:val="14"/>
          <w:szCs w:val="14"/>
          <w:color w:val="auto"/>
        </w:rPr>
      </w:pPr>
    </w:p>
    <w:p>
      <w:pPr>
        <w:ind w:left="660" w:hanging="143"/>
        <w:spacing w:after="0"/>
        <w:tabs>
          <w:tab w:leader="none" w:pos="6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resolutions were duly adopted by the board of directors of the Corporation (the “Board of Directors”):</w:t>
      </w:r>
    </w:p>
    <w:p>
      <w:pPr>
        <w:spacing w:after="0" w:line="180" w:lineRule="exact"/>
        <w:rPr>
          <w:sz w:val="20"/>
          <w:szCs w:val="20"/>
          <w:color w:val="auto"/>
        </w:rPr>
      </w:pPr>
    </w:p>
    <w:p>
      <w:pPr>
        <w:ind w:firstLine="512"/>
        <w:spacing w:after="0" w:line="289" w:lineRule="auto"/>
        <w:rPr>
          <w:sz w:val="20"/>
          <w:szCs w:val="20"/>
          <w:color w:val="auto"/>
        </w:rPr>
      </w:pPr>
      <w:r>
        <w:rPr>
          <w:rFonts w:ascii="Times New Roman" w:cs="Times New Roman" w:eastAsia="Times New Roman" w:hAnsi="Times New Roman"/>
          <w:sz w:val="14"/>
          <w:szCs w:val="14"/>
          <w:color w:val="auto"/>
        </w:rPr>
        <w:t xml:space="preserve">WHEREAS, the certificate of incorporation of the Corporation provides for a class of its authorized stock known as preferred stock, consisting of </w:t>
      </w:r>
      <w:r>
        <w:rPr>
          <w:rFonts w:ascii="Times New Roman" w:cs="Times New Roman" w:eastAsia="Times New Roman" w:hAnsi="Times New Roman"/>
          <w:sz w:val="14"/>
          <w:szCs w:val="14"/>
          <w:u w:val="single" w:color="auto"/>
          <w:color w:val="auto"/>
        </w:rPr>
        <w:t>10,000,000</w:t>
      </w:r>
      <w:r>
        <w:rPr>
          <w:rFonts w:ascii="Times New Roman" w:cs="Times New Roman" w:eastAsia="Times New Roman" w:hAnsi="Times New Roman"/>
          <w:sz w:val="14"/>
          <w:szCs w:val="14"/>
          <w:color w:val="auto"/>
        </w:rPr>
        <w:t xml:space="preserve"> shares, $0.</w:t>
      </w:r>
      <w:r>
        <w:rPr>
          <w:rFonts w:ascii="Times New Roman" w:cs="Times New Roman" w:eastAsia="Times New Roman" w:hAnsi="Times New Roman"/>
          <w:sz w:val="14"/>
          <w:szCs w:val="14"/>
          <w:u w:val="single" w:color="auto"/>
          <w:color w:val="auto"/>
        </w:rPr>
        <w:t>00001</w:t>
      </w:r>
      <w:r>
        <w:rPr>
          <w:rFonts w:ascii="Times New Roman" w:cs="Times New Roman" w:eastAsia="Times New Roman" w:hAnsi="Times New Roman"/>
          <w:sz w:val="14"/>
          <w:szCs w:val="14"/>
          <w:color w:val="auto"/>
        </w:rPr>
        <w:t xml:space="preserve"> par value per share, issuable from time to time in one or more series;</w:t>
      </w:r>
    </w:p>
    <w:p>
      <w:pPr>
        <w:spacing w:after="0" w:line="124" w:lineRule="exact"/>
        <w:rPr>
          <w:sz w:val="20"/>
          <w:szCs w:val="20"/>
          <w:color w:val="auto"/>
        </w:rPr>
      </w:pPr>
    </w:p>
    <w:p>
      <w:pPr>
        <w:ind w:firstLine="512"/>
        <w:spacing w:after="0" w:line="289" w:lineRule="auto"/>
        <w:rPr>
          <w:sz w:val="20"/>
          <w:szCs w:val="20"/>
          <w:color w:val="auto"/>
        </w:rPr>
      </w:pPr>
      <w:r>
        <w:rPr>
          <w:rFonts w:ascii="Times New Roman" w:cs="Times New Roman" w:eastAsia="Times New Roman" w:hAnsi="Times New Roman"/>
          <w:sz w:val="14"/>
          <w:szCs w:val="14"/>
          <w:color w:val="auto"/>
        </w:rPr>
        <w:t>WHEREAS, the Board of Directors is authorized to fix the dividend rights, dividend rate, voting rights, conversion rights, rights and terms of redemption and liquidation preferences of any wholly unissued series of preferred stock and the number of shares constituting any series and the designation thereof, of any of them; and</w:t>
      </w:r>
    </w:p>
    <w:p>
      <w:pPr>
        <w:spacing w:after="0" w:line="124" w:lineRule="exact"/>
        <w:rPr>
          <w:sz w:val="20"/>
          <w:szCs w:val="20"/>
          <w:color w:val="auto"/>
        </w:rPr>
      </w:pPr>
    </w:p>
    <w:p>
      <w:pPr>
        <w:ind w:firstLine="512"/>
        <w:spacing w:after="0" w:line="289" w:lineRule="auto"/>
        <w:rPr>
          <w:sz w:val="20"/>
          <w:szCs w:val="20"/>
          <w:color w:val="auto"/>
        </w:rPr>
      </w:pPr>
      <w:r>
        <w:rPr>
          <w:rFonts w:ascii="Times New Roman" w:cs="Times New Roman" w:eastAsia="Times New Roman" w:hAnsi="Times New Roman"/>
          <w:sz w:val="14"/>
          <w:szCs w:val="14"/>
          <w:color w:val="auto"/>
        </w:rPr>
        <w:t>WHEREAS, it is the desire of the Board of Directors, pursuant to its authority as aforesaid, to fix the rights, preferences, restrictions and other matters relating to a series of the preferred stock, which shall consist of, except as otherwise set forth in the Purchase Agreement, up to 20,000 shares of the preferred stock which the Corporation has the authority to issue, as follows:</w:t>
      </w:r>
    </w:p>
    <w:p>
      <w:pPr>
        <w:spacing w:after="0" w:line="124" w:lineRule="exact"/>
        <w:rPr>
          <w:sz w:val="20"/>
          <w:szCs w:val="20"/>
          <w:color w:val="auto"/>
        </w:rPr>
      </w:pPr>
    </w:p>
    <w:p>
      <w:pPr>
        <w:ind w:firstLine="512"/>
        <w:spacing w:after="0" w:line="289" w:lineRule="auto"/>
        <w:rPr>
          <w:sz w:val="20"/>
          <w:szCs w:val="20"/>
          <w:color w:val="auto"/>
        </w:rPr>
      </w:pPr>
      <w:r>
        <w:rPr>
          <w:rFonts w:ascii="Times New Roman" w:cs="Times New Roman" w:eastAsia="Times New Roman" w:hAnsi="Times New Roman"/>
          <w:sz w:val="14"/>
          <w:szCs w:val="14"/>
          <w:color w:val="auto"/>
        </w:rPr>
        <w:t>NOW, THEREFORE, BE IT RESOLVED, that the Board of Directors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TERMS OF PREFERRED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 Definitions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purposes hereof, the following terms shall have the following meanings:</w:t>
      </w:r>
    </w:p>
    <w:p>
      <w:pPr>
        <w:spacing w:after="0" w:line="178" w:lineRule="exact"/>
        <w:rPr>
          <w:sz w:val="20"/>
          <w:szCs w:val="20"/>
          <w:color w:val="auto"/>
        </w:rPr>
      </w:pPr>
    </w:p>
    <w:p>
      <w:pPr>
        <w:ind w:firstLine="512"/>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Alternate Consideration</w:t>
      </w:r>
      <w:r>
        <w:rPr>
          <w:rFonts w:ascii="Times New Roman" w:cs="Times New Roman" w:eastAsia="Times New Roman" w:hAnsi="Times New Roman"/>
          <w:sz w:val="14"/>
          <w:szCs w:val="14"/>
          <w:color w:val="auto"/>
        </w:rPr>
        <w:t>” shall have the meaning set forth in Section 7(f).</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Amended Registration Statement Effectiveness</w:t>
      </w:r>
      <w:r>
        <w:rPr>
          <w:rFonts w:ascii="Times New Roman" w:cs="Times New Roman" w:eastAsia="Times New Roman" w:hAnsi="Times New Roman"/>
          <w:sz w:val="14"/>
          <w:szCs w:val="14"/>
          <w:color w:val="auto"/>
        </w:rPr>
        <w:t>” shall have the meaning set forth in Section 4.16 of the Purchase Agreement.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Filing</w:t>
      </w:r>
      <w:r>
        <w:rPr>
          <w:rFonts w:ascii="Times New Roman" w:cs="Times New Roman" w:eastAsia="Times New Roman" w:hAnsi="Times New Roman"/>
          <w:sz w:val="14"/>
          <w:szCs w:val="14"/>
          <w:color w:val="auto"/>
        </w:rPr>
        <w:t>” shall have the meaning set forth in Section 4.16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16089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69" w:name="page170"/>
    <w:bookmarkEnd w:id="169"/>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Attribution Parties</w:t>
      </w:r>
      <w:r>
        <w:rPr>
          <w:rFonts w:ascii="Times New Roman" w:cs="Times New Roman" w:eastAsia="Times New Roman" w:hAnsi="Times New Roman"/>
          <w:sz w:val="14"/>
          <w:szCs w:val="14"/>
          <w:color w:val="auto"/>
        </w:rPr>
        <w:t>” shall have the meaning set forth in Section 6(d).</w:t>
      </w:r>
    </w:p>
    <w:p>
      <w:pPr>
        <w:spacing w:after="0" w:line="180" w:lineRule="exact"/>
        <w:rPr>
          <w:sz w:val="20"/>
          <w:szCs w:val="20"/>
          <w:color w:val="auto"/>
        </w:rPr>
      </w:pPr>
    </w:p>
    <w:p>
      <w:pPr>
        <w:jc w:val="both"/>
        <w:ind w:firstLine="512"/>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Authorized Share Failure</w:t>
      </w:r>
      <w:r>
        <w:rPr>
          <w:rFonts w:ascii="Times New Roman" w:cs="Times New Roman" w:eastAsia="Times New Roman" w:hAnsi="Times New Roman"/>
          <w:sz w:val="14"/>
          <w:szCs w:val="14"/>
          <w:color w:val="auto"/>
        </w:rPr>
        <w:t>” means any time the number of shares of Common Stock authorized for issuance by the Corporation is insufficient to satisfy the Corporation’s obligation to issue Conversion Shares and Dividend Shares issuable pursuant to the Transaction Documents (taking into account all shares of Common Stock then issued and outstanding and all shares reserved for issuance pursuant to the Transaction Documents and any other agreements of the Corporation).</w:t>
      </w:r>
    </w:p>
    <w:p>
      <w:pPr>
        <w:spacing w:after="0" w:line="133" w:lineRule="exact"/>
        <w:rPr>
          <w:sz w:val="20"/>
          <w:szCs w:val="20"/>
          <w:color w:val="auto"/>
        </w:rPr>
      </w:pPr>
    </w:p>
    <w:p>
      <w:pPr>
        <w:jc w:val="both"/>
        <w:ind w:firstLine="51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Bankruptcy Event</w:t>
      </w:r>
      <w:r>
        <w:rPr>
          <w:rFonts w:ascii="Times New Roman" w:cs="Times New Roman" w:eastAsia="Times New Roman" w:hAnsi="Times New Roman"/>
          <w:sz w:val="14"/>
          <w:szCs w:val="14"/>
          <w:color w:val="auto"/>
        </w:rPr>
        <w:t>” means any of the following events: (a) the Corporation or any Significant Subsidiary (as such term is defined in Rule 1-02(w) of Regulation S-X) thereof commences a case or other proceeding under any bankruptcy, reorganization, arrangement, adjustment of debt, relief of debtors, dissolution, insolvency or liquidation or similar law of any jurisdiction relating to the Corporation or any Significant Subsidiary thereof, (b) there is commenced against the Corporation or any Significant Subsidiary thereof any such case or proceeding that is not dismissed within 60 days after commencement, (c) the Corporation or any Significant Subsidiary thereof is adjudicated insolvent or bankrupt or any order of relief or other order approving any such case or proceeding is entered, (d) the Corporation or any Significant Subsidiary thereof suffers any appointment of any custodian or the like for it or any substantial part of its property that is not discharged or stayed within 60 calendar days after such appointment, (e) the Corporation or any Significant Subsidiary thereof makes a general assignment for the benefit of creditors, (f) the Corporation or any Significant Subsidiary thereof calls a meeting of its creditors with a view to arranging a composition, adjustment or restructuring of its debts, or (g) the Corporation or any Significant Subsidiary thereof, by any act or failure to act, expressly indicates its consent to, approval of or acquiescence in any of the foregoing or takes any corporate or other action for the purpose of effecting any of the foregoing.</w:t>
      </w:r>
    </w:p>
    <w:p>
      <w:pPr>
        <w:spacing w:after="0" w:line="3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Beneficial Ownership Limitation</w:t>
      </w:r>
      <w:r>
        <w:rPr>
          <w:rFonts w:ascii="Times New Roman" w:cs="Times New Roman" w:eastAsia="Times New Roman" w:hAnsi="Times New Roman"/>
          <w:sz w:val="14"/>
          <w:szCs w:val="14"/>
          <w:color w:val="auto"/>
        </w:rPr>
        <w:t>” shall have the meaning set forth in Section 6(d).</w:t>
      </w:r>
    </w:p>
    <w:p>
      <w:pPr>
        <w:spacing w:after="0" w:line="180"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Buy-In</w:t>
      </w:r>
      <w:r>
        <w:rPr>
          <w:rFonts w:ascii="Times New Roman" w:cs="Times New Roman" w:eastAsia="Times New Roman" w:hAnsi="Times New Roman"/>
          <w:sz w:val="14"/>
          <w:szCs w:val="14"/>
          <w:color w:val="auto"/>
        </w:rPr>
        <w:t>” shall have the meaning set forth in Section 6(c)(iv).</w:t>
      </w:r>
    </w:p>
    <w:p>
      <w:pPr>
        <w:spacing w:after="0" w:line="180"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Change of Control Transaction</w:t>
      </w:r>
      <w:r>
        <w:rPr>
          <w:rFonts w:ascii="Times New Roman" w:cs="Times New Roman" w:eastAsia="Times New Roman" w:hAnsi="Times New Roman"/>
          <w:sz w:val="14"/>
          <w:szCs w:val="14"/>
          <w:color w:val="auto"/>
        </w:rPr>
        <w:t>” means the occurrence after the date hereof of any of (a) an acquisition after the date hereof by an individual or legal entity or “group” (as described in Rule 13d-5(b)(1) promulgated under the Exchange Act) of effective control (whether through legal or beneficial ownership of capital stock of the Corporation, by contract or otherwise) of more than 50% of the voting securities of the Corporation (other than by means of conversion or exercise of Preferred Stock and the Securities issued together with the Preferred Stock), (b) the Corporation merges into or consolidates with any other Person, or any Person merges into or consolidates with the Corporation and, after giving effect to such transaction, the stockholders of the Corporation immediately prior to such transaction own less than 50% of the aggregate voting power of the Corporation or the successor entity of such transaction, (c) the Corporation sells or transfers all or substantially all of its assets to another Person and the stockholders of the Corporation immediately prior to such transaction own less than 50% of the aggregate voting power of the acquiring entity immediately after the transaction, (d) a replacement at one time or within a one year period of more than one-half of the members of the Board of Directors which is not approved by a majority of those individuals who are members of the Board of Directors on the Original Issue Date (or by those individuals who are serving as members of the Board of Directors on any date whose nomination to the Board of Directors was approved by a majority of the members of the Board of Directors who are members on the Original Issue Date), or (e) the execution by the Corporation of an agreement to which the Corporation is a party or by which it is bound, providing for any of the events set forth in clauses (a) through (d) above.</w:t>
      </w:r>
    </w:p>
    <w:p>
      <w:pPr>
        <w:spacing w:after="0" w:line="147"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Price</w:t>
      </w:r>
      <w:r>
        <w:rPr>
          <w:rFonts w:ascii="Times New Roman" w:cs="Times New Roman" w:eastAsia="Times New Roman" w:hAnsi="Times New Roman"/>
          <w:sz w:val="14"/>
          <w:szCs w:val="14"/>
          <w:color w:val="auto"/>
        </w:rPr>
        <w:t>” means, as of any date, the closing price of the Common Stock on the principal Trading Market on such date (or the nearest preceding Trading Day on which the Common Stock was traded), as reported by the principal Trading Market.</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means the United States Securities and Exchange Commission.</w:t>
      </w:r>
    </w:p>
    <w:p>
      <w:pPr>
        <w:spacing w:after="0" w:line="180"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means the Corporation’s common stock, par value $0.00001 per share, and stock of any other class of securities into which such securities may hereafter be reclassified or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16089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70" w:name="page171"/>
    <w:bookmarkEnd w:id="170"/>
    <w:p>
      <w:pPr>
        <w:jc w:val="both"/>
        <w:ind w:firstLine="512"/>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Common Stock Equivalents</w:t>
      </w:r>
      <w:r>
        <w:rPr>
          <w:rFonts w:ascii="Times New Roman" w:cs="Times New Roman" w:eastAsia="Times New Roman" w:hAnsi="Times New Roman"/>
          <w:sz w:val="14"/>
          <w:szCs w:val="14"/>
          <w:color w:val="auto"/>
        </w:rPr>
        <w:t>” means any securities of the Corporation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133" w:lineRule="exact"/>
        <w:rPr>
          <w:sz w:val="20"/>
          <w:szCs w:val="20"/>
          <w:color w:val="auto"/>
        </w:rPr>
      </w:pPr>
    </w:p>
    <w:p>
      <w:pPr>
        <w:jc w:val="both"/>
        <w:ind w:firstLine="51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Conversion Amount</w:t>
      </w:r>
      <w:r>
        <w:rPr>
          <w:rFonts w:ascii="Times New Roman" w:cs="Times New Roman" w:eastAsia="Times New Roman" w:hAnsi="Times New Roman"/>
          <w:sz w:val="14"/>
          <w:szCs w:val="14"/>
          <w:color w:val="auto"/>
        </w:rPr>
        <w:t>” means the sum of (a) the Stated Value of the shares of Preferred Stock to be converted, (b) accrued and unpaid dividends thereon, (c) all reasonable out-of-pocket expenses incurred by the Holder in connection with such conversion, including, without limitation, amounts paid by the Holder to the Corporation’s Transfer Agent and the reasonable costs of any legal opinion required for such conversion, in each case to the extent not paid by the Corporation, and (d) all other amounts due, if any, under this Certificate of Designation with respect to such shares of Preferred Stock.</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Conversion Date</w:t>
      </w:r>
      <w:r>
        <w:rPr>
          <w:rFonts w:ascii="Times New Roman" w:cs="Times New Roman" w:eastAsia="Times New Roman" w:hAnsi="Times New Roman"/>
          <w:sz w:val="14"/>
          <w:szCs w:val="14"/>
          <w:color w:val="auto"/>
        </w:rPr>
        <w:t>” shall have the meaning set forth in Section 6(a).</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Conversion Price</w:t>
      </w:r>
      <w:r>
        <w:rPr>
          <w:rFonts w:ascii="Times New Roman" w:cs="Times New Roman" w:eastAsia="Times New Roman" w:hAnsi="Times New Roman"/>
          <w:sz w:val="14"/>
          <w:szCs w:val="14"/>
          <w:color w:val="auto"/>
        </w:rPr>
        <w:t>” shall have the meaning set forth in Section 6(b).</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Conversion Shares</w:t>
      </w:r>
      <w:r>
        <w:rPr>
          <w:rFonts w:ascii="Times New Roman" w:cs="Times New Roman" w:eastAsia="Times New Roman" w:hAnsi="Times New Roman"/>
          <w:sz w:val="14"/>
          <w:szCs w:val="14"/>
          <w:color w:val="auto"/>
        </w:rPr>
        <w:t>” means, collectively, the shares of Common Stock issuable upon conversion of the shares of Preferred Stock in accordance with the terms hereof.</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Default Interest Rate</w:t>
      </w:r>
      <w:r>
        <w:rPr>
          <w:rFonts w:ascii="Times New Roman" w:cs="Times New Roman" w:eastAsia="Times New Roman" w:hAnsi="Times New Roman"/>
          <w:sz w:val="14"/>
          <w:szCs w:val="14"/>
          <w:color w:val="auto"/>
        </w:rPr>
        <w:t>” means 18% per annum.</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Dilutive Issuance</w:t>
      </w:r>
      <w:r>
        <w:rPr>
          <w:rFonts w:ascii="Times New Roman" w:cs="Times New Roman" w:eastAsia="Times New Roman" w:hAnsi="Times New Roman"/>
          <w:sz w:val="14"/>
          <w:szCs w:val="14"/>
          <w:color w:val="auto"/>
        </w:rPr>
        <w:t>” shall have the meaning set forth in Section 7(b).</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Dilutive Issuance Notice</w:t>
      </w:r>
      <w:r>
        <w:rPr>
          <w:rFonts w:ascii="Times New Roman" w:cs="Times New Roman" w:eastAsia="Times New Roman" w:hAnsi="Times New Roman"/>
          <w:sz w:val="14"/>
          <w:szCs w:val="14"/>
          <w:color w:val="auto"/>
        </w:rPr>
        <w:t>” shall have the meaning set forth in Section 7(b).</w:t>
      </w:r>
    </w:p>
    <w:p>
      <w:pPr>
        <w:spacing w:after="0" w:line="180" w:lineRule="exact"/>
        <w:rPr>
          <w:sz w:val="20"/>
          <w:szCs w:val="20"/>
          <w:color w:val="auto"/>
        </w:rPr>
      </w:pPr>
    </w:p>
    <w:p>
      <w:pPr>
        <w:ind w:left="52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Dividend Conversion Rate</w:t>
      </w:r>
      <w:r>
        <w:rPr>
          <w:rFonts w:ascii="Times New Roman" w:cs="Times New Roman" w:eastAsia="Times New Roman" w:hAnsi="Times New Roman"/>
          <w:sz w:val="14"/>
          <w:szCs w:val="14"/>
          <w:color w:val="auto"/>
        </w:rPr>
        <w:t>” means, for each $1,000 of Dividend Share Amount (or portion thereof), one share of Preferred Stock with a Stated Value of $1,200 (or a portion of a share thereof).</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Dividend Payment Date</w:t>
      </w:r>
      <w:r>
        <w:rPr>
          <w:rFonts w:ascii="Times New Roman" w:cs="Times New Roman" w:eastAsia="Times New Roman" w:hAnsi="Times New Roman"/>
          <w:sz w:val="14"/>
          <w:szCs w:val="14"/>
          <w:color w:val="auto"/>
        </w:rPr>
        <w:t>” shall have the meaning set forth in Section 3(a).</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Dividend Share Amount</w:t>
      </w:r>
      <w:r>
        <w:rPr>
          <w:rFonts w:ascii="Times New Roman" w:cs="Times New Roman" w:eastAsia="Times New Roman" w:hAnsi="Times New Roman"/>
          <w:sz w:val="14"/>
          <w:szCs w:val="14"/>
          <w:color w:val="auto"/>
        </w:rPr>
        <w:t>” shall have the meaning set forth in Section 3(a).</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Dividend Shares</w:t>
      </w:r>
      <w:r>
        <w:rPr>
          <w:rFonts w:ascii="Times New Roman" w:cs="Times New Roman" w:eastAsia="Times New Roman" w:hAnsi="Times New Roman"/>
          <w:sz w:val="14"/>
          <w:szCs w:val="14"/>
          <w:color w:val="auto"/>
        </w:rPr>
        <w:t>” shall have the meaning set forth in Section 3(a).</w:t>
      </w:r>
    </w:p>
    <w:p>
      <w:pPr>
        <w:spacing w:after="0" w:line="180"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Effective Registration Statement Date</w:t>
      </w:r>
      <w:r>
        <w:rPr>
          <w:rFonts w:ascii="Times New Roman" w:cs="Times New Roman" w:eastAsia="Times New Roman" w:hAnsi="Times New Roman"/>
          <w:sz w:val="14"/>
          <w:szCs w:val="14"/>
          <w:color w:val="auto"/>
        </w:rPr>
        <w:t>” means the date on which a registration statement registering the resale of all Conversion Shares then required to be registered under the Transaction Documents is first declared effective by the Commission or otherwise becomes effective.</w:t>
      </w:r>
    </w:p>
    <w:p>
      <w:pPr>
        <w:spacing w:after="0" w:line="120" w:lineRule="exact"/>
        <w:rPr>
          <w:sz w:val="20"/>
          <w:szCs w:val="20"/>
          <w:color w:val="auto"/>
        </w:rPr>
      </w:pPr>
    </w:p>
    <w:p>
      <w:pPr>
        <w:jc w:val="both"/>
        <w:ind w:firstLine="512"/>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 Conditions</w:t>
      </w:r>
      <w:r>
        <w:rPr>
          <w:rFonts w:ascii="Times New Roman" w:cs="Times New Roman" w:eastAsia="Times New Roman" w:hAnsi="Times New Roman"/>
          <w:sz w:val="14"/>
          <w:szCs w:val="14"/>
          <w:color w:val="auto"/>
        </w:rPr>
        <w:t>” means, during the period in question, (a) the Corporation shall have duly honored all conversions scheduled to occur or occurring by virtue of one or more Notices of Conversion of the applicable Holder on or prior to the dates so requested or required, if any, (b) the Corporation shall have paid all liquidated damages and other amounts owing to the applicable Holder in respect of the Preferred Stock, (c)(i) there is an effective registration statement pursuant to which (A) the Corporation may issue Dividend Shares and Conversion Shares or (B) the Holders are permitted to utilize the prospectus thereunder to resell all of the shares of Common Stock issuable pursuant to the Transaction Documents (and the Corporation believes, in good faith, that such effectiveness will continue uninterrupted for the foreseeable future) or (ii) all of the Conversion Shares issuable pursuant to the Transaction Documents (and shares issuable upon conversion of shares of Preferred Stock in lieu of cash payments of dividends) may be resold pursuant to Rule 144 without volume or manner-of-sale restrictions or current public information requirements as determined by the counsel to the Corporation as set forth in a written opinion letter to such effect, addressed and acceptable to the Transfer Agent and the affected Holders or (iii) all of the Conversion Shares and Dividend Shares may be issued to the Holder pursuant to Section 3(a)(9) of the Securities Act and immediately resold without restriction, (d) the Common Stock is trading on a Trading Market and all of the shares issuable pursuant to the Transaction Documents are listed or quoted for trading on such Trading Market (and the Corporation believes, in good faith, that trading of the Common Stock on a Trading Market will continue uninterrupted for the foreseeable future), (e) there is a sufficient number of authorized, but unissued and otherwise unreserved, shares of Common Stock for the issuance of all of the shares then issuable pursuant to the Transaction Documents and there is no existing Authorized Share Failure, (f) there is no existing Triggering Event and no existing event which, with the passage of time or the giving of notice, would constitute a Triggering Event, (g) there has been no public announcement of a pending or proposed Fundamental Transaction or Change of Control Transaction that has not been consummated, and (h) the applicable Holder is not in possession of any information provided by the Corporation, any of its Subsidiaries, or any of their officers, directors, employees, agents or Affiliates, that constitutes, or may constitute,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6089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71" w:name="page172"/>
    <w:bookmarkEnd w:id="171"/>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Securities Exchange Act of 1934, as amended, and the rules and regulations promulgated thereunder.</w:t>
      </w:r>
    </w:p>
    <w:p>
      <w:pPr>
        <w:spacing w:after="0" w:line="180"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Exempt Issuance</w:t>
      </w:r>
      <w:r>
        <w:rPr>
          <w:rFonts w:ascii="Times New Roman" w:cs="Times New Roman" w:eastAsia="Times New Roman" w:hAnsi="Times New Roman"/>
          <w:sz w:val="14"/>
          <w:szCs w:val="14"/>
          <w:color w:val="auto"/>
        </w:rPr>
        <w:t>” means the issuance of (a) shares of Common Stock, restricted stock units or options to employees, consultants, officers or directors of the Corporation pursuant to any stock or option plan duly adopted by a majority of the non-employee members of the Board of Directors of the Corporation or a majority of the members of a committee of non-employee directors established for such purpose for services rendered to the Corporation, provided that any issuances to consultants under this clause (a) shall not exceed 1,000,000 shares (adjusted for reverse and forward stock splits, recapitalizations and similar transactions) in any 6 month period, (b) securities upon the exercise or exchange of or conversion of any Securities issued pursuant to the Purchase Agreement, and securities upon the exercise or exchange of or conversion of securities issued pursuant to the Transaction Documents dated March 31, 2026, provided that such securities have not been amended since the date of the Purchase Agreement to increase the number of such securities or to decrease the exercise price, exchange price or conversion price of any such securities or to extend the term of such securities, and (c) securities issued pursuant to acquisitions or strategic transactions approved by a majority of the disinterested directors of the Corporation, provided that such securities are issued as “restricted securities” (as defined in Rule 144) and carry no registration rights that require or permit the filing of any registration statement in connection therewith, and provided that any such issuance shall only be to a Person (or to the equity holders of a Person) which is, itself or through its subsidiaries, an operating company or an owner of an asset in a business synergistic with the business of the Corporation and shall provide to the Corporation additional benefits in addition to the investment of funds, but shall not include a transaction in which the Corporation is issuing securities primarily for the purpose of raising capital or to an entity whose primary business is investing in securities.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Form S-3 Unavailability</w:t>
      </w:r>
      <w:r>
        <w:rPr>
          <w:rFonts w:ascii="Times New Roman" w:cs="Times New Roman" w:eastAsia="Times New Roman" w:hAnsi="Times New Roman"/>
          <w:sz w:val="14"/>
          <w:szCs w:val="14"/>
          <w:color w:val="auto"/>
        </w:rPr>
        <w:t>” shall have the meaning set forth in Section 4.16 of the Purchase Agreement.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Fundamental Transaction</w:t>
      </w:r>
      <w:r>
        <w:rPr>
          <w:rFonts w:ascii="Times New Roman" w:cs="Times New Roman" w:eastAsia="Times New Roman" w:hAnsi="Times New Roman"/>
          <w:sz w:val="14"/>
          <w:szCs w:val="14"/>
          <w:color w:val="auto"/>
        </w:rPr>
        <w:t>” shall have the meaning set forth in Section 7(f).</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Holder</w:t>
      </w:r>
      <w:r>
        <w:rPr>
          <w:rFonts w:ascii="Times New Roman" w:cs="Times New Roman" w:eastAsia="Times New Roman" w:hAnsi="Times New Roman"/>
          <w:sz w:val="14"/>
          <w:szCs w:val="14"/>
          <w:color w:val="auto"/>
        </w:rPr>
        <w:t>” shall have the meaning given such term in Section 2.</w:t>
      </w:r>
    </w:p>
    <w:p>
      <w:pPr>
        <w:spacing w:after="0" w:line="180"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Junior Securities</w:t>
      </w:r>
      <w:r>
        <w:rPr>
          <w:rFonts w:ascii="Times New Roman" w:cs="Times New Roman" w:eastAsia="Times New Roman" w:hAnsi="Times New Roman"/>
          <w:sz w:val="14"/>
          <w:szCs w:val="14"/>
          <w:color w:val="auto"/>
        </w:rPr>
        <w:t>” means the Common Stock and all other Common Stock Equivalents of the Corporation other than those securities which are explicitly senior or pari passu to the Preferred Stock in dividend rights or liquidation preference.</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Liquidation</w:t>
      </w:r>
      <w:r>
        <w:rPr>
          <w:rFonts w:ascii="Times New Roman" w:cs="Times New Roman" w:eastAsia="Times New Roman" w:hAnsi="Times New Roman"/>
          <w:sz w:val="14"/>
          <w:szCs w:val="14"/>
          <w:color w:val="auto"/>
        </w:rPr>
        <w:t>” shall have the meaning set forth in Section 5.</w:t>
      </w:r>
    </w:p>
    <w:p>
      <w:pPr>
        <w:spacing w:after="0" w:line="180" w:lineRule="exact"/>
        <w:rPr>
          <w:sz w:val="20"/>
          <w:szCs w:val="20"/>
          <w:color w:val="auto"/>
        </w:rPr>
      </w:pPr>
    </w:p>
    <w:p>
      <w:pPr>
        <w:jc w:val="both"/>
        <w:ind w:firstLine="512"/>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Material Adverse Effect</w:t>
      </w:r>
      <w:r>
        <w:rPr>
          <w:rFonts w:ascii="Times New Roman" w:cs="Times New Roman" w:eastAsia="Times New Roman" w:hAnsi="Times New Roman"/>
          <w:sz w:val="14"/>
          <w:szCs w:val="14"/>
          <w:color w:val="auto"/>
        </w:rPr>
        <w:t>” means any material adverse effect on the business, properties, assets, liabilities, operations, results of operations, condition (financial or otherwise) or prospects of the Corporation and its Subsidiaries, taken as a whole, or on the transactions contemplated hereby or on the other Transaction Documents or by the agreements and instruments to be entered into in connection herewith or therewith, or on the authority or ability of the Corporation to perform any of its obligations under any of the Transaction Documents.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Notice of Conversion</w:t>
      </w:r>
      <w:r>
        <w:rPr>
          <w:rFonts w:ascii="Times New Roman" w:cs="Times New Roman" w:eastAsia="Times New Roman" w:hAnsi="Times New Roman"/>
          <w:sz w:val="14"/>
          <w:szCs w:val="14"/>
          <w:color w:val="auto"/>
        </w:rPr>
        <w:t>” shall have the meaning set forth in Section 6(a).</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Optional Redemption</w:t>
      </w:r>
      <w:r>
        <w:rPr>
          <w:rFonts w:ascii="Times New Roman" w:cs="Times New Roman" w:eastAsia="Times New Roman" w:hAnsi="Times New Roman"/>
          <w:sz w:val="14"/>
          <w:szCs w:val="14"/>
          <w:color w:val="auto"/>
        </w:rPr>
        <w:t>” shall have the meaning set forth in Section 8(a).</w:t>
      </w:r>
    </w:p>
    <w:p>
      <w:pPr>
        <w:spacing w:after="0" w:line="180"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Optional Redemption Amount</w:t>
      </w:r>
      <w:r>
        <w:rPr>
          <w:rFonts w:ascii="Times New Roman" w:cs="Times New Roman" w:eastAsia="Times New Roman" w:hAnsi="Times New Roman"/>
          <w:sz w:val="14"/>
          <w:szCs w:val="14"/>
          <w:color w:val="auto"/>
        </w:rPr>
        <w:t>” means the sum of (a) 110% of the aggregate Stated Value then outstanding, (b) accrued but unpaid dividends and (c) all liquidated damages and other amounts due in respect of the Preferred Stock.</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Optional Redemption Date</w:t>
      </w:r>
      <w:r>
        <w:rPr>
          <w:rFonts w:ascii="Times New Roman" w:cs="Times New Roman" w:eastAsia="Times New Roman" w:hAnsi="Times New Roman"/>
          <w:sz w:val="14"/>
          <w:szCs w:val="14"/>
          <w:color w:val="auto"/>
        </w:rPr>
        <w:t>” shall have the meaning set forth in Section 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16089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72" w:name="page173"/>
    <w:bookmarkEnd w:id="172"/>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Optional Redemption Notice</w:t>
      </w:r>
      <w:r>
        <w:rPr>
          <w:rFonts w:ascii="Times New Roman" w:cs="Times New Roman" w:eastAsia="Times New Roman" w:hAnsi="Times New Roman"/>
          <w:sz w:val="14"/>
          <w:szCs w:val="14"/>
          <w:color w:val="auto"/>
        </w:rPr>
        <w:t>” shall have the meaning set forth in Section 8(a).</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Optional Redemption Notice Date</w:t>
      </w:r>
      <w:r>
        <w:rPr>
          <w:rFonts w:ascii="Times New Roman" w:cs="Times New Roman" w:eastAsia="Times New Roman" w:hAnsi="Times New Roman"/>
          <w:sz w:val="14"/>
          <w:szCs w:val="14"/>
          <w:color w:val="auto"/>
        </w:rPr>
        <w:t>” shall have the meaning set forth in Section 8(a).</w:t>
      </w:r>
    </w:p>
    <w:p>
      <w:pPr>
        <w:spacing w:after="0" w:line="180"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Original Issue Date</w:t>
      </w:r>
      <w:r>
        <w:rPr>
          <w:rFonts w:ascii="Times New Roman" w:cs="Times New Roman" w:eastAsia="Times New Roman" w:hAnsi="Times New Roman"/>
          <w:sz w:val="14"/>
          <w:szCs w:val="14"/>
          <w:color w:val="auto"/>
        </w:rPr>
        <w:t>” means the date of the first issuance of any shares of the Preferred Stock regardless of the number of transfers of any particular shares of Preferred Stock and regardless of the number of certificates which may be issued to evidence such Preferred Stock.</w:t>
      </w:r>
    </w:p>
    <w:p>
      <w:pPr>
        <w:spacing w:after="0" w:line="120" w:lineRule="exact"/>
        <w:rPr>
          <w:sz w:val="20"/>
          <w:szCs w:val="20"/>
          <w:color w:val="auto"/>
        </w:rPr>
      </w:pPr>
    </w:p>
    <w:p>
      <w:pPr>
        <w:jc w:val="both"/>
        <w:ind w:firstLine="512"/>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Payables Litigation</w:t>
      </w:r>
      <w:r>
        <w:rPr>
          <w:rFonts w:ascii="Times New Roman" w:cs="Times New Roman" w:eastAsia="Times New Roman" w:hAnsi="Times New Roman"/>
          <w:sz w:val="14"/>
          <w:szCs w:val="14"/>
          <w:color w:val="auto"/>
        </w:rPr>
        <w:t>” means (i) the written notice to the Corporation or any Subsidiary or (ii) the public announcement by the Corporation, any Subsidiary or any third party of any litigation or arbitration against the Corporation or any Subsidiary in any state or federal court or any arbitration venue that relates to the Corporation’s outstanding accounts payable in an amount that exceeds $250,000.</w:t>
      </w:r>
    </w:p>
    <w:p>
      <w:pPr>
        <w:spacing w:after="0" w:line="133"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Preferred Stock</w:t>
      </w:r>
      <w:r>
        <w:rPr>
          <w:rFonts w:ascii="Times New Roman" w:cs="Times New Roman" w:eastAsia="Times New Roman" w:hAnsi="Times New Roman"/>
          <w:sz w:val="14"/>
          <w:szCs w:val="14"/>
          <w:color w:val="auto"/>
        </w:rPr>
        <w:t>” shall have the meaning set forth in Section 2.</w:t>
      </w:r>
    </w:p>
    <w:p>
      <w:pPr>
        <w:spacing w:after="0" w:line="180"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Purchase Agreement</w:t>
      </w:r>
      <w:r>
        <w:rPr>
          <w:rFonts w:ascii="Times New Roman" w:cs="Times New Roman" w:eastAsia="Times New Roman" w:hAnsi="Times New Roman"/>
          <w:sz w:val="14"/>
          <w:szCs w:val="14"/>
          <w:color w:val="auto"/>
        </w:rPr>
        <w:t>” means the Securities Purchase Agreement, dated on or about the Original Issue Date, among the Corporation and the original Holders, as amended, modified or supplemented from time to time in accordance with its terms.</w:t>
      </w:r>
    </w:p>
    <w:p>
      <w:pPr>
        <w:spacing w:after="0" w:line="120"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Rule 144</w:t>
      </w:r>
      <w:r>
        <w:rPr>
          <w:rFonts w:ascii="Times New Roman" w:cs="Times New Roman" w:eastAsia="Times New Roman" w:hAnsi="Times New Roman"/>
          <w:sz w:val="14"/>
          <w:szCs w:val="14"/>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means the Preferred Stock, the Warrants, the Warrant Shares and the Conversion Shares.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means the Securities Act of 1933, as amended, and the rules and regulations promulgated thereunder.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 Delivery Date</w:t>
      </w:r>
      <w:r>
        <w:rPr>
          <w:rFonts w:ascii="Times New Roman" w:cs="Times New Roman" w:eastAsia="Times New Roman" w:hAnsi="Times New Roman"/>
          <w:sz w:val="14"/>
          <w:szCs w:val="14"/>
          <w:color w:val="auto"/>
        </w:rPr>
        <w:t>” shall have the meaning set forth in Section 6(c).</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Stated Value</w:t>
      </w:r>
      <w:r>
        <w:rPr>
          <w:rFonts w:ascii="Times New Roman" w:cs="Times New Roman" w:eastAsia="Times New Roman" w:hAnsi="Times New Roman"/>
          <w:sz w:val="14"/>
          <w:szCs w:val="14"/>
          <w:color w:val="auto"/>
        </w:rPr>
        <w:t>” shall have the meaning set forth in Section 2, as the same may be increased pursuant to Section 3.</w:t>
      </w:r>
    </w:p>
    <w:p>
      <w:pPr>
        <w:spacing w:after="0" w:line="180"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Subscription Amount</w:t>
      </w:r>
      <w:r>
        <w:rPr>
          <w:rFonts w:ascii="Times New Roman" w:cs="Times New Roman" w:eastAsia="Times New Roman" w:hAnsi="Times New Roman"/>
          <w:sz w:val="14"/>
          <w:szCs w:val="14"/>
          <w:color w:val="auto"/>
        </w:rPr>
        <w:t>” shall mean, as to each Holder, the aggregate amount to be paid for the Preferred Stock purchased pursuant to the Purchase Agreement as specified below such Holder’s name on the signature page of the Purchase Agreement and next to the heading “Subscription Amount,” in United States dollars and in immediately available funds.</w:t>
      </w:r>
    </w:p>
    <w:p>
      <w:pPr>
        <w:spacing w:after="0" w:line="120"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Subsidiary</w:t>
      </w:r>
      <w:r>
        <w:rPr>
          <w:rFonts w:ascii="Times New Roman" w:cs="Times New Roman" w:eastAsia="Times New Roman" w:hAnsi="Times New Roman"/>
          <w:sz w:val="14"/>
          <w:szCs w:val="14"/>
          <w:color w:val="auto"/>
        </w:rPr>
        <w:t>” means any subsidiary of the Corporation as set forth on Schedule 3.1(a) of the Purchase Agreement and shall, where applicable, also include any direct or indirect subsidiary of the Corporation formed or acquired after the date of the Purchase Agreement.</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Successor Entity</w:t>
      </w:r>
      <w:r>
        <w:rPr>
          <w:rFonts w:ascii="Times New Roman" w:cs="Times New Roman" w:eastAsia="Times New Roman" w:hAnsi="Times New Roman"/>
          <w:sz w:val="14"/>
          <w:szCs w:val="14"/>
          <w:color w:val="auto"/>
        </w:rPr>
        <w:t>” shall have the meaning set forth in Section 7(f).</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Trading Day</w:t>
      </w:r>
      <w:r>
        <w:rPr>
          <w:rFonts w:ascii="Times New Roman" w:cs="Times New Roman" w:eastAsia="Times New Roman" w:hAnsi="Times New Roman"/>
          <w:sz w:val="14"/>
          <w:szCs w:val="14"/>
          <w:color w:val="auto"/>
        </w:rPr>
        <w:t>” means a day on which the principal Trading Market is open for business.</w:t>
      </w:r>
    </w:p>
    <w:p>
      <w:pPr>
        <w:spacing w:after="0" w:line="180" w:lineRule="exact"/>
        <w:rPr>
          <w:sz w:val="20"/>
          <w:szCs w:val="20"/>
          <w:color w:val="auto"/>
        </w:rPr>
      </w:pPr>
    </w:p>
    <w:p>
      <w:pPr>
        <w:jc w:val="both"/>
        <w:ind w:firstLine="512"/>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Trading Market</w:t>
      </w:r>
      <w:r>
        <w:rPr>
          <w:rFonts w:ascii="Times New Roman" w:cs="Times New Roman" w:eastAsia="Times New Roman" w:hAnsi="Times New Roman"/>
          <w:sz w:val="14"/>
          <w:szCs w:val="14"/>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16089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73" w:name="page174"/>
    <w:bookmarkEnd w:id="173"/>
    <w:p>
      <w:pPr>
        <w:ind w:firstLine="512"/>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Transaction Documents</w:t>
      </w:r>
      <w:r>
        <w:rPr>
          <w:rFonts w:ascii="Times New Roman" w:cs="Times New Roman" w:eastAsia="Times New Roman" w:hAnsi="Times New Roman"/>
          <w:sz w:val="14"/>
          <w:szCs w:val="14"/>
          <w:color w:val="auto"/>
        </w:rPr>
        <w:t>” means this Certificate of Designation, the Purchase Agreement, the Warrants, all exhibits and schedules thereto and hereto and any other documents or agreements executed in connection with the transactions contemplated pursuant to the Purchase Agreement.</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Transfer Agent</w:t>
      </w:r>
      <w:r>
        <w:rPr>
          <w:rFonts w:ascii="Times New Roman" w:cs="Times New Roman" w:eastAsia="Times New Roman" w:hAnsi="Times New Roman"/>
          <w:sz w:val="14"/>
          <w:szCs w:val="14"/>
          <w:color w:val="auto"/>
        </w:rPr>
        <w:t>” means Continental Stock Transfer &amp; Trust Company, as the current transfer agent of the Corporation, and any successor transfer agent of the Corporation.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Triggering Event</w:t>
      </w:r>
      <w:r>
        <w:rPr>
          <w:rFonts w:ascii="Times New Roman" w:cs="Times New Roman" w:eastAsia="Times New Roman" w:hAnsi="Times New Roman"/>
          <w:sz w:val="14"/>
          <w:szCs w:val="14"/>
          <w:color w:val="auto"/>
        </w:rPr>
        <w:t>” shall have the meaning set forth in Section 10(a).</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Triggering Redemption Amount</w:t>
      </w:r>
      <w:r>
        <w:rPr>
          <w:rFonts w:ascii="Times New Roman" w:cs="Times New Roman" w:eastAsia="Times New Roman" w:hAnsi="Times New Roman"/>
          <w:sz w:val="14"/>
          <w:szCs w:val="14"/>
          <w:color w:val="auto"/>
        </w:rPr>
        <w:t>” means, for each share of Preferred Stock, the sum of (a) the greater of (i) 120% of the aggregate Stated Value then outstanding and (ii) the product of</w:t>
      </w:r>
    </w:p>
    <w:p>
      <w:pPr>
        <w:spacing w:after="0" w:line="26" w:lineRule="exact"/>
        <w:rPr>
          <w:sz w:val="20"/>
          <w:szCs w:val="20"/>
          <w:color w:val="auto"/>
        </w:rPr>
      </w:pPr>
    </w:p>
    <w:p>
      <w:pPr>
        <w:ind w:firstLine="5"/>
        <w:spacing w:after="0" w:line="268" w:lineRule="auto"/>
        <w:tabs>
          <w:tab w:leader="none" w:pos="201"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VWAP on the Trading Day immediately preceding the date of the Triggering Event and (z) the Stated Value divided by the then Conversion Price, (b) all accrued but unpaid dividends thereon and (c) all liquidated damages and other costs, expenses or amounts due in respect of the Preferred Stock.</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Triggering Redemption Payment Date</w:t>
      </w:r>
      <w:r>
        <w:rPr>
          <w:rFonts w:ascii="Times New Roman" w:cs="Times New Roman" w:eastAsia="Times New Roman" w:hAnsi="Times New Roman"/>
          <w:sz w:val="14"/>
          <w:szCs w:val="14"/>
          <w:color w:val="auto"/>
        </w:rPr>
        <w:t>” shall have the meaning set forth in Section 10(b).</w:t>
      </w:r>
    </w:p>
    <w:p>
      <w:pPr>
        <w:spacing w:after="0" w:line="180" w:lineRule="exact"/>
        <w:rPr>
          <w:sz w:val="20"/>
          <w:szCs w:val="20"/>
          <w:color w:val="auto"/>
        </w:rPr>
      </w:pPr>
    </w:p>
    <w:p>
      <w:pPr>
        <w:jc w:val="both"/>
        <w:ind w:firstLine="512"/>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VWAP</w:t>
      </w:r>
      <w:r>
        <w:rPr>
          <w:rFonts w:ascii="Times New Roman" w:cs="Times New Roman" w:eastAsia="Times New Roman" w:hAnsi="Times New Roman"/>
          <w:sz w:val="14"/>
          <w:szCs w:val="14"/>
          <w:color w:val="auto"/>
        </w:rPr>
        <w:t>” means, for any date, the daily volume weighted average price of the Common Stock for such date (or the nearest preceding date) as reported by www.quotemedia.com, or, if such source is not available or not reporting the applicable information, as reported by Bloomberg L.P., or, if neither such source is available, as mutually agreed upon in writing by the Corporation and the Holder.</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 shall have the meaning ascribed to such term in the Purchase Agreement.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Warrant Shares</w:t>
      </w:r>
      <w:r>
        <w:rPr>
          <w:rFonts w:ascii="Times New Roman" w:cs="Times New Roman" w:eastAsia="Times New Roman" w:hAnsi="Times New Roman"/>
          <w:sz w:val="14"/>
          <w:szCs w:val="14"/>
          <w:color w:val="auto"/>
        </w:rPr>
        <w:t>” means the shares of Preferred Stock issuable upon exercise of the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2. Designation, Amount and Par Value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The series of preferred stock shall be designated as its Series A 10% Convertible Preferred Stock (the “Preferred Stock”) and the number of shares so designated shall be 20,000 (which shall not be subject to increase without the written consent of all of the holders of the Preferred Stock (each, a “Holder” and collectively, the “Holders”)). Each share of Preferred Stock shall have a par value of $0.00001 per share and a stated value equal to $1,200.00 per share, subject to increase set forth in Section 3 below (the “Stated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3. Dividends</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jc w:val="both"/>
        <w:ind w:firstLine="517"/>
        <w:spacing w:after="0" w:line="259" w:lineRule="auto"/>
        <w:tabs>
          <w:tab w:leader="none" w:pos="705"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Dividends in Cash or in Kind</w:t>
      </w:r>
      <w:r>
        <w:rPr>
          <w:rFonts w:ascii="Times New Roman" w:cs="Times New Roman" w:eastAsia="Times New Roman" w:hAnsi="Times New Roman"/>
          <w:sz w:val="14"/>
          <w:szCs w:val="14"/>
          <w:color w:val="auto"/>
        </w:rPr>
        <w:t>. Holders shall be entitled to receive, and the Corporation shall pay, cumulative dividends at the rate per share (as a percentage of the Stated Value per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 of 10% per annum, payable quarterly in cash or, at the Corporation’s option, in duly authorized, validly issued, fully paid and non-assessable shares of Preferred Stock (“Dividend Shares”) as set forth in this Section 3(a), or a combination thereof, on each March 31, June 30, September 30 and December 31 of each year, commencing on the first such date occurring after the Original Issue Date, on each Conversion Date (with respect only to Preferred Stock being converted, for accrued and unpaid dividends through the applicable Conversion Date), on each Optional Redemption Date (with respect only to Preferred Stock being redeemed, for accrued and unpaid dividends through the applicable Optional Redemption Date) and on such other dates as may be provided in the Purchase Agreement (each such date, a “Dividend Payment Date”) (if any Dividend Payment Date is not a Trading Day, the applicable payment shall be due on the next succeeding Trading Day). The dollar amount of dividends to be paid in Dividend Shares is referred to herein as the “Dividend Share Amount,” and any Dividend Shares issued in respect thereof shall be issued at the Dividend Conversion Rate. The Holders shall have the same rights and remedies with respect to the delivery of any such shares as if such shares were being issued pursuant to Section 6.</w:t>
      </w:r>
    </w:p>
    <w:p>
      <w:pPr>
        <w:spacing w:after="0" w:line="146" w:lineRule="exact"/>
        <w:rPr>
          <w:rFonts w:ascii="Times New Roman" w:cs="Times New Roman" w:eastAsia="Times New Roman" w:hAnsi="Times New Roman"/>
          <w:sz w:val="14"/>
          <w:szCs w:val="14"/>
          <w:color w:val="auto"/>
        </w:rPr>
      </w:pPr>
    </w:p>
    <w:p>
      <w:pPr>
        <w:jc w:val="both"/>
        <w:ind w:firstLine="517"/>
        <w:spacing w:after="0" w:line="267" w:lineRule="auto"/>
        <w:tabs>
          <w:tab w:leader="none" w:pos="71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Delivery of Dividend Shares</w:t>
      </w:r>
      <w:r>
        <w:rPr>
          <w:rFonts w:ascii="Times New Roman" w:cs="Times New Roman" w:eastAsia="Times New Roman" w:hAnsi="Times New Roman"/>
          <w:sz w:val="14"/>
          <w:szCs w:val="14"/>
          <w:color w:val="auto"/>
        </w:rPr>
        <w:t>. The Corporation shall deliver a certificate evidencing the Dividend Shares to the Holder no later than the earlier of (i) two (2) Trading Days and (ii)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number of days comprising the Standard Settlement Period (as defined in Section 6(c)(i) herein) following the Dividend Payment Date and the Corporation’s delivery of the Dividend Shares shall be subject to the provision of Section 6 herein, including, without limitation, the liquidated damages and Buy-In provisions therein. On the Dividend Payment Date, the Holder shall be deemed for all corporate purposes to have become the holder of record of the Dividend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6089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74" w:name="page175"/>
    <w:bookmarkEnd w:id="174"/>
    <w:p>
      <w:pPr>
        <w:jc w:val="both"/>
        <w:ind w:firstLine="517"/>
        <w:spacing w:after="0" w:line="261" w:lineRule="auto"/>
        <w:tabs>
          <w:tab w:leader="none" w:pos="71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Dividend Calculations</w:t>
      </w:r>
      <w:r>
        <w:rPr>
          <w:rFonts w:ascii="Times New Roman" w:cs="Times New Roman" w:eastAsia="Times New Roman" w:hAnsi="Times New Roman"/>
          <w:sz w:val="14"/>
          <w:szCs w:val="14"/>
          <w:color w:val="auto"/>
        </w:rPr>
        <w:t>. Dividends on the Preferred Stock shall be calculated on the basis of a 360-day year, consisting of twelve 30 calendar day periods, and shall accrue daily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commencing on the Original Issue Date, and shall be deemed to accrue from such date whether or not earned or declared and whether or not there are profits, surplus or other funds of the Corporation legally available for the payment of dividends. Dividends shall continue to accrue with respect to any Preferred Stock through the applicable Conversion Date or Optional Redemption Date, as applicable, and shall cease to accrue thereafter only if the Corporation actually delivers the applicable Conversion Shares or pays the applicable redemption amount, in each case together with accrued and unpaid dividends, within the time period required by this Certificate of Designation. Except as otherwise provided herein, if at any time the Corporation pays dividends partially in cash and partially in shares, then such payment shall be distributed ratably among the Holders based upon the number of shares of Preferred Stock held by each Holder on such Dividend Payment Date.</w:t>
      </w:r>
    </w:p>
    <w:p>
      <w:pPr>
        <w:spacing w:after="0" w:line="315" w:lineRule="exact"/>
        <w:rPr>
          <w:rFonts w:ascii="Times New Roman" w:cs="Times New Roman" w:eastAsia="Times New Roman" w:hAnsi="Times New Roman"/>
          <w:sz w:val="14"/>
          <w:szCs w:val="14"/>
          <w:color w:val="auto"/>
        </w:rPr>
      </w:pPr>
    </w:p>
    <w:p>
      <w:pPr>
        <w:jc w:val="both"/>
        <w:ind w:firstLine="517"/>
        <w:spacing w:after="0" w:line="273" w:lineRule="auto"/>
        <w:tabs>
          <w:tab w:leader="none" w:pos="713"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Late Fees</w:t>
      </w:r>
      <w:r>
        <w:rPr>
          <w:rFonts w:ascii="Times New Roman" w:cs="Times New Roman" w:eastAsia="Times New Roman" w:hAnsi="Times New Roman"/>
          <w:sz w:val="14"/>
          <w:szCs w:val="14"/>
          <w:color w:val="auto"/>
        </w:rPr>
        <w:t>. Any dividends, whether paid in cash or shares of Preferred Stock, that are not paid within three Trading Days following a Dividend Payment Date shall continue to accrue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shall entail a late fee, which must be paid in cash, at the rate of 15% per annum or the lesser rate permitted by applicable law which shall accrue daily from the Dividend Payment Date through and including the date of actual payment in full.</w:t>
      </w:r>
    </w:p>
    <w:p>
      <w:pPr>
        <w:spacing w:after="0" w:line="133" w:lineRule="exact"/>
        <w:rPr>
          <w:rFonts w:ascii="Times New Roman" w:cs="Times New Roman" w:eastAsia="Times New Roman" w:hAnsi="Times New Roman"/>
          <w:sz w:val="14"/>
          <w:szCs w:val="14"/>
          <w:color w:val="auto"/>
        </w:rPr>
      </w:pPr>
    </w:p>
    <w:p>
      <w:pPr>
        <w:jc w:val="both"/>
        <w:ind w:firstLine="517"/>
        <w:spacing w:after="0" w:line="262" w:lineRule="auto"/>
        <w:tabs>
          <w:tab w:leader="none" w:pos="705"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Other Securities</w:t>
      </w:r>
      <w:r>
        <w:rPr>
          <w:rFonts w:ascii="Times New Roman" w:cs="Times New Roman" w:eastAsia="Times New Roman" w:hAnsi="Times New Roman"/>
          <w:sz w:val="14"/>
          <w:szCs w:val="14"/>
          <w:color w:val="auto"/>
        </w:rPr>
        <w:t>. So long as any Preferred Stock shall remain outstanding, neither the Corporation nor any Subsidiary thereof shall redeem, purchase or otherwise acquire directly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indirectly any Junior Securities, other than, solely in connection with Junior Securities issued to employees, officers or directors of the Corporation for services rendered to the Corporation, Junior Securities in connection with the satisfaction of the exercise price of compensatory Junior Securities or the satisfaction of tax withholding obligations. So long as any Preferred Stock shall remain outstanding, neither the Corporation nor any Subsidiary thereof shall directly or indirectly pay or declare any dividend or make any distribution upon, nor shall any distribution be made in respect of, any Junior Securities as long as any dividends due on the Preferred Stock remain unpaid, nor shall any monies be set aside for or applied to the purchase or redemption (through a sinking fund or otherwise) of any Junior Securities or shares pari passu with the Preferred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4. Voting Rights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4"/>
          <w:szCs w:val="14"/>
          <w:color w:val="auto"/>
        </w:rPr>
        <w:t>Except as otherwise provided herein or as otherwise required by law, the Preferred Stock shall have no voting rights. However, as long as any shares of Preferred Stock are outstanding, the Corporation shall not, without the affirmative vote of the Holders of a majority of the then outstanding shares of this Series A 10% Convertible Preferred Stock, (a) alter or change adversely the powers, preferences or rights given to the Preferred Stock or alter or amend this Certificate of Designation, (b) authorize or create any class of stock ranking as to dividends, redemption or distribution of assets upon a Liquidation (as defined in Section 5) senior to, or otherwise pari passu with, this Series A 10% Convertible Preferred Stock, (c) amend its certificate or articles of incorporation or other charter documents in any manner that adversely affects any rights of the Holders, (d) issue any new shares of this Series A 10% Convertible Preferred Stock to any Person, other than the issuance of Dividend Shares or Warrant Shares, or (e) enter into any agreement with respect to any of the foregoing.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5. Liquidation</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jc w:val="both"/>
        <w:ind w:firstLine="512"/>
        <w:spacing w:after="0" w:line="263" w:lineRule="auto"/>
        <w:rPr>
          <w:sz w:val="20"/>
          <w:szCs w:val="20"/>
          <w:color w:val="auto"/>
        </w:rPr>
      </w:pPr>
      <w:r>
        <w:rPr>
          <w:rFonts w:ascii="Times New Roman" w:cs="Times New Roman" w:eastAsia="Times New Roman" w:hAnsi="Times New Roman"/>
          <w:sz w:val="14"/>
          <w:szCs w:val="14"/>
          <w:color w:val="auto"/>
        </w:rPr>
        <w:t>Upon any liquidation, dissolution or winding-up of the Corporation, whether voluntary or involuntary (a “Liquidation”), the Holders shall be entitled to receive out of the assets, whether capital or surplus, of the Corporation an amount equal to the Stated Value, plus any accrued and unpaid dividends thereon and any other fees or liquidated damages then due and owing thereon under this Certificate of Designation, for each share of Preferred Stock before any distribution or payment shall be made to the holders of any Junior Securities, and if the assets of the Corporation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 A Fundamental Transaction or Change of Control Transaction shall not be deemed a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716089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75" w:name="page176"/>
    <w:bookmarkEnd w:id="175"/>
    <w:p>
      <w:pPr>
        <w:ind w:left="520"/>
        <w:spacing w:after="0"/>
        <w:rPr>
          <w:sz w:val="20"/>
          <w:szCs w:val="20"/>
          <w:color w:val="auto"/>
        </w:rPr>
      </w:pPr>
      <w:r>
        <w:rPr>
          <w:rFonts w:ascii="Times New Roman" w:cs="Times New Roman" w:eastAsia="Times New Roman" w:hAnsi="Times New Roman"/>
          <w:sz w:val="14"/>
          <w:szCs w:val="14"/>
          <w:color w:val="auto"/>
        </w:rPr>
        <w:t>The Corporation shall deliver written notice of any such Liquidation, not less than 45 days prior to the payment date stated therein, to each Holder.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6. Conversion</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jc w:val="both"/>
        <w:ind w:firstLine="517"/>
        <w:spacing w:after="0" w:line="257" w:lineRule="auto"/>
        <w:tabs>
          <w:tab w:leader="none" w:pos="71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Conversions at Option of Holder</w:t>
      </w:r>
      <w:r>
        <w:rPr>
          <w:rFonts w:ascii="Times New Roman" w:cs="Times New Roman" w:eastAsia="Times New Roman" w:hAnsi="Times New Roman"/>
          <w:sz w:val="14"/>
          <w:szCs w:val="14"/>
          <w:color w:val="auto"/>
        </w:rPr>
        <w:t>. Each share of Preferred Stock shall be convertible, at any time and from time to time from and after the Original Issue Date at the option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Holder thereof, into that number of shares of Common Stock (subject to the limitations set forth in Section 6(d)) determined by dividing the Stated Value of such share of Preferred Stock by the Conversion Price. Holders shall effect conversions by providing the Corporation with the form of conversion notice attached hereto as Annex A (a “Notice of Conversion”).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e-mail such Notice of Conversion to the Corporation (such date, the “Conversion Date”). If no Conversion Date is specified in a Notice of Conversion, the Conversion Date shall be the date that such Notice of Conversion to the Corporation is deemed delivered hereunder. Upon delivery of the Notice of Conversion by a Holder, such Holder shall be deemed for all corporate purposes to have become the holder of record of the Conversion Shares with respect to which the Preferred Stock has been converted, irrespective of date of delivery of such Conversion Shares.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shares of Preferred Stock, a Holder shall not be required to surrender the certificate(s) representing the shares of Preferred Stock to the Corporation unless all of the shares of Preferred Stock represented thereby are so converted, in which case such Holder shall deliver the certificate representing such shares of Preferred Stock promptly following the Conversion Date at issue. Shares of Preferred Stock converted into Common Stock or redeemed in accordance with the terms hereof shall be canceled and shall not be reissued.</w:t>
      </w:r>
    </w:p>
    <w:p>
      <w:pPr>
        <w:spacing w:after="0" w:line="321" w:lineRule="exact"/>
        <w:rPr>
          <w:rFonts w:ascii="Times New Roman" w:cs="Times New Roman" w:eastAsia="Times New Roman" w:hAnsi="Times New Roman"/>
          <w:sz w:val="14"/>
          <w:szCs w:val="14"/>
          <w:color w:val="auto"/>
        </w:rPr>
      </w:pPr>
    </w:p>
    <w:p>
      <w:pPr>
        <w:jc w:val="both"/>
        <w:ind w:firstLine="517"/>
        <w:spacing w:after="0" w:line="264" w:lineRule="auto"/>
        <w:tabs>
          <w:tab w:leader="none" w:pos="724"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Conversion Price</w:t>
      </w:r>
      <w:r>
        <w:rPr>
          <w:rFonts w:ascii="Times New Roman" w:cs="Times New Roman" w:eastAsia="Times New Roman" w:hAnsi="Times New Roman"/>
          <w:sz w:val="14"/>
          <w:szCs w:val="14"/>
          <w:color w:val="auto"/>
        </w:rPr>
        <w:t>. The conversion price for the Preferred Stock shall equal, as of any applicable date of determination, 82% of the lowest VWAP during the eight (8) Trading Days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immediately prior to and including the applicable Conversion Date, subject to adjustment herein (the resulting price, the “Conversion Price”). The Holder shall have the right to deliver an updated Notice of Conversion on or before the first (1st) Trading Day following receipt by the Corporation of a Notice of Conversion, correcting the Conversion Price (and the aggregate Conversion Amount) if the applicable Conversion Price is less than the conversion price specified on such Notice of Conversion; provided that if such updated Notice of Conversion is not delivered to the Corporation on or prior to 12:00 p.m. (New York City time) on such Trading Day, the Share Delivery Date shall be extended by one (1) Trading Day.</w:t>
      </w:r>
    </w:p>
    <w:p>
      <w:pPr>
        <w:spacing w:after="0" w:line="138" w:lineRule="exact"/>
        <w:rPr>
          <w:rFonts w:ascii="Times New Roman" w:cs="Times New Roman" w:eastAsia="Times New Roman" w:hAnsi="Times New Roman"/>
          <w:sz w:val="14"/>
          <w:szCs w:val="14"/>
          <w:color w:val="auto"/>
        </w:rPr>
      </w:pPr>
    </w:p>
    <w:p>
      <w:pPr>
        <w:ind w:left="720" w:hanging="203"/>
        <w:spacing w:after="0"/>
        <w:tabs>
          <w:tab w:leader="none" w:pos="7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Mechanics of Conversion</w:t>
      </w:r>
      <w:r>
        <w:rPr>
          <w:rFonts w:ascii="Times New Roman" w:cs="Times New Roman" w:eastAsia="Times New Roman" w:hAnsi="Times New Roman"/>
          <w:sz w:val="14"/>
          <w:szCs w:val="14"/>
          <w:color w:val="auto"/>
        </w:rPr>
        <w:t>.</w:t>
      </w:r>
    </w:p>
    <w:p>
      <w:pPr>
        <w:spacing w:after="0" w:line="180" w:lineRule="exact"/>
        <w:rPr>
          <w:rFonts w:ascii="Times New Roman" w:cs="Times New Roman" w:eastAsia="Times New Roman" w:hAnsi="Times New Roman"/>
          <w:sz w:val="14"/>
          <w:szCs w:val="14"/>
          <w:color w:val="auto"/>
        </w:rPr>
      </w:pPr>
    </w:p>
    <w:p>
      <w:pPr>
        <w:jc w:val="both"/>
        <w:ind w:left="520" w:firstLine="510"/>
        <w:spacing w:after="0" w:line="260" w:lineRule="auto"/>
        <w:tabs>
          <w:tab w:leader="none" w:pos="1223"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Delivery of Conversion Shares Upon Conversion</w:t>
      </w:r>
      <w:r>
        <w:rPr>
          <w:rFonts w:ascii="Times New Roman" w:cs="Times New Roman" w:eastAsia="Times New Roman" w:hAnsi="Times New Roman"/>
          <w:sz w:val="14"/>
          <w:szCs w:val="14"/>
          <w:color w:val="auto"/>
        </w:rPr>
        <w:t>. Not later than the earlier of (i) two (2) Trading Days and (ii) the number of Trading Days comprising the Standard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Settlement Period (as defined below) after each Conversion Date (the “Share Delivery Date”), the Corporation shall deliver, or cause to be delivered, to the converting Holder (A) the number of Conversion Shares being acquired upon the conversion of the Preferred Stock, which Conversion Shares shall be free of restrictive legends and trading restrictions, and (B) a number of Dividend Shares in the amount of accrued and unpaid dividends on the shares of Preferred Stock subject to conversion. The Corporation shall deliver the Conversion Shares electronically through the Depository Trust Company or another established clearing corporation performing similar functions. As used herein, “Standard Settlement Period” means the standard settlement period, expressed in a number of Trading Days, on the Corporation’s primary Trading Market with respect to the Common Stock as in effect on the date of delivery of the Notice of Conversion, but in no event earlier than one (1) Trading Day after each Conversion Date.</w:t>
      </w:r>
    </w:p>
    <w:p>
      <w:pPr>
        <w:spacing w:after="0" w:line="144" w:lineRule="exact"/>
        <w:rPr>
          <w:rFonts w:ascii="Times New Roman" w:cs="Times New Roman" w:eastAsia="Times New Roman" w:hAnsi="Times New Roman"/>
          <w:sz w:val="14"/>
          <w:szCs w:val="14"/>
          <w:color w:val="auto"/>
        </w:rPr>
      </w:pPr>
    </w:p>
    <w:p>
      <w:pPr>
        <w:jc w:val="both"/>
        <w:ind w:left="520" w:firstLine="510"/>
        <w:spacing w:after="0" w:line="267" w:lineRule="auto"/>
        <w:tabs>
          <w:tab w:leader="none" w:pos="1241"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Failure to Deliver Conversion Shares</w:t>
      </w:r>
      <w:r>
        <w:rPr>
          <w:rFonts w:ascii="Times New Roman" w:cs="Times New Roman" w:eastAsia="Times New Roman" w:hAnsi="Times New Roman"/>
          <w:sz w:val="14"/>
          <w:szCs w:val="14"/>
          <w:color w:val="auto"/>
        </w:rPr>
        <w:t>. If, in the case of any Notice of Conversion, such Conversion Shares are not delivered to or as directed by the applicable Holder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 Delivery Date, the Holder shall be entitled to elect by written notice to the Corporation at any time on or before its receipt of such Conversion Shares, to rescind such Conversion, in which event the Corporation shall promptly return to the Holder any original Preferred Stock certificate delivered to the Corporation and the Holder shall promptly return to the Corporation the Conversion Shares issued to such Holder pursuant to the rescinded Notice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6089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176" w:name="page177"/>
    <w:bookmarkEnd w:id="176"/>
    <w:p>
      <w:pPr>
        <w:jc w:val="both"/>
        <w:ind w:left="-510" w:firstLine="510"/>
        <w:spacing w:after="0" w:line="256" w:lineRule="auto"/>
        <w:tabs>
          <w:tab w:leader="none" w:pos="273"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Obligation Absolute; Partial Liquidated Damages</w:t>
      </w:r>
      <w:r>
        <w:rPr>
          <w:rFonts w:ascii="Times New Roman" w:cs="Times New Roman" w:eastAsia="Times New Roman" w:hAnsi="Times New Roman"/>
          <w:sz w:val="14"/>
          <w:szCs w:val="14"/>
          <w:color w:val="auto"/>
        </w:rPr>
        <w:t>. The Corporation’s obligation to issue and deliver the Conversion Shares upon conversion of Preferred Stock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provided, however, that such delivery shall not operate as a waiver by the Corporation of any such action that the Corporation may have against such Holder. In the event a Holder shall elect to convert any or all of the Stated Value of its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Preferred Stock of such Holder shall have been sought and obtained, and the Corporation posts a surety bond for the benefit of such Holder in the amount of 150% of the Stated Value of Preferred Stock which is subject to the injunction, which bond shall remain in effect until the completion of arbitration/litigation of the underlying dispute and the proceeds of which shall be payable to such Holder to the extent it obtains judgment. In the absence of such injunction, the Corporation shall issue Conversion Shares and, if applicable, cash, upon a properly noticed conversion. If the Corporation fails to deliver to a Holder such Conversion Shares pursuant to Section 6(c)(i) by the Share Delivery Date applicable to such conversion, the Corporation shall pay to such Holder, in cash, as liquidated damages and not as a penalty, for each $5,000 of Stated Value of Preferred Stock being converted, $50 per Trading Day (increasing to $100 per Trading Day on the fifth Trading Day after such damages begin to accrue) for each Trading Day after the Share Delivery Date until such Conversion Shares are delivered or Holder rescinds such conversion. Nothing herein shall limit a Holder’s right to pursue actual damages or declare a Triggering Event pursuant to Section 10 hereof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spacing w:after="0" w:line="324" w:lineRule="exact"/>
        <w:rPr>
          <w:rFonts w:ascii="Times New Roman" w:cs="Times New Roman" w:eastAsia="Times New Roman" w:hAnsi="Times New Roman"/>
          <w:sz w:val="14"/>
          <w:szCs w:val="14"/>
          <w:color w:val="auto"/>
        </w:rPr>
      </w:pPr>
    </w:p>
    <w:p>
      <w:pPr>
        <w:jc w:val="both"/>
        <w:ind w:left="-510" w:firstLine="510"/>
        <w:spacing w:after="0" w:line="257" w:lineRule="auto"/>
        <w:tabs>
          <w:tab w:leader="none" w:pos="243"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Compensation for Buy-In on Failure to Timely Deliver Conversion Shares Upon Conversion</w:t>
      </w:r>
      <w:r>
        <w:rPr>
          <w:rFonts w:ascii="Times New Roman" w:cs="Times New Roman" w:eastAsia="Times New Roman" w:hAnsi="Times New Roman"/>
          <w:sz w:val="14"/>
          <w:szCs w:val="14"/>
          <w:color w:val="auto"/>
        </w:rPr>
        <w:t>. In addition to any other rights available to the Holder, if the Corporation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fails for any reason to deliver to a Holder the applicable Conversion Shares by the Share Delivery Date pursuant to Section 6(c)(i) (other than solely a failure caused by incorrect or incomplete information provided by Holder to the Corporation),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“Buy-In”),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Preferred Stock equal to the number of shares of Preferred Stock submitted for conversion (in which case, such conversion shall be deemed rescinded) or deliver to such Holder the number of shares of Common Stock that would have been issued if the Corporation had timely complied with its delivery requirements under Section 6(c)(i).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the Conversion Shares upon conversion of the shares of Preferred Stock as required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321945</wp:posOffset>
            </wp:positionV>
            <wp:extent cx="716089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250"/>
          </w:cols>
          <w:pgMar w:left="1330" w:top="571" w:right="319" w:bottom="1440" w:gutter="0" w:footer="0" w:header="0"/>
        </w:sectPr>
      </w:pPr>
    </w:p>
    <w:bookmarkStart w:id="177" w:name="page178"/>
    <w:bookmarkEnd w:id="177"/>
    <w:p>
      <w:pPr>
        <w:jc w:val="both"/>
        <w:ind w:left="-510" w:firstLine="510"/>
        <w:spacing w:after="0" w:line="262" w:lineRule="auto"/>
        <w:tabs>
          <w:tab w:leader="none" w:pos="204"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Reservation of Shares Issuable Upon Conversion</w:t>
      </w:r>
      <w:r>
        <w:rPr>
          <w:rFonts w:ascii="Times New Roman" w:cs="Times New Roman" w:eastAsia="Times New Roman" w:hAnsi="Times New Roman"/>
          <w:sz w:val="14"/>
          <w:szCs w:val="14"/>
          <w:color w:val="auto"/>
        </w:rPr>
        <w:t>. The Corporation covenants that it will at all times reserve and keep available out of its authorized and unissued shares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Common Stock for the sole purpose of issuance upon conversion of the Preferred Stock and payment of dividends on the Preferred Stock, each as provided herein, free from preemptive rights or any other actual contingent purchase rights of Persons other than the Holder (and the other holders of the Preferred Stock), not less than such aggregate number of shares of the Common Stock as shall (subject to the terms and conditions set forth in the Purchase Agreement) be issuable (taking into account the adjustments and restrictions of Section 7) upon the conversion of the then outstanding shares of Preferred Stock and payment of dividends hereunder. The Corporation covenants that all shares of Common Stock that shall be so issuable shall, upon issue, be duly authorized, validly issued, fully paid and nonassessable.</w:t>
      </w:r>
    </w:p>
    <w:p>
      <w:pPr>
        <w:spacing w:after="0" w:line="140" w:lineRule="exact"/>
        <w:rPr>
          <w:rFonts w:ascii="Times New Roman" w:cs="Times New Roman" w:eastAsia="Times New Roman" w:hAnsi="Times New Roman"/>
          <w:sz w:val="14"/>
          <w:szCs w:val="14"/>
          <w:color w:val="auto"/>
        </w:rPr>
      </w:pPr>
    </w:p>
    <w:p>
      <w:pPr>
        <w:jc w:val="both"/>
        <w:ind w:left="-510" w:firstLine="510"/>
        <w:spacing w:after="0" w:line="267" w:lineRule="auto"/>
        <w:tabs>
          <w:tab w:leader="none" w:pos="243"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Fractional Shares</w:t>
      </w:r>
      <w:r>
        <w:rPr>
          <w:rFonts w:ascii="Times New Roman" w:cs="Times New Roman" w:eastAsia="Times New Roman" w:hAnsi="Times New Roman"/>
          <w:sz w:val="14"/>
          <w:szCs w:val="14"/>
          <w:color w:val="auto"/>
        </w:rPr>
        <w:t>. No fractional shares or scrip representing fractional shares shall be issued upon the conversion of the Preferred Stock. As to any fraction of a share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Holder would otherwise be entitled to purchase upon such conversion, the Corporation shall at its election, either pay a cash adjustment in respect of such final fraction in an amount equal to such fraction multiplied by the Conversion Price or round up to the next whole share. Notwithstanding anything to the contrary contained herein, but consistent with the provisions of this subsection with respect to fractional Conversion Shares, nothing shall prevent any Holder from converting fractional shares of Preferred Stock.</w:t>
      </w:r>
    </w:p>
    <w:p>
      <w:pPr>
        <w:spacing w:after="0" w:line="137" w:lineRule="exact"/>
        <w:rPr>
          <w:rFonts w:ascii="Times New Roman" w:cs="Times New Roman" w:eastAsia="Times New Roman" w:hAnsi="Times New Roman"/>
          <w:sz w:val="14"/>
          <w:szCs w:val="14"/>
          <w:color w:val="auto"/>
        </w:rPr>
      </w:pPr>
    </w:p>
    <w:p>
      <w:pPr>
        <w:jc w:val="both"/>
        <w:ind w:left="-510" w:firstLine="510"/>
        <w:spacing w:after="0" w:line="260" w:lineRule="auto"/>
        <w:tabs>
          <w:tab w:leader="none" w:pos="283"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Transfer Taxes and Expenses</w:t>
      </w:r>
      <w:r>
        <w:rPr>
          <w:rFonts w:ascii="Times New Roman" w:cs="Times New Roman" w:eastAsia="Times New Roman" w:hAnsi="Times New Roman"/>
          <w:sz w:val="14"/>
          <w:szCs w:val="14"/>
          <w:color w:val="auto"/>
        </w:rPr>
        <w:t>. The issuance of Conversion Shares on conversion of this Preferred Stock shall be made without charge to any Holder for any documentary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stamp or similar taxes that may be payable in respect of the issue or delivery of such Conversion Shares, provided that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 The Corporation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210820</wp:posOffset>
            </wp:positionV>
            <wp:extent cx="716089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250"/>
          </w:cols>
          <w:pgMar w:left="1330" w:top="571" w:right="319" w:bottom="1440" w:gutter="0" w:footer="0" w:header="0"/>
        </w:sectPr>
      </w:pPr>
    </w:p>
    <w:bookmarkStart w:id="178" w:name="page179"/>
    <w:bookmarkEnd w:id="178"/>
    <w:p>
      <w:pPr>
        <w:jc w:val="both"/>
        <w:ind w:left="520" w:firstLine="510"/>
        <w:spacing w:after="0" w:line="255" w:lineRule="auto"/>
        <w:tabs>
          <w:tab w:leader="none" w:pos="1233"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Beneficial Ownership Limitation</w:t>
      </w:r>
      <w:r>
        <w:rPr>
          <w:rFonts w:ascii="Times New Roman" w:cs="Times New Roman" w:eastAsia="Times New Roman" w:hAnsi="Times New Roman"/>
          <w:sz w:val="14"/>
          <w:szCs w:val="14"/>
          <w:color w:val="auto"/>
        </w:rPr>
        <w:t>. The Corporation shall not effect any conversion of the Preferred Stock, and a Holder shall not have the right to convert any portion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Preferred Stock, to the extent that, after giving effect to the conversion set forth on the applicable Notice of Conversion, such Holder (together with such Holder’s Affiliates, and any Persons acting as a group together with such Holder or any of such Holder’s Affiliates (such Persons, “Attribution Parties”)) would beneficially own in excess of the Beneficial Ownership Limitation (as defined below). For purposes of the foregoing sentence, the number of shares of Common Stock beneficially owned by such Holder and its Affiliates and Attribution Parties shall include the number of shares of Common Stock issuable upon conversion of the Preferred Stock with respect to which such determination is being made, but shall exclude the number of shares of Common Stock which are issuable upon (i) conversion of the remaining, unconverted Stated Value of Preferred Stock beneficially owned by such Holder or any of its Affiliates or Attribution Parties and (ii) exercise or conversion of the unexercised or unconverted portion of any other securities of the Corporation subject to a limitation on conversion or exercise analogous to the limitation contained herein (including, without limitation, the Preferred Stock or the Warrants) beneficially owned by such Holder or any of its Affiliates or Attribution Parties. Except as set forth in the preceding sentence, for purposes of this Section 6(d), beneficial ownership shall be calculated in accordance with Section 13(d) of the Exchange Act and the rules and regulations promulgated thereunder. To the extent that the limitation contained in this Section 6(d) applies, the determination of whether the Preferred Stock is convertible (in relation to other securities owned by such Holder together with any Affiliates and Attribution Parties) and of how many shares of Preferred Stock are convertible shall be in the sole discretion of such Holder, and the submission of a Notice of Conversion shall be deemed to be such Holder’s determination of whether the shares of Preferred Stock may be converted (in relation to other securities owned by such Holder together with any Affiliates and Attribution Parties) and how many shares of the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6(d), in determining the number of outstanding shares of Common Stock, a Holder may rely on the number of outstanding shares of Common Stock as stated in the most recent of the following: (i) the Corporation’s most recent periodic or annual report filed with the Commission, as the case may be, (ii) a more recent public announcement by the Corporation or (iii) a more recent written notice by the Corporation or the Transfer Agent setting forth the number of shares of Common Stock outstanding. Upon the written or oral request of a Holder (which may be via email), the Corporation shall within one Trading Day confirm orally and in writing (which may be via email) to such Holder the number of shares of Common Stock then outstanding. In any case, the number of outstanding shares of Common Stock shall be determined after giving effect to the conversion or exercise of securities of the Corporation, including the Preferred Stock, by such Holder or its Affiliates or Attribution Parties since the date as of which such number of outstanding shares of Common Stock was reported. The “Beneficial Ownership Limitation” shall be 4.99% of the number of shares of the Common Stock outstanding immediately after giving effect to the issuance of shares of Common Stock issuable upon conversion of Preferred Stock held by the applicable Holder. A Holder, upon notice to the Corporation, may increase or decrease the Beneficial Ownership Limitation provisions of this Section 6(d) applicable to its Preferred Stock provided that the Beneficial Ownership Limitation in no event exceeds 9.99% of the number of shares of the Common Stock outstanding immediately after giving effect to the issuance of shares of Common Stock upon conversion of this Preferred Stock held by the Holder and the provisions of this Section 6(d) shall continue to apply. Any such increase in the Beneficial Ownership Limitation will not be effective until the 61st day after such notice is delivered to the Corporation and shall only apply to such Holder and no other Holder. The provisions of this paragraph shall be construed and implemented in a manner otherwise than in strict conformity with the terms of this Section 6(d)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Preferred Stock.</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7. Certain Adjustments</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jc w:val="both"/>
        <w:ind w:firstLine="517"/>
        <w:spacing w:after="0" w:line="259" w:lineRule="auto"/>
        <w:tabs>
          <w:tab w:leader="none" w:pos="705"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Stock Dividends and Stock Splits</w:t>
      </w:r>
      <w:r>
        <w:rPr>
          <w:rFonts w:ascii="Times New Roman" w:cs="Times New Roman" w:eastAsia="Times New Roman" w:hAnsi="Times New Roman"/>
          <w:sz w:val="14"/>
          <w:szCs w:val="14"/>
          <w:color w:val="auto"/>
        </w:rPr>
        <w:t>. If the Corporation, at any time while this Preferred Stock is outstanding: (i) pays a stock dividend or otherwise makes a distribution or distributions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payable in shares of Common Stock on shares of Common Stock or any other Common Stock Equivalents (which, for avoidance of doubt, shall not include any shares of Common Stock issued by the Corporation upon conversion of, or payment of a dividend on, this Preferred Stock), (ii) subdivides outstanding shares of Common Stock into a larger number of shares, (iii) combines (including by way of a reverse stock split, combination or otherwise) outstanding shares of Common Stock into a smaller number of shares or (iv) issues, in the event of a reclassification of shares of the Common Stock, any shares of capital stock of the Corporation, then the Conversion Price (as determined pursuant to Section 6(b))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16089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79" w:name="page180"/>
    <w:bookmarkEnd w:id="179"/>
    <w:p>
      <w:pPr>
        <w:jc w:val="both"/>
        <w:ind w:left="-517" w:firstLine="517"/>
        <w:spacing w:after="0" w:line="258" w:lineRule="auto"/>
        <w:tabs>
          <w:tab w:leader="none" w:pos="196"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Subsequent Equity Sales</w:t>
      </w:r>
      <w:r>
        <w:rPr>
          <w:rFonts w:ascii="Times New Roman" w:cs="Times New Roman" w:eastAsia="Times New Roman" w:hAnsi="Times New Roman"/>
          <w:sz w:val="14"/>
          <w:szCs w:val="14"/>
          <w:color w:val="auto"/>
        </w:rPr>
        <w:t>. Notwithstanding anything herein to the contrary, if at any time while this Preferred Stock is outstanding, the Corporation or any Subsidiary, as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sells or grants any option to purchase or sells or grants any right to reprice, or otherwise disposes of or issues (or announces any sale, grant or any option to purchase or other disposition), any Common Stock or Common Stock Equivalents entitling any Person to acquire shares of Common Stock at an effective price per share that is lower than the then in effect Conversion Price (such lower price, the “Base Conversion Price,” and such issuance collectively, a “Dilutive Issuance”)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at such effective price), then the Conversion Price shall be reduced to equal the Base Conversion Price. For the avoidance of doubt, if more than one security is issued in a transaction that is being analyzed to determine whether a Dilutive Issuance has occurred and/or to determine a Base Conversion Price, each security so issued shall be analyzed separately with respect to such determinations such that the lowest effective price per share with respect to each such security shall apply. No adjustment will be made under this Section 7(b) in respect of an Exempt Issuance. The Corporation shall notify the Holders in writing, no later than the Trading Day following the applicable Dilutive Issuance, indicating therein the applicable issuance price, or applicable reset price, exchange price, conversion price and other pricing terms (such notice, the “Dilutive Issuance Notice”).</w:t>
      </w:r>
    </w:p>
    <w:p>
      <w:pPr>
        <w:spacing w:after="0" w:line="144" w:lineRule="exact"/>
        <w:rPr>
          <w:rFonts w:ascii="Times New Roman" w:cs="Times New Roman" w:eastAsia="Times New Roman" w:hAnsi="Times New Roman"/>
          <w:sz w:val="14"/>
          <w:szCs w:val="14"/>
          <w:color w:val="auto"/>
        </w:rPr>
      </w:pPr>
    </w:p>
    <w:p>
      <w:pPr>
        <w:jc w:val="both"/>
        <w:ind w:left="-517" w:firstLine="517"/>
        <w:spacing w:after="0" w:line="262" w:lineRule="auto"/>
        <w:tabs>
          <w:tab w:leader="none" w:pos="188"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Adjustment Due to Market Price. </w:t>
      </w:r>
      <w:r>
        <w:rPr>
          <w:rFonts w:ascii="Times New Roman" w:cs="Times New Roman" w:eastAsia="Times New Roman" w:hAnsi="Times New Roman"/>
          <w:sz w:val="14"/>
          <w:szCs w:val="14"/>
          <w:color w:val="auto"/>
        </w:rPr>
        <w:t>If at any time the Market Price, as determined on the date of each conversion, is less than the Conversion Price, then the aggregate Stated Value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Holder’s then outstanding shares of Preferred Stock shall be automatically increased immediately following each such conversion by the result of the Conversion Price minus the Market Price multiplied by the number of shares of Common Stock being issued with respect to such conversion, and dividends shall accrue thereon in accordance with the terms of this Certificate of Designation. “Market Price” shall mean the lowest VWAP during the ten (10) Trading Days prior to the applicable Conversion Date. For example, if the Conversion Price is $0.50 and the Market Price is $0.40 and the number of shares of Common Stock issued upon conversion is 10,000, then the aggregate Stated Value of the Holder’s outstanding Preferred Stock shall be increased by $1,000.00 ($0.50 - $0.40 = $0.10 multiplied by 10,000 = $1,000.00) immediately following such conversion.</w:t>
      </w:r>
    </w:p>
    <w:p>
      <w:pPr>
        <w:spacing w:after="0" w:line="140" w:lineRule="exact"/>
        <w:rPr>
          <w:rFonts w:ascii="Times New Roman" w:cs="Times New Roman" w:eastAsia="Times New Roman" w:hAnsi="Times New Roman"/>
          <w:sz w:val="14"/>
          <w:szCs w:val="14"/>
          <w:color w:val="auto"/>
        </w:rPr>
      </w:pPr>
    </w:p>
    <w:p>
      <w:pPr>
        <w:jc w:val="both"/>
        <w:ind w:left="-517" w:firstLine="517"/>
        <w:spacing w:after="0" w:line="259" w:lineRule="auto"/>
        <w:tabs>
          <w:tab w:leader="none" w:pos="196"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Subsequent Rights Offerings</w:t>
      </w:r>
      <w:r>
        <w:rPr>
          <w:rFonts w:ascii="Times New Roman" w:cs="Times New Roman" w:eastAsia="Times New Roman" w:hAnsi="Times New Roman"/>
          <w:sz w:val="14"/>
          <w:szCs w:val="14"/>
          <w:color w:val="auto"/>
        </w:rPr>
        <w:t>. In addition to any adjustments pursuant to Section 7(a) above, if at any time the Corporation grants, issues or sells any Common Stock Equivalents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rights to purchase stock, warrants, securities or other property pro rata to the record holders of any class of shares of Common Stock (the “Purchase Rights”), then the Holder will be entitled to acquire, upon the terms applicable to such Purchase Rights, the aggregate Purchase Rights which the Holder could have acquired if the Holder had held the number of shares of Common Stock acquirable upon complete conversion of such Holder’s Preferred Stock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43" w:lineRule="exact"/>
        <w:rPr>
          <w:rFonts w:ascii="Times New Roman" w:cs="Times New Roman" w:eastAsia="Times New Roman" w:hAnsi="Times New Roman"/>
          <w:sz w:val="14"/>
          <w:szCs w:val="14"/>
          <w:color w:val="auto"/>
        </w:rPr>
      </w:pPr>
    </w:p>
    <w:p>
      <w:pPr>
        <w:jc w:val="both"/>
        <w:ind w:left="-517" w:firstLine="517"/>
        <w:spacing w:after="0" w:line="258" w:lineRule="auto"/>
        <w:tabs>
          <w:tab w:leader="none" w:pos="188"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 Rata Distributions</w:t>
      </w:r>
      <w:r>
        <w:rPr>
          <w:rFonts w:ascii="Times New Roman" w:cs="Times New Roman" w:eastAsia="Times New Roman" w:hAnsi="Times New Roman"/>
          <w:sz w:val="14"/>
          <w:szCs w:val="14"/>
          <w:color w:val="auto"/>
        </w:rPr>
        <w:t>. During such time as this Preferred Stock is outstanding, if the Corporation declares or makes any dividend or other distribution of its assets (or rights to acquire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distributions subject to Section 7(a) hereof (a “Distribution”), at any time after the issuance of this Preferred Stock, then, in each such case, the Holder shall be entitled to participate in such Distribution to the same extent that the Holder would have participated therein if the Holder had held the number of shares of Common Stock acquirable upon complete conversion of this Preferred Stock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212725</wp:posOffset>
            </wp:positionV>
            <wp:extent cx="716089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3"/>
          </w:cols>
          <w:pgMar w:left="817" w:top="571" w:right="319" w:bottom="1440" w:gutter="0" w:footer="0" w:header="0"/>
        </w:sectPr>
      </w:pPr>
    </w:p>
    <w:bookmarkStart w:id="180" w:name="page181"/>
    <w:bookmarkEnd w:id="180"/>
    <w:p>
      <w:pPr>
        <w:jc w:val="both"/>
        <w:ind w:firstLine="517"/>
        <w:spacing w:after="0" w:line="256" w:lineRule="auto"/>
        <w:tabs>
          <w:tab w:leader="none" w:pos="69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Fundamental Transaction</w:t>
      </w:r>
      <w:r>
        <w:rPr>
          <w:rFonts w:ascii="Times New Roman" w:cs="Times New Roman" w:eastAsia="Times New Roman" w:hAnsi="Times New Roman"/>
          <w:sz w:val="14"/>
          <w:szCs w:val="14"/>
          <w:color w:val="auto"/>
        </w:rPr>
        <w:t>. If, at any time while this Preferred Stock is outstanding, (i) the Corporation, directly or indirectly, in one or more related transactions effects any merger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consolidation of the Corporation with or into another Person,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Voting Stock are permitted to sell, tender or exchange their shares for other securities, cash or property and has been accepted by the holders of more than 50% of the outstanding Voting Stock, (iv) the Corporation, directly or indirectly, in one or more related transactions effects any reclassification, reorganization or recapitalization of the Voting Stock or any compulsory share exchange pursuant to which the Voting Stock is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Voting Stock (not including any shares of Voting Stock held by the other Person or other Persons making or party to, or associated or affiliated with the other Persons making or party to, such stock or share purchase agreement or other business combination) (each a “Fundamental Transaction”), then the Corporation shall not consummate any such Fundamental Transaction unless the Holders of a majority of the then outstanding shares of Preferred Stock shall have given prior written consent thereto, which consent shall be solicited in accordance with the MNPI Consent Procedures set forth in Section 4.8 of the Purchase Agreement. Upon a Fundamental Transaction, the Holder may elect, by written notice to the Corporation delivered no later than five (5) Business Days prior to the consummation of such Fundamental Transaction, either (A) to convert the Preferred Stock into Alternate Consideration as set forth below in this Section 7(f), or (B) to require the Corporation to redeem all of the Holder’s Preferred Stock at the Triggering Redemption Amount, which election shall constitute a Triggering Event under Section 10(a). If the Holder does not timely deliver such notice, the Holder shall be deemed to have elected clause</w:t>
      </w:r>
    </w:p>
    <w:p>
      <w:pPr>
        <w:spacing w:after="0" w:line="1" w:lineRule="exact"/>
        <w:rPr>
          <w:rFonts w:ascii="Times New Roman" w:cs="Times New Roman" w:eastAsia="Times New Roman" w:hAnsi="Times New Roman"/>
          <w:sz w:val="14"/>
          <w:szCs w:val="14"/>
          <w:color w:val="auto"/>
        </w:rPr>
      </w:pPr>
    </w:p>
    <w:p>
      <w:pPr>
        <w:jc w:val="both"/>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Upon the occurrence of such Fundamental Transaction, upon any subsequent conversion of this Preferred Stock, the Holder shall have the right to receive, for each Conversion Share that would have been issuable upon such conversion immediately prior to the occurrence of such Fundamental Transaction (without regard to any limitation in Section 6(d) on the conversion of this Preferred Stock), the number of shares of Common Stock of the successor or acquiring corporation or of the Corporation, if it is the surviving corporation, and any additional consideration (the “Alternate Consideration”) receivable as a result of such Fundamental Transaction by a holder of the number of shares of Common Stock for which this Preferred Stock is convertible immediately prior to such Fundamental Transaction (without regard to any limitation in Section 6(d) on the conversion of this Preferred Stock).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Corporation shall cause any successor entity in a Fundamental Transaction in which the Corporation is not the survivor (the “Successor Entity”) to assume in writing all of the obligations of the Corporation under this Certificate of Designation and the other Transaction Documents in accordance with the provisions of this Section 7(f) pursuant to written agreements approved by the Holders of a majority of the outstanding shares of Preferred Stock (without unreasonable delay) prior to such Fundamental Transaction and shall, at the option of the holder of this Preferred Stock, deliver to the Holder in exchange for this Preferred Stock a security of the Successor Entity evidenced by a written instrument substantially similar in form and substance to this Preferred Stock which is convertible for a corresponding number of shares of capital stock of such Successor Entity (or its parent entity) equivalent to the shares of Common Stock acquirable and receivable upon conversion of this Preferred Stock (without regard to any limitations on the conversion of this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Preferred Stock immediately prior to the consummation of such Fundamental Transaction), and which is reasonably satisfactory to a similarly situated holder of preferred stock on substantially similar terms to this Preferred Stock. Upon the occurrence of any such Fundamental Transaction, the Successor Entity shall succeed to, and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 For purposes of this Section 7(f), “Voting Stock” means the Common Stock and any other class or series of capital stock of the Corporation entitled to vote generally on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716089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81" w:name="page182"/>
    <w:bookmarkEnd w:id="181"/>
    <w:p>
      <w:pPr>
        <w:jc w:val="both"/>
        <w:ind w:left="-517" w:firstLine="517"/>
        <w:spacing w:after="0" w:line="273" w:lineRule="auto"/>
        <w:tabs>
          <w:tab w:leader="none" w:pos="19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Calculations</w:t>
      </w:r>
      <w:r>
        <w:rPr>
          <w:rFonts w:ascii="Times New Roman" w:cs="Times New Roman" w:eastAsia="Times New Roman" w:hAnsi="Times New Roman"/>
          <w:sz w:val="14"/>
          <w:szCs w:val="14"/>
          <w:color w:val="auto"/>
        </w:rPr>
        <w:t>. All calculations under this Section 7 shall be made to the nearest cent or the nearest 1/100th of a share, as the case may be. For purposes of this Section 7, the number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shares of Common Stock deemed to be issued and outstanding as of a given date shall be the sum of the number of shares of Common Stock (excluding any treasury shares of the Corporation) issued and outstanding.</w:t>
      </w:r>
    </w:p>
    <w:p>
      <w:pPr>
        <w:spacing w:after="0" w:line="133" w:lineRule="exact"/>
        <w:rPr>
          <w:rFonts w:ascii="Times New Roman" w:cs="Times New Roman" w:eastAsia="Times New Roman" w:hAnsi="Times New Roman"/>
          <w:sz w:val="14"/>
          <w:szCs w:val="14"/>
          <w:color w:val="auto"/>
        </w:rPr>
      </w:pPr>
    </w:p>
    <w:p>
      <w:pPr>
        <w:ind w:left="203" w:hanging="203"/>
        <w:spacing w:after="0"/>
        <w:tabs>
          <w:tab w:leader="none" w:pos="203"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Notice to the Holders</w:t>
      </w:r>
      <w:r>
        <w:rPr>
          <w:rFonts w:ascii="Times New Roman" w:cs="Times New Roman" w:eastAsia="Times New Roman" w:hAnsi="Times New Roman"/>
          <w:sz w:val="14"/>
          <w:szCs w:val="14"/>
          <w:color w:val="auto"/>
        </w:rPr>
        <w:t>.</w:t>
      </w:r>
    </w:p>
    <w:p>
      <w:pPr>
        <w:spacing w:after="0" w:line="180" w:lineRule="exact"/>
        <w:rPr>
          <w:rFonts w:ascii="Times New Roman" w:cs="Times New Roman" w:eastAsia="Times New Roman" w:hAnsi="Times New Roman"/>
          <w:sz w:val="14"/>
          <w:szCs w:val="14"/>
          <w:color w:val="auto"/>
        </w:rPr>
      </w:pPr>
    </w:p>
    <w:p>
      <w:pPr>
        <w:ind w:left="3" w:firstLine="510"/>
        <w:spacing w:after="0" w:line="292" w:lineRule="auto"/>
        <w:tabs>
          <w:tab w:leader="none" w:pos="684"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Adjustment to Conversion Price</w:t>
      </w:r>
      <w:r>
        <w:rPr>
          <w:rFonts w:ascii="Times New Roman" w:cs="Times New Roman" w:eastAsia="Times New Roman" w:hAnsi="Times New Roman"/>
          <w:sz w:val="14"/>
          <w:szCs w:val="14"/>
          <w:color w:val="auto"/>
        </w:rPr>
        <w:t>. Whenever the Conversion Price is adjusted pursuant to any provision of this Section 7, the Corporation shall promptly deliver to each Holder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email a notice setting forth the Conversion Price after such adjustment and setting forth a brief statement of the facts requiring such adjustment.</w:t>
      </w:r>
    </w:p>
    <w:p>
      <w:pPr>
        <w:spacing w:after="0" w:line="120" w:lineRule="exact"/>
        <w:rPr>
          <w:rFonts w:ascii="Times New Roman" w:cs="Times New Roman" w:eastAsia="Times New Roman" w:hAnsi="Times New Roman"/>
          <w:sz w:val="14"/>
          <w:szCs w:val="14"/>
          <w:color w:val="auto"/>
        </w:rPr>
      </w:pPr>
    </w:p>
    <w:p>
      <w:pPr>
        <w:jc w:val="both"/>
        <w:ind w:left="3" w:firstLine="510"/>
        <w:spacing w:after="0" w:line="257" w:lineRule="auto"/>
        <w:tabs>
          <w:tab w:leader="none" w:pos="745"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Notice to Allow Conversion by Holder</w:t>
      </w:r>
      <w:r>
        <w:rPr>
          <w:rFonts w:ascii="Times New Roman" w:cs="Times New Roman" w:eastAsia="Times New Roman" w:hAnsi="Times New Roman"/>
          <w:sz w:val="14"/>
          <w:szCs w:val="14"/>
          <w:color w:val="auto"/>
        </w:rPr>
        <w:t>. If (A) the Corporation shall declare a dividend (or any other distribution in whatever form) on the Common Stock, (B)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Preferred Stock, and shall cause to be delivered by email to each Holder at its last email address as it shall 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or any of the Subsidiaries, the Corporation shall simultaneously file such notice with the Commission pursuant to a Current Report on Form 8-K. The Holder shall remain entitled to convert the Conversion Amount of this Preferred Stock (or any part hereof) during the 20-day period commencing on the date of such notice through the effective date of the event triggering such notice except as may otherwise be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210185</wp:posOffset>
            </wp:positionV>
            <wp:extent cx="716089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3"/>
          </w:cols>
          <w:pgMar w:left="817" w:top="571" w:right="3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color w:val="auto"/>
        </w:rPr>
        <w:t>Section 8. Optional Redemption</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jc w:val="both"/>
        <w:ind w:firstLine="517"/>
        <w:spacing w:after="0" w:line="257" w:lineRule="auto"/>
        <w:tabs>
          <w:tab w:leader="none" w:pos="71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Optional Redemption at Election of Corporation</w:t>
      </w:r>
      <w:r>
        <w:rPr>
          <w:rFonts w:ascii="Times New Roman" w:cs="Times New Roman" w:eastAsia="Times New Roman" w:hAnsi="Times New Roman"/>
          <w:sz w:val="14"/>
          <w:szCs w:val="14"/>
          <w:color w:val="auto"/>
        </w:rPr>
        <w:t>. Subject to the provisions of this Section 8, at any time commencing thirty (30) Business Days after the Original Issue Date,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may deliver a notice to the Holders (an “Optional Redemption Notice” and the date such notice is deemed delivered hereunder, the “Optional Redemption Notice Date”) of its irrevocable election to redeem some or all of the then outstanding Preferred Stock, for cash in an amount equal to the Optional Redemption Amount on the thirtieth (30th) day following the Optional Redemption Notice Date (such date, the “Optional Redemption Date” and such redemption, the “Optional Redemption”). The Optional Redemption Amount is payable in full on the Optional Redemption Date. The Corporation may only effect an Optional Redemption if each of the Equity Conditions shall have been met on each Trading Day occurring during the period commencing on the Optional Redemption Notice Date through to the Optional Redemption Date and through and including the date payment of the Optional Redemption Amount is actually made. If any of the Equity Conditions shall cease to be satisfied at any time during the thirty (30) day period, then a Holder may elect to nullify the Optional Redemption Notice as to such Holder by notice to the Corporation within three (3) Trading Days after the first day on which any such Equity Condition has not been met (provided that, if by a provision of the Transaction Documents, the Corporation is obligated to notify the Holders of the non-existence of an Equity Condition, such notice period shall be extended to the third Trading Day after proper notice from the Corporation) in which case the Optional Redemption Notice shall be null and void, ab initio. The Corporation covenants and agrees that the Corporation will honor all Notices of Conversion tendered from the time of delivery of the Optional Redemption Notice through the date the Optional Redemption Amount is paid in full, and each Holder shall continue to have the right to convert the Preferred Stock at the Conversion Price after receipt of an Optional Redemption Notice and prior to the payment of the Optional Redemption Amount.</w:t>
      </w:r>
    </w:p>
    <w:p>
      <w:pPr>
        <w:spacing w:after="0" w:line="150" w:lineRule="exact"/>
        <w:rPr>
          <w:rFonts w:ascii="Times New Roman" w:cs="Times New Roman" w:eastAsia="Times New Roman" w:hAnsi="Times New Roman"/>
          <w:sz w:val="14"/>
          <w:szCs w:val="14"/>
          <w:color w:val="auto"/>
        </w:rPr>
      </w:pPr>
    </w:p>
    <w:p>
      <w:pPr>
        <w:jc w:val="both"/>
        <w:ind w:firstLine="517"/>
        <w:spacing w:after="0" w:line="273" w:lineRule="auto"/>
        <w:tabs>
          <w:tab w:leader="none" w:pos="713"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Redemption Procedure</w:t>
      </w:r>
      <w:r>
        <w:rPr>
          <w:rFonts w:ascii="Times New Roman" w:cs="Times New Roman" w:eastAsia="Times New Roman" w:hAnsi="Times New Roman"/>
          <w:sz w:val="14"/>
          <w:szCs w:val="14"/>
          <w:color w:val="auto"/>
        </w:rPr>
        <w:t>. The payment of cash pursuant to an Optional Redemption shall be made on the Optional Redemption Date. If any portion of the cash payment for an Optional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Redemption has not been paid by the Corporation on the Optional Redemption Date, interest shall accrue thereon until such amount is paid in full at a rate equal to the lesser of 18% per annum or the maximum rate permitted by applicable law.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9. Negative Covenants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firstLine="512"/>
        <w:spacing w:after="0" w:line="289" w:lineRule="auto"/>
        <w:rPr>
          <w:sz w:val="20"/>
          <w:szCs w:val="20"/>
          <w:color w:val="auto"/>
        </w:rPr>
      </w:pPr>
      <w:r>
        <w:rPr>
          <w:rFonts w:ascii="Times New Roman" w:cs="Times New Roman" w:eastAsia="Times New Roman" w:hAnsi="Times New Roman"/>
          <w:sz w:val="14"/>
          <w:szCs w:val="14"/>
          <w:color w:val="auto"/>
        </w:rPr>
        <w:t>As long as any shares of Preferred Stock are outstanding, unless the holders of at least 67% in Stated Value of the then outstanding shares of Preferred Stock shall have otherwise given prior written consent, the Corporation shall not, and shall not permit any of the Subsidiaries to, directly or indirectly:</w:t>
      </w:r>
    </w:p>
    <w:p>
      <w:pPr>
        <w:spacing w:after="0" w:line="124" w:lineRule="exact"/>
        <w:rPr>
          <w:sz w:val="20"/>
          <w:szCs w:val="20"/>
          <w:color w:val="auto"/>
        </w:rPr>
      </w:pPr>
    </w:p>
    <w:p>
      <w:pPr>
        <w:jc w:val="both"/>
        <w:ind w:left="520" w:firstLine="510"/>
        <w:spacing w:after="0" w:line="263" w:lineRule="auto"/>
        <w:tabs>
          <w:tab w:leader="none" w:pos="1239"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repay, repurchase or offer to repay, repurchase or otherwise acquire more than a de minimis number of shares of its Common Stock, Common Stock Equivalents or Junior Securities, other than as to (i) the Conversion Shares or Warrant Shares as permitted or required under the Transaction Documents, (ii) other than, solely in connection with Junior Securities issued to employees, officers or directors of the Corporation for services rendered to the Corporation, Junior Securities in connection with the satisfaction of the exercise price of compensatory Junior Securities or the satisfaction of tax withholding obligations, and (iii) repurchases of Common Stock or Common Stock Equivalents of departing officers and directors of the Corporation;</w:t>
      </w:r>
    </w:p>
    <w:p>
      <w:pPr>
        <w:spacing w:after="0" w:line="142" w:lineRule="exact"/>
        <w:rPr>
          <w:rFonts w:ascii="Times New Roman" w:cs="Times New Roman" w:eastAsia="Times New Roman" w:hAnsi="Times New Roman"/>
          <w:sz w:val="14"/>
          <w:szCs w:val="14"/>
          <w:color w:val="auto"/>
        </w:rPr>
      </w:pPr>
    </w:p>
    <w:p>
      <w:pPr>
        <w:ind w:left="1240" w:hanging="210"/>
        <w:spacing w:after="0"/>
        <w:tabs>
          <w:tab w:leader="none" w:pos="12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cash dividends on Junior Securities of the Corporation;</w:t>
      </w:r>
    </w:p>
    <w:p>
      <w:pPr>
        <w:spacing w:after="0" w:line="180" w:lineRule="exact"/>
        <w:rPr>
          <w:rFonts w:ascii="Times New Roman" w:cs="Times New Roman" w:eastAsia="Times New Roman" w:hAnsi="Times New Roman"/>
          <w:sz w:val="14"/>
          <w:szCs w:val="14"/>
          <w:color w:val="auto"/>
        </w:rPr>
      </w:pPr>
    </w:p>
    <w:p>
      <w:pPr>
        <w:ind w:left="520" w:firstLine="510"/>
        <w:spacing w:after="0" w:line="289" w:lineRule="auto"/>
        <w:tabs>
          <w:tab w:leader="none" w:pos="123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transaction with any Affiliate of the Corporation which would be required to be disclosed in any public filing with the Commission, unless such transaction is made on an arm’s-length basis and expressly approved by a majority of the disinterested directors of the Corporation (even if less than a quorum otherwise required for board approval);</w:t>
      </w:r>
    </w:p>
    <w:p>
      <w:pPr>
        <w:spacing w:after="0" w:line="124" w:lineRule="exact"/>
        <w:rPr>
          <w:rFonts w:ascii="Times New Roman" w:cs="Times New Roman" w:eastAsia="Times New Roman" w:hAnsi="Times New Roman"/>
          <w:sz w:val="14"/>
          <w:szCs w:val="14"/>
          <w:color w:val="auto"/>
        </w:rPr>
      </w:pPr>
    </w:p>
    <w:p>
      <w:pPr>
        <w:jc w:val="both"/>
        <w:ind w:left="520" w:firstLine="510"/>
        <w:spacing w:after="0" w:line="263" w:lineRule="auto"/>
        <w:tabs>
          <w:tab w:leader="none" w:pos="1237"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or assume any indebtedness for borrowed money that would be senior in right of payment to the Preferred Stock, or issue any class or series of preferred stock that ranks senior to the Preferred Stock in dividend rights, redemption rights, or distribution of assets upon a Liquidation, in each case for so long as any Holder holds any shares of Preferred Stock, which consent shall be solicited in accordance with the MNPI Consent Procedures set forth in Section 4.8 of the Purchase Agreement; provided, however, that this Section 9(d) shall not apply to (i) indebtedness arising under or pursuant to the Transaction Documents dated March 31, 2026 (and any refinancing, refunding, renewal or extension thereof, provided that the principal amount thereof is not increased), and (ii) ordinary-course capital lease obligations and equipment financings;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716089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83" w:name="page184"/>
    <w:bookmarkEnd w:id="183"/>
    <w:p>
      <w:pPr>
        <w:jc w:val="both"/>
        <w:ind w:left="520" w:firstLine="510"/>
        <w:spacing w:after="0" w:line="266" w:lineRule="auto"/>
        <w:tabs>
          <w:tab w:leader="none" w:pos="124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apply the proceeds of any Subsequent Financing (as defined in the Purchase Agreement) as follows: within five (5) Trading Days of receipt of such proceeds, the Corporation shall (i) first, pay all accrued and unpaid dividends on all outstanding shares of Preferred Stock, and (ii) second, apply the remaining proceeds to redeem the maximum number of whole shares of Preferred Stock at the per-share Triggering Redemption Amount, pro rata among all Holders based upon the number of shares of Preferred Stock then held by each Holder, with any shares not so redeemed remaining outstanding on the terms set forth herein; or</w:t>
      </w:r>
    </w:p>
    <w:p>
      <w:pPr>
        <w:spacing w:after="0" w:line="139" w:lineRule="exact"/>
        <w:rPr>
          <w:rFonts w:ascii="Times New Roman" w:cs="Times New Roman" w:eastAsia="Times New Roman" w:hAnsi="Times New Roman"/>
          <w:sz w:val="14"/>
          <w:szCs w:val="14"/>
          <w:color w:val="auto"/>
        </w:rPr>
      </w:pPr>
    </w:p>
    <w:p>
      <w:pPr>
        <w:ind w:left="1200" w:hanging="170"/>
        <w:spacing w:after="0"/>
        <w:tabs>
          <w:tab w:leader="none" w:pos="12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agreement with respect to any of the foregoing.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 Redemption Upon Triggering Events</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jc w:val="both"/>
        <w:ind w:firstLine="517"/>
        <w:spacing w:after="0" w:line="273" w:lineRule="auto"/>
        <w:tabs>
          <w:tab w:leader="none" w:pos="716"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Triggering Event</w:t>
      </w:r>
      <w:r>
        <w:rPr>
          <w:rFonts w:ascii="Times New Roman" w:cs="Times New Roman" w:eastAsia="Times New Roman" w:hAnsi="Times New Roman"/>
          <w:sz w:val="14"/>
          <w:szCs w:val="14"/>
          <w:color w:val="auto"/>
        </w:rPr>
        <w:t>. “Triggering Event” means, wherever used herein, any of the following events (whatever the reason for such event and whether such event shall be voluntary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involuntary or effected by operation of law or pursuant to any judgment, decree or order of any court, or any order, rule or regulation of any administrative or governmental body), to which the Holders of a majority of the then outstanding shares of Preferred Stock do not provide prior written consent:</w:t>
      </w:r>
    </w:p>
    <w:p>
      <w:pPr>
        <w:spacing w:after="0" w:line="135" w:lineRule="exact"/>
        <w:rPr>
          <w:rFonts w:ascii="Times New Roman" w:cs="Times New Roman" w:eastAsia="Times New Roman" w:hAnsi="Times New Roman"/>
          <w:sz w:val="14"/>
          <w:szCs w:val="14"/>
          <w:color w:val="auto"/>
        </w:rPr>
      </w:pPr>
    </w:p>
    <w:p>
      <w:pPr>
        <w:jc w:val="both"/>
        <w:ind w:left="520" w:firstLine="510"/>
        <w:spacing w:after="0" w:line="272" w:lineRule="auto"/>
        <w:tabs>
          <w:tab w:leader="none" w:pos="1218"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Corporation fails to provide at all times a registration statement (including the Registration Statement) or usable prospectus that permits the Corporation to issue the Conversion Shares and Warrant Shares or which allows the Holder to sell the Conversion Shares and Warrant Shares pursuant thereto, subject to a grace period of 20 calendar days in the aggregate in any 365-day period, or if the Corporation cannot issue the Conversion Shares pursuant to Section 3(a)(9) of the Securities Act;</w:t>
      </w:r>
    </w:p>
    <w:p>
      <w:pPr>
        <w:spacing w:after="0" w:line="135" w:lineRule="exact"/>
        <w:rPr>
          <w:rFonts w:ascii="Times New Roman" w:cs="Times New Roman" w:eastAsia="Times New Roman" w:hAnsi="Times New Roman"/>
          <w:sz w:val="14"/>
          <w:szCs w:val="14"/>
          <w:color w:val="auto"/>
        </w:rPr>
      </w:pPr>
    </w:p>
    <w:p>
      <w:pPr>
        <w:jc w:val="both"/>
        <w:ind w:left="520" w:firstLine="510"/>
        <w:spacing w:after="0" w:line="272" w:lineRule="auto"/>
        <w:tabs>
          <w:tab w:leader="none" w:pos="1242"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shall fail to deliver Conversion Shares issuable upon a conversion hereunder that comply with the provisions hereof prior to the seventh (7th) Trading Day after such shares are required to be delivered hereunder, or the Corporation shall provide written notice to any Holder, including by way of public announcement, at any time, of its intention not to comply with requests for conversion of any shares of Preferred Stock in accordance with the terms hereof;</w:t>
      </w:r>
    </w:p>
    <w:p>
      <w:pPr>
        <w:spacing w:after="0" w:line="135" w:lineRule="exact"/>
        <w:rPr>
          <w:rFonts w:ascii="Times New Roman" w:cs="Times New Roman" w:eastAsia="Times New Roman" w:hAnsi="Times New Roman"/>
          <w:sz w:val="14"/>
          <w:szCs w:val="14"/>
          <w:color w:val="auto"/>
        </w:rPr>
      </w:pPr>
    </w:p>
    <w:p>
      <w:pPr>
        <w:ind w:left="1280" w:hanging="250"/>
        <w:spacing w:after="0"/>
        <w:tabs>
          <w:tab w:leader="none" w:pos="128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shall fail for any reason to pay in full the amount of cash due pursuant to a Buy-In within five (5) calendar days after notice therefor is delivered hereunder;</w:t>
      </w:r>
    </w:p>
    <w:p>
      <w:pPr>
        <w:spacing w:after="0" w:line="180" w:lineRule="exact"/>
        <w:rPr>
          <w:rFonts w:ascii="Times New Roman" w:cs="Times New Roman" w:eastAsia="Times New Roman" w:hAnsi="Times New Roman"/>
          <w:sz w:val="14"/>
          <w:szCs w:val="14"/>
          <w:color w:val="auto"/>
        </w:rPr>
      </w:pPr>
    </w:p>
    <w:p>
      <w:pPr>
        <w:ind w:left="1280" w:hanging="250"/>
        <w:spacing w:after="0"/>
        <w:tabs>
          <w:tab w:leader="none" w:pos="128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have occurred an Authorized Share Failure;</w:t>
      </w:r>
    </w:p>
    <w:p>
      <w:pPr>
        <w:spacing w:after="0" w:line="180" w:lineRule="exact"/>
        <w:rPr>
          <w:rFonts w:ascii="Times New Roman" w:cs="Times New Roman" w:eastAsia="Times New Roman" w:hAnsi="Times New Roman"/>
          <w:sz w:val="14"/>
          <w:szCs w:val="14"/>
          <w:color w:val="auto"/>
        </w:rPr>
      </w:pPr>
    </w:p>
    <w:p>
      <w:pPr>
        <w:ind w:left="520" w:firstLine="510"/>
        <w:spacing w:after="0" w:line="289" w:lineRule="auto"/>
        <w:tabs>
          <w:tab w:leader="none" w:pos="126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shall fail to make an Amendment Filing within five (5) Trading Days of the date of Form S-3 Unavailability or the Amended Registration Statement Effectiveness shall not occur within twenty (20) Trading Days following the date of Form S-3 Unavailability;</w:t>
      </w:r>
    </w:p>
    <w:p>
      <w:pPr>
        <w:spacing w:after="0" w:line="124" w:lineRule="exact"/>
        <w:rPr>
          <w:rFonts w:ascii="Times New Roman" w:cs="Times New Roman" w:eastAsia="Times New Roman" w:hAnsi="Times New Roman"/>
          <w:sz w:val="14"/>
          <w:szCs w:val="14"/>
          <w:color w:val="auto"/>
        </w:rPr>
      </w:pPr>
    </w:p>
    <w:p>
      <w:pPr>
        <w:jc w:val="both"/>
        <w:ind w:left="520" w:firstLine="510"/>
        <w:spacing w:after="0" w:line="272" w:lineRule="auto"/>
        <w:tabs>
          <w:tab w:leader="none" w:pos="1275"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specifically addressed elsewhere in this Certificate of Designation as a Triggering Event, the Corporation shall fail to observe or perform any other covenant, agreement or warranty contained in, or otherwise commit any breach of the Transaction Documents, and such failure or breach shall not, if subject to the possibility of a cure by the Corporation, have been cured within 30 calendar days after the date of such failure to observe or perform or such breach;</w:t>
      </w:r>
    </w:p>
    <w:p>
      <w:pPr>
        <w:spacing w:after="0" w:line="135" w:lineRule="exact"/>
        <w:rPr>
          <w:rFonts w:ascii="Times New Roman" w:cs="Times New Roman" w:eastAsia="Times New Roman" w:hAnsi="Times New Roman"/>
          <w:sz w:val="14"/>
          <w:szCs w:val="14"/>
          <w:color w:val="auto"/>
        </w:rPr>
      </w:pPr>
    </w:p>
    <w:p>
      <w:pPr>
        <w:jc w:val="both"/>
        <w:ind w:left="520" w:firstLine="510"/>
        <w:spacing w:after="0" w:line="272" w:lineRule="auto"/>
        <w:tabs>
          <w:tab w:leader="none" w:pos="1325"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shall redeem more than a de minimis number of Junior Securities other than as to (a) repurchases of Common Stock or Common Stock Equivalents from departing officers and directors, or (b) solely in connection with Junior Securities issued to employees, officers or directors of the Corporation for services rendered to the Corporation, Junior Securities in connection with the satisfaction of the exercise price of compensatory Junior Securities or the satisfaction of tax withholding obligations;</w:t>
      </w:r>
    </w:p>
    <w:p>
      <w:pPr>
        <w:spacing w:after="0" w:line="135" w:lineRule="exact"/>
        <w:rPr>
          <w:rFonts w:ascii="Times New Roman" w:cs="Times New Roman" w:eastAsia="Times New Roman" w:hAnsi="Times New Roman"/>
          <w:sz w:val="14"/>
          <w:szCs w:val="14"/>
          <w:color w:val="auto"/>
        </w:rPr>
      </w:pPr>
    </w:p>
    <w:p>
      <w:pPr>
        <w:ind w:left="1340" w:hanging="310"/>
        <w:spacing w:after="0"/>
        <w:tabs>
          <w:tab w:leader="none" w:pos="134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 Fundamental Transaction or Change of Control Transaction, the Holder elects redemption pursuant to Section 7(f);</w:t>
      </w:r>
    </w:p>
    <w:p>
      <w:pPr>
        <w:spacing w:after="0" w:line="180" w:lineRule="exact"/>
        <w:rPr>
          <w:rFonts w:ascii="Times New Roman" w:cs="Times New Roman" w:eastAsia="Times New Roman" w:hAnsi="Times New Roman"/>
          <w:sz w:val="14"/>
          <w:szCs w:val="14"/>
          <w:color w:val="auto"/>
        </w:rPr>
      </w:pPr>
    </w:p>
    <w:p>
      <w:pPr>
        <w:ind w:left="1280" w:hanging="250"/>
        <w:spacing w:after="0"/>
        <w:tabs>
          <w:tab w:leader="none" w:pos="128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have occurred a Bankruptcy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232410</wp:posOffset>
            </wp:positionV>
            <wp:extent cx="716089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184" w:name="page185"/>
    <w:bookmarkEnd w:id="184"/>
    <w:p>
      <w:pPr>
        <w:ind w:left="723" w:hanging="210"/>
        <w:spacing w:after="0"/>
        <w:tabs>
          <w:tab w:leader="none" w:pos="723"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Common Stock shall fail to be listed or quoted for trading on a Trading Market for more than five Trading Days, which need not be consecutive Trading Days;</w:t>
      </w:r>
    </w:p>
    <w:p>
      <w:pPr>
        <w:spacing w:after="0" w:line="180" w:lineRule="exact"/>
        <w:rPr>
          <w:rFonts w:ascii="Times New Roman" w:cs="Times New Roman" w:eastAsia="Times New Roman" w:hAnsi="Times New Roman"/>
          <w:sz w:val="14"/>
          <w:szCs w:val="14"/>
          <w:color w:val="auto"/>
        </w:rPr>
      </w:pPr>
    </w:p>
    <w:p>
      <w:pPr>
        <w:ind w:left="3" w:firstLine="510"/>
        <w:spacing w:after="0" w:line="289" w:lineRule="auto"/>
        <w:tabs>
          <w:tab w:leader="none" w:pos="767"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monetary judgment, writ or similar final process shall be entered or filed against the Corporation, any Subsidiary or any of their respective property or other assets for more than $500,000, and such judgment, writ or similar final process shall remain unvacated, unbonded or unstayed for a period of 60 calendar days;</w:t>
      </w:r>
    </w:p>
    <w:p>
      <w:pPr>
        <w:spacing w:after="0" w:line="124" w:lineRule="exact"/>
        <w:rPr>
          <w:rFonts w:ascii="Times New Roman" w:cs="Times New Roman" w:eastAsia="Times New Roman" w:hAnsi="Times New Roman"/>
          <w:sz w:val="14"/>
          <w:szCs w:val="14"/>
          <w:color w:val="auto"/>
        </w:rPr>
      </w:pPr>
    </w:p>
    <w:p>
      <w:pPr>
        <w:ind w:left="3" w:firstLine="510"/>
        <w:spacing w:after="0" w:line="289" w:lineRule="auto"/>
        <w:tabs>
          <w:tab w:leader="none" w:pos="795"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electronic transfer by the Corporation of shares of Common Stock through the Depository Trust Company or another established clearing corporation is no longer available or is subject to a “chill”;</w:t>
      </w:r>
    </w:p>
    <w:p>
      <w:pPr>
        <w:spacing w:after="0" w:line="124" w:lineRule="exact"/>
        <w:rPr>
          <w:rFonts w:ascii="Times New Roman" w:cs="Times New Roman" w:eastAsia="Times New Roman" w:hAnsi="Times New Roman"/>
          <w:sz w:val="14"/>
          <w:szCs w:val="14"/>
          <w:color w:val="auto"/>
        </w:rPr>
      </w:pPr>
    </w:p>
    <w:p>
      <w:pPr>
        <w:ind w:left="823" w:hanging="310"/>
        <w:spacing w:after="0"/>
        <w:tabs>
          <w:tab w:leader="none" w:pos="823"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have occurred a Payables Litigation and such Payables Litigation shall remain unvacated, unbonded, and unstayed for a period of 45 days;</w:t>
      </w:r>
    </w:p>
    <w:p>
      <w:pPr>
        <w:spacing w:after="0" w:line="180" w:lineRule="exact"/>
        <w:rPr>
          <w:rFonts w:ascii="Times New Roman" w:cs="Times New Roman" w:eastAsia="Times New Roman" w:hAnsi="Times New Roman"/>
          <w:sz w:val="14"/>
          <w:szCs w:val="14"/>
          <w:color w:val="auto"/>
        </w:rPr>
      </w:pPr>
    </w:p>
    <w:p>
      <w:pPr>
        <w:ind w:left="3" w:firstLine="510"/>
        <w:spacing w:after="0" w:line="289" w:lineRule="auto"/>
        <w:tabs>
          <w:tab w:leader="none" w:pos="84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shall fail to comply with the reporting requirements of the Exchange Act or shall cease to be subject to the reporting requirements of the Exchange Act, subject to allowances permitted under Rule 12b-25 thereunder;</w:t>
      </w:r>
    </w:p>
    <w:p>
      <w:pPr>
        <w:spacing w:after="0" w:line="124" w:lineRule="exact"/>
        <w:rPr>
          <w:rFonts w:ascii="Times New Roman" w:cs="Times New Roman" w:eastAsia="Times New Roman" w:hAnsi="Times New Roman"/>
          <w:sz w:val="14"/>
          <w:szCs w:val="14"/>
          <w:color w:val="auto"/>
        </w:rPr>
      </w:pPr>
    </w:p>
    <w:p>
      <w:pPr>
        <w:ind w:left="783" w:hanging="270"/>
        <w:spacing w:after="0"/>
        <w:tabs>
          <w:tab w:leader="none" w:pos="783"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Intentionally Omitted.</w:t>
      </w:r>
    </w:p>
    <w:p>
      <w:pPr>
        <w:spacing w:after="0" w:line="180" w:lineRule="exact"/>
        <w:rPr>
          <w:rFonts w:ascii="Times New Roman" w:cs="Times New Roman" w:eastAsia="Times New Roman" w:hAnsi="Times New Roman"/>
          <w:sz w:val="14"/>
          <w:szCs w:val="14"/>
          <w:color w:val="auto"/>
        </w:rPr>
      </w:pPr>
    </w:p>
    <w:p>
      <w:pPr>
        <w:ind w:left="823" w:hanging="310"/>
        <w:spacing w:after="0"/>
        <w:tabs>
          <w:tab w:leader="none" w:pos="823"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Commission or judicial stop trade order or suspension from the principal Trading Market;</w:t>
      </w:r>
    </w:p>
    <w:p>
      <w:pPr>
        <w:spacing w:after="0" w:line="180" w:lineRule="exact"/>
        <w:rPr>
          <w:rFonts w:ascii="Times New Roman" w:cs="Times New Roman" w:eastAsia="Times New Roman" w:hAnsi="Times New Roman"/>
          <w:sz w:val="14"/>
          <w:szCs w:val="14"/>
          <w:color w:val="auto"/>
        </w:rPr>
      </w:pPr>
    </w:p>
    <w:p>
      <w:pPr>
        <w:ind w:left="3" w:firstLine="510"/>
        <w:spacing w:after="0" w:line="289" w:lineRule="auto"/>
        <w:tabs>
          <w:tab w:leader="none" w:pos="87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cessation of operations by the Corporation or the Corporation admits it is otherwise generally unable to pay its debts as such debts become due; provided, however, that any disclosure of the Corporation’s ability to continue as a “going concern” shall not be an admission that the Corporation cannot pay its debts as they become due;</w:t>
      </w:r>
    </w:p>
    <w:p>
      <w:pPr>
        <w:spacing w:after="0" w:line="124" w:lineRule="exact"/>
        <w:rPr>
          <w:rFonts w:ascii="Times New Roman" w:cs="Times New Roman" w:eastAsia="Times New Roman" w:hAnsi="Times New Roman"/>
          <w:sz w:val="14"/>
          <w:szCs w:val="14"/>
          <w:color w:val="auto"/>
        </w:rPr>
      </w:pPr>
    </w:p>
    <w:p>
      <w:pPr>
        <w:jc w:val="both"/>
        <w:ind w:left="3" w:firstLine="510"/>
        <w:spacing w:after="0" w:line="272" w:lineRule="auto"/>
        <w:tabs>
          <w:tab w:leader="none" w:pos="909"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restatement of any financial statements filed by the Corporation with the Commission for any date or period from two years prior to the Original Issue Date and until no shares of Preferred Stock remain outstanding, if the result of such restatement would, by comparison to the unrestated financial statements, have constituted a Material Adverse Effect; provided that any restatement related to new accounting pronouncements shall not constitute a Triggering Event under this clause;</w:t>
      </w:r>
    </w:p>
    <w:p>
      <w:pPr>
        <w:spacing w:after="0" w:line="135" w:lineRule="exact"/>
        <w:rPr>
          <w:rFonts w:ascii="Times New Roman" w:cs="Times New Roman" w:eastAsia="Times New Roman" w:hAnsi="Times New Roman"/>
          <w:sz w:val="14"/>
          <w:szCs w:val="14"/>
          <w:color w:val="auto"/>
        </w:rPr>
      </w:pPr>
    </w:p>
    <w:p>
      <w:pPr>
        <w:jc w:val="both"/>
        <w:ind w:left="3" w:firstLine="510"/>
        <w:spacing w:after="0" w:line="266" w:lineRule="auto"/>
        <w:tabs>
          <w:tab w:leader="none" w:pos="835"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provision of any Transaction Document shall at any time for any reason (other than pursuant to the express terms thereof) cease to be valid and binding on or enforceable against the Corporation, or the validity or enforceability thereof shall be contested by the Corporation, or a proceeding shall be commenced by the Corporation or any governmental authority having jurisdiction over the Corporation or any Holder seeking to establish the invalidity or unenforceability thereof, or the Corporation shall deny in writing that it has any liability or obligation purported to be created under any Transaction Document; or</w:t>
      </w:r>
    </w:p>
    <w:p>
      <w:pPr>
        <w:spacing w:after="0" w:line="139" w:lineRule="exact"/>
        <w:rPr>
          <w:rFonts w:ascii="Times New Roman" w:cs="Times New Roman" w:eastAsia="Times New Roman" w:hAnsi="Times New Roman"/>
          <w:sz w:val="14"/>
          <w:szCs w:val="14"/>
          <w:color w:val="auto"/>
        </w:rPr>
      </w:pPr>
    </w:p>
    <w:p>
      <w:pPr>
        <w:jc w:val="both"/>
        <w:ind w:left="3" w:firstLine="510"/>
        <w:spacing w:after="0" w:line="272" w:lineRule="auto"/>
        <w:tabs>
          <w:tab w:leader="none" w:pos="791"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by the Corporation to apply the proceeds of any Subsequent Financing in accordance with Section 9(e) within the time period specified therein; (xxi) the failure by the Corporation or any material Subsidiary to maintain any material intellectual property rights, personal property, real property, equipment, leases or other assets which are necessary to conduct its business (whether now or in the future), and such failure is not cured within thirty (30) days after written notice to the Corporation from the Holder.</w:t>
      </w:r>
    </w:p>
    <w:p>
      <w:pPr>
        <w:spacing w:after="0" w:line="133" w:lineRule="exact"/>
        <w:rPr>
          <w:rFonts w:ascii="Times New Roman" w:cs="Times New Roman" w:eastAsia="Times New Roman" w:hAnsi="Times New Roman"/>
          <w:sz w:val="14"/>
          <w:szCs w:val="14"/>
          <w:color w:val="auto"/>
        </w:rPr>
      </w:pPr>
    </w:p>
    <w:p>
      <w:pPr>
        <w:jc w:val="both"/>
        <w:ind w:left="-517" w:firstLine="517"/>
        <w:spacing w:after="0" w:line="260" w:lineRule="auto"/>
        <w:tabs>
          <w:tab w:leader="none" w:pos="19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Triggering Event Remedies</w:t>
      </w:r>
      <w:r>
        <w:rPr>
          <w:rFonts w:ascii="Times New Roman" w:cs="Times New Roman" w:eastAsia="Times New Roman" w:hAnsi="Times New Roman"/>
          <w:sz w:val="14"/>
          <w:szCs w:val="14"/>
          <w:color w:val="auto"/>
        </w:rPr>
        <w:t>. Upon the occurrence of a Triggering Event, in addition to all other rights each Holder may have hereunder or under applicable law, at the sole option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Holder, each Holder shall have the right to require the Corporation to redeem all of the Preferred Stock then held by such Holder for a redemption price, in cash, equal to the Triggering Redemption Amount. If elected by the Holder, the Triggering Redemption Amount, in cash, shall be due and payable within five Trading Days of the date on which the notice for the payment therefor is provided by a Holder (the “Triggering Redemption Payment Date”). If the Corporation fails to pay in full the Triggering Redemption Amount hereunder on the date such amount is due in accordance with this Section, the Corporation will pay interest thereon at a rate equal to the lesser of 12% per annum or the maximum rate permitted by applicable law, accruing daily from such date until the Triggering Redemption Amount, plus all such interest thereon, is paid in full. For purposes of this Section, a share of Preferred Stock is outstanding until such date as the applicable Holder shall have received Conversion Shares upon a conversion (or attempted conversion) thereof that meets the requirements hereof or has been paid the Triggering Redemption Amount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210820</wp:posOffset>
            </wp:positionV>
            <wp:extent cx="716089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3"/>
          </w:cols>
          <w:pgMar w:left="817" w:top="573" w:right="319" w:bottom="1440" w:gutter="0" w:footer="0" w:header="0"/>
        </w:sectPr>
      </w:pPr>
    </w:p>
    <w:bookmarkStart w:id="185" w:name="page186"/>
    <w:bookmarkEnd w:id="185"/>
    <w:p>
      <w:pPr>
        <w:jc w:val="both"/>
        <w:ind w:firstLine="517"/>
        <w:spacing w:after="0" w:line="259" w:lineRule="auto"/>
        <w:tabs>
          <w:tab w:leader="none" w:pos="71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Liquidated Damages Upon Triggering Event</w:t>
      </w:r>
      <w:r>
        <w:rPr>
          <w:rFonts w:ascii="Times New Roman" w:cs="Times New Roman" w:eastAsia="Times New Roman" w:hAnsi="Times New Roman"/>
          <w:sz w:val="14"/>
          <w:szCs w:val="14"/>
          <w:color w:val="auto"/>
        </w:rPr>
        <w:t>. Upon the occurrence of any Triggering Event (other than a Triggering Event arising solely from the Holder’s election of redemption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pursuant to Section 7(f)), the Corporation shall, as liquidated damages and not as a penalty, pay to each Holder an amount in cash equal to $250,000 (the “Triggering Event Liquidated Damages”) within five (5) Trading Days of the occurrence of such Triggering Event (the “Liquidated Damages Payment Date”). The parties acknowledge and agree that the damages resulting from a Triggering Event would be difficult to ascertain and that the Triggering Event Liquidated Damages represent a reasonable estimate of such damages. If the Corporation fails to pay the full amount of the Triggering Event Liquidated Damages to a Holder by the Liquidated Damages Payment Date, then such unpaid amount shall accrue interest at the rate of two percent (2%) per month (or such lesser rate as is the maximum rate permitted by applicable law), compounding monthly, from the Liquidated Damages Payment Date until the date of actual payment in full. The payment of the Triggering Event Liquidated Damages shall not relieve the Corporation of any of its other obligations hereunder, including without limitation any obligation to pay the Triggering Redemption Amount, and each Holder shall retain all other rights and remedies available to it hereunder or under applicable law.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11. Miscellaneous</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jc w:val="both"/>
        <w:ind w:firstLine="517"/>
        <w:spacing w:after="0" w:line="267" w:lineRule="auto"/>
        <w:tabs>
          <w:tab w:leader="none" w:pos="705"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Notices</w:t>
      </w:r>
      <w:r>
        <w:rPr>
          <w:rFonts w:ascii="Times New Roman" w:cs="Times New Roman" w:eastAsia="Times New Roman" w:hAnsi="Times New Roman"/>
          <w:sz w:val="14"/>
          <w:szCs w:val="14"/>
          <w:color w:val="auto"/>
        </w:rPr>
        <w:t>. Any and all notices or other communications or deliveries to be provided by the Holders hereunder including, without limitation, any Notice of Conversion, and any and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notices or other communications or deliveries to be provided by the Corporation hereunder, shall be governed exclusively by the notice provisions set forth in Section 5.4 of the Purchase Agreement, which are hereby incorporated by reference as if set forth herein in full, including with respect to permitted methods of delivery, timing, effectiveness, addresses and electronic service. In the event of any inconsistency between the notice provisions of this Certificate of Designation and the Purchase Agreement, the Purchase Agreement shall control.</w:t>
      </w:r>
    </w:p>
    <w:p>
      <w:pPr>
        <w:spacing w:after="0" w:line="137" w:lineRule="exact"/>
        <w:rPr>
          <w:rFonts w:ascii="Times New Roman" w:cs="Times New Roman" w:eastAsia="Times New Roman" w:hAnsi="Times New Roman"/>
          <w:sz w:val="14"/>
          <w:szCs w:val="14"/>
          <w:color w:val="auto"/>
        </w:rPr>
      </w:pPr>
    </w:p>
    <w:p>
      <w:pPr>
        <w:jc w:val="both"/>
        <w:ind w:firstLine="517"/>
        <w:spacing w:after="0" w:line="273" w:lineRule="auto"/>
        <w:tabs>
          <w:tab w:leader="none" w:pos="713"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Absolute Obligation</w:t>
      </w:r>
      <w:r>
        <w:rPr>
          <w:rFonts w:ascii="Times New Roman" w:cs="Times New Roman" w:eastAsia="Times New Roman" w:hAnsi="Times New Roman"/>
          <w:sz w:val="14"/>
          <w:szCs w:val="14"/>
          <w:color w:val="auto"/>
        </w:rPr>
        <w:t>. Except as expressly provided herein, no provision of this Certificate of Designation shall alter or impair the obligation of the Corporation, which is absolute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unconditional, to pay liquidated damages, accrued dividends and accrued interest, as applicable, on the shares of Preferred Stock at the time, place, and rate, and in the coin or currency, herein prescribed.</w:t>
      </w:r>
    </w:p>
    <w:p>
      <w:pPr>
        <w:spacing w:after="0" w:line="133" w:lineRule="exact"/>
        <w:rPr>
          <w:rFonts w:ascii="Times New Roman" w:cs="Times New Roman" w:eastAsia="Times New Roman" w:hAnsi="Times New Roman"/>
          <w:sz w:val="14"/>
          <w:szCs w:val="14"/>
          <w:color w:val="auto"/>
        </w:rPr>
      </w:pPr>
    </w:p>
    <w:p>
      <w:pPr>
        <w:jc w:val="both"/>
        <w:ind w:firstLine="517"/>
        <w:spacing w:after="0" w:line="270" w:lineRule="auto"/>
        <w:tabs>
          <w:tab w:leader="none" w:pos="71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Lost or Mutilated Preferred Stock Certificate</w:t>
      </w:r>
      <w:r>
        <w:rPr>
          <w:rFonts w:ascii="Times New Roman" w:cs="Times New Roman" w:eastAsia="Times New Roman" w:hAnsi="Times New Roman"/>
          <w:sz w:val="14"/>
          <w:szCs w:val="14"/>
          <w:color w:val="auto"/>
        </w:rPr>
        <w:t>. If a Holder’s Preferred Stock certificate shall be mutilated, lost, stolen or destroyed, the Corporation shall execute and deliver,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spacing w:after="0" w:line="310" w:lineRule="exact"/>
        <w:rPr>
          <w:rFonts w:ascii="Times New Roman" w:cs="Times New Roman" w:eastAsia="Times New Roman" w:hAnsi="Times New Roman"/>
          <w:sz w:val="14"/>
          <w:szCs w:val="14"/>
          <w:color w:val="auto"/>
        </w:rPr>
      </w:pPr>
    </w:p>
    <w:p>
      <w:pPr>
        <w:jc w:val="both"/>
        <w:ind w:firstLine="517"/>
        <w:spacing w:after="0" w:line="267" w:lineRule="auto"/>
        <w:tabs>
          <w:tab w:leader="none" w:pos="724"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Governing Law; Dispute Resolution</w:t>
      </w:r>
      <w:r>
        <w:rPr>
          <w:rFonts w:ascii="Times New Roman" w:cs="Times New Roman" w:eastAsia="Times New Roman" w:hAnsi="Times New Roman"/>
          <w:sz w:val="14"/>
          <w:szCs w:val="14"/>
          <w:color w:val="auto"/>
        </w:rPr>
        <w:t>. All matters concerning governing law, jurisdiction, venue, service of process, waiver of jury trial, and dispute resolution with respect to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 of Designation or any of the Transaction Documents shall be governed exclusively by the corresponding provisions set forth in Section 5.9 of the Purchase Agreement, which are hereby incorporated by reference as if set forth herein in full. In the event of any inconsistency between the provisions of this Certificate of Designation and the Purchase Agreement with respect to any of the foregoing matters, the Purchase Agreement shall control.</w:t>
      </w:r>
    </w:p>
    <w:p>
      <w:pPr>
        <w:spacing w:after="0" w:line="137" w:lineRule="exact"/>
        <w:rPr>
          <w:rFonts w:ascii="Times New Roman" w:cs="Times New Roman" w:eastAsia="Times New Roman" w:hAnsi="Times New Roman"/>
          <w:sz w:val="14"/>
          <w:szCs w:val="14"/>
          <w:color w:val="auto"/>
        </w:rPr>
      </w:pPr>
    </w:p>
    <w:p>
      <w:pPr>
        <w:jc w:val="both"/>
        <w:ind w:firstLine="517"/>
        <w:spacing w:after="0" w:line="267" w:lineRule="auto"/>
        <w:tabs>
          <w:tab w:leader="none" w:pos="705"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Waiver</w:t>
      </w:r>
      <w:r>
        <w:rPr>
          <w:rFonts w:ascii="Times New Roman" w:cs="Times New Roman" w:eastAsia="Times New Roman" w:hAnsi="Times New Roman"/>
          <w:sz w:val="14"/>
          <w:szCs w:val="14"/>
          <w:color w:val="auto"/>
        </w:rPr>
        <w:t>. Any waiver by the Corporation or a Holder of a breach of any provision of this Certificate of Designation shall not operate as or be construed to be a waiver of any other breach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6089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86" w:name="page187"/>
    <w:bookmarkEnd w:id="186"/>
    <w:p>
      <w:pPr>
        <w:jc w:val="both"/>
        <w:ind w:firstLine="517"/>
        <w:spacing w:after="0" w:line="270" w:lineRule="auto"/>
        <w:tabs>
          <w:tab w:leader="none" w:pos="7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Severability</w:t>
      </w:r>
      <w:r>
        <w:rPr>
          <w:rFonts w:ascii="Times New Roman" w:cs="Times New Roman" w:eastAsia="Times New Roman" w:hAnsi="Times New Roman"/>
          <w:sz w:val="14"/>
          <w:szCs w:val="14"/>
          <w:color w:val="auto"/>
        </w:rPr>
        <w:t>. If any provision of this Certificate of Designation is invalid, illegal or unenforceable, the balance of this Certificate of Designation shall remain in effect, and if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310" w:lineRule="exact"/>
        <w:rPr>
          <w:rFonts w:ascii="Times New Roman" w:cs="Times New Roman" w:eastAsia="Times New Roman" w:hAnsi="Times New Roman"/>
          <w:sz w:val="14"/>
          <w:szCs w:val="14"/>
          <w:color w:val="auto"/>
        </w:rPr>
      </w:pPr>
    </w:p>
    <w:p>
      <w:pPr>
        <w:ind w:left="720" w:hanging="203"/>
        <w:spacing w:after="0"/>
        <w:tabs>
          <w:tab w:leader="none" w:pos="7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Next Business Day</w:t>
      </w:r>
      <w:r>
        <w:rPr>
          <w:rFonts w:ascii="Times New Roman" w:cs="Times New Roman" w:eastAsia="Times New Roman" w:hAnsi="Times New Roman"/>
          <w:sz w:val="14"/>
          <w:szCs w:val="14"/>
          <w:color w:val="auto"/>
        </w:rPr>
        <w:t>. Whenever any payment or other obligation hereunder shall be due on a day other than a Business Day, such payment shall be made on the next succeeding Business</w:t>
      </w:r>
    </w:p>
    <w:p>
      <w:pPr>
        <w:spacing w:after="0" w:line="2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w:t>
      </w:r>
    </w:p>
    <w:p>
      <w:pPr>
        <w:spacing w:after="0" w:line="164" w:lineRule="exact"/>
        <w:rPr>
          <w:rFonts w:ascii="Times New Roman" w:cs="Times New Roman" w:eastAsia="Times New Roman" w:hAnsi="Times New Roman"/>
          <w:sz w:val="14"/>
          <w:szCs w:val="14"/>
          <w:color w:val="auto"/>
        </w:rPr>
      </w:pPr>
    </w:p>
    <w:p>
      <w:pPr>
        <w:ind w:firstLine="517"/>
        <w:spacing w:after="0" w:line="292" w:lineRule="auto"/>
        <w:tabs>
          <w:tab w:leader="none" w:pos="724"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Headings</w:t>
      </w:r>
      <w:r>
        <w:rPr>
          <w:rFonts w:ascii="Times New Roman" w:cs="Times New Roman" w:eastAsia="Times New Roman" w:hAnsi="Times New Roman"/>
          <w:sz w:val="14"/>
          <w:szCs w:val="14"/>
          <w:color w:val="auto"/>
        </w:rPr>
        <w:t>. The headings contained herein are for convenience only, do not constitute a part of this Certificate of Designation and shall not be deemed to limit or affect any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provisions hereof.</w:t>
      </w:r>
    </w:p>
    <w:p>
      <w:pPr>
        <w:spacing w:after="0" w:line="120" w:lineRule="exact"/>
        <w:rPr>
          <w:rFonts w:ascii="Times New Roman" w:cs="Times New Roman" w:eastAsia="Times New Roman" w:hAnsi="Times New Roman"/>
          <w:sz w:val="14"/>
          <w:szCs w:val="14"/>
          <w:color w:val="auto"/>
        </w:rPr>
      </w:pPr>
    </w:p>
    <w:p>
      <w:pPr>
        <w:jc w:val="both"/>
        <w:ind w:firstLine="517"/>
        <w:spacing w:after="0" w:line="273" w:lineRule="auto"/>
        <w:tabs>
          <w:tab w:leader="none" w:pos="69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Status of Converted or Redeemed Preferred Stock</w:t>
      </w:r>
      <w:r>
        <w:rPr>
          <w:rFonts w:ascii="Times New Roman" w:cs="Times New Roman" w:eastAsia="Times New Roman" w:hAnsi="Times New Roman"/>
          <w:sz w:val="14"/>
          <w:szCs w:val="14"/>
          <w:color w:val="auto"/>
        </w:rPr>
        <w:t>. Shares of Preferred Stock may only be issued pursuant to the Purchase Agreement. If any shares of Preferred Stock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converted, redeemed or reacquired by the Corporation, such shares shall resume the status of authorized but unissued shares of preferred stock and shall no longer be designated as Series A 10% Convertible Preferred Stock.</w:t>
      </w:r>
    </w:p>
    <w:p>
      <w:pPr>
        <w:spacing w:after="0" w:line="133" w:lineRule="exact"/>
        <w:rPr>
          <w:rFonts w:ascii="Times New Roman" w:cs="Times New Roman" w:eastAsia="Times New Roman" w:hAnsi="Times New Roman"/>
          <w:sz w:val="14"/>
          <w:szCs w:val="14"/>
          <w:color w:val="auto"/>
        </w:rPr>
      </w:pPr>
    </w:p>
    <w:p>
      <w:pPr>
        <w:jc w:val="both"/>
        <w:ind w:firstLine="517"/>
        <w:spacing w:after="0" w:line="260" w:lineRule="auto"/>
        <w:tabs>
          <w:tab w:leader="none" w:pos="68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Listing Cure</w:t>
      </w:r>
      <w:r>
        <w:rPr>
          <w:rFonts w:ascii="Times New Roman" w:cs="Times New Roman" w:eastAsia="Times New Roman" w:hAnsi="Times New Roman"/>
          <w:sz w:val="14"/>
          <w:szCs w:val="14"/>
          <w:color w:val="auto"/>
        </w:rPr>
        <w:t>. If at any time after the Original Issue Date the Corporation has received written notice from the Trading Market that the Corporation is not in compliance with a continued-listing standard relating to market value of listed securities, market value of publicly held shares, or stockholders’ equity (a “Listing Deficiency”), and the Preferred Stock is then classified as a liability rather than equity for accounting purposes under U.S. generally accepted accounting principles, then upon written request from the Corporation the Holder shall cooperate in good faith to (i) amend this Certificate of Designation in a manner reasonably sufficient to achieve equity classification of the Preferred Stock for accounting purposes, or (ii) if such reclassification is not reasonably feasible, accept the cancellation, exchange, or repurchase of the Preferred Stock (in whole or in part) on terms designed to preserve the Holder’s economic position to the extent reasonably practicable, in each case as necessary to cure such Listing Deficiency. For the avoidance of doubt, this Section 11(j) shall not apply unless and until a Listing Deficiency, as defined above, has been received in writing by the Corporation from the Trading Market and is then continuing.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232410</wp:posOffset>
            </wp:positionV>
            <wp:extent cx="716089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87" w:name="page188"/>
    <w:bookmarkEnd w:id="187"/>
    <w:p>
      <w:pPr>
        <w:spacing w:after="0" w:line="289" w:lineRule="auto"/>
        <w:rPr>
          <w:sz w:val="20"/>
          <w:szCs w:val="20"/>
          <w:color w:val="auto"/>
        </w:rPr>
      </w:pPr>
      <w:r>
        <w:rPr>
          <w:rFonts w:ascii="Times New Roman" w:cs="Times New Roman" w:eastAsia="Times New Roman" w:hAnsi="Times New Roman"/>
          <w:sz w:val="14"/>
          <w:szCs w:val="14"/>
          <w:color w:val="auto"/>
        </w:rPr>
        <w:t>RESOLVED, FURTHER, that the Chairman, the president or any vice-president, and the secretary or any assistant secretary, of the Corporation be and they hereby are authorized and directed to prepare and file this Certificate of Designation of Preferences, Rights and Limitations in accordance with the foregoing resolution and the provisions of Delaware law.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the undersigned have executed this Certificate as of May 19,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Keyvan Samini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Keyvan Samini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358394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8">
                      <a:extLst>
                        <a:ext uri="{28A0092B-C50C-407E-A947-70E740481C1C}"/>
                      </a:extLst>
                    </a:blip>
                    <a:srcRect/>
                    <a:stretch>
                      <a:fillRect/>
                    </a:stretch>
                  </pic:blipFill>
                  <pic:spPr bwMode="auto">
                    <a:xfrm>
                      <a:off x="0" y="0"/>
                      <a:ext cx="3583940" cy="69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President, CFO and Acting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16089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4"/>
          <w:szCs w:val="14"/>
          <w:b w:val="1"/>
          <w:bCs w:val="1"/>
          <w:color w:val="auto"/>
        </w:rPr>
        <w:t>ANNEX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CONVERSION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(To be Executed by the Registered Holder in order to Convert Shares of Preferred Stock)</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undersigned hereby elects to convert the number of shares of Series A 10% Convertible Preferred Stock indicated below into shares of common stock, par value $0.00001 per share (the “Common Stock”), of Mobix Labs, Inc., a Delaware corporation (the “Corporation”), according to the conditions hereof, as of the date written below. If shares of Common Stock are to be issued in the name of a Person other than the undersigned, the undersigned will pay all transfer taxes payable with respect thereto. No fee will be charged to the Holders for any conversion, except for any such transfer taxes.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calculations: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to Effect Conversion: ________________________________________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Preferred Stock owned prior to Conversion: 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Preferred Stock to be Converted: 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Stated Value of shares of Preferred Stock to be Converted: $ 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Dividends Included in Conversion Amount: $ 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Common Stock to be Issued: 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Applicable Conversion Price: $ _____________________________________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Preferred Stock subsequent to Conversion: 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 for Delivery: ____________________________________________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DWAC Instructions:</w:t>
      </w:r>
    </w:p>
    <w:p>
      <w:pPr>
        <w:spacing w:after="0" w:line="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Broker no: __________</w:t>
      </w:r>
    </w:p>
    <w:p>
      <w:pPr>
        <w:spacing w:after="0" w:line="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Account no: 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_________________________________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16089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1991995" cy="3251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1">
                      <a:extLst>
                        <a:ext uri="{28A0092B-C50C-407E-A947-70E740481C1C}"/>
                      </a:extLst>
                    </a:blip>
                    <a:srcRect/>
                    <a:stretch>
                      <a:fillRect/>
                    </a:stretch>
                  </pic:blipFill>
                  <pic:spPr bwMode="auto">
                    <a:xfrm>
                      <a:off x="0" y="0"/>
                      <a:ext cx="1991995" cy="32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18,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Mobix Labs, Inc.</w:t>
      </w:r>
    </w:p>
    <w:p>
      <w:pPr>
        <w:spacing w:after="0" w:line="24" w:lineRule="exact"/>
        <w:rPr>
          <w:sz w:val="20"/>
          <w:szCs w:val="20"/>
          <w:color w:val="auto"/>
        </w:rPr>
      </w:pPr>
    </w:p>
    <w:p>
      <w:pPr>
        <w:jc w:val="both"/>
        <w:ind w:right="10280" w:firstLine="5"/>
        <w:spacing w:after="0" w:line="261" w:lineRule="auto"/>
        <w:tabs>
          <w:tab w:leader="none" w:pos="10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Venture, Suite 220 Irvine, CA 92618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Re:</w:t>
            </w: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Mobix Labs, Inc.</w:t>
            </w:r>
          </w:p>
        </w:tc>
      </w:tr>
      <w:tr>
        <w:trPr>
          <w:trHeight w:val="153"/>
        </w:trPr>
        <w:tc>
          <w:tcPr>
            <w:tcW w:w="520" w:type="dxa"/>
            <w:vAlign w:val="bottom"/>
          </w:tcPr>
          <w:p>
            <w:pPr>
              <w:spacing w:after="0"/>
              <w:rPr>
                <w:sz w:val="13"/>
                <w:szCs w:val="13"/>
                <w:color w:val="auto"/>
              </w:rPr>
            </w:pPr>
          </w:p>
        </w:tc>
        <w:tc>
          <w:tcPr>
            <w:tcW w:w="206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Registration Statement on Form S-1</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80" w:lineRule="exact"/>
        <w:rPr>
          <w:sz w:val="20"/>
          <w:szCs w:val="20"/>
          <w:color w:val="auto"/>
        </w:rPr>
      </w:pPr>
    </w:p>
    <w:p>
      <w:pPr>
        <w:jc w:val="both"/>
        <w:ind w:firstLine="512"/>
        <w:spacing w:after="0" w:line="258" w:lineRule="auto"/>
        <w:rPr>
          <w:sz w:val="20"/>
          <w:szCs w:val="20"/>
          <w:color w:val="auto"/>
        </w:rPr>
      </w:pPr>
      <w:r>
        <w:rPr>
          <w:rFonts w:ascii="Times New Roman" w:cs="Times New Roman" w:eastAsia="Times New Roman" w:hAnsi="Times New Roman"/>
          <w:sz w:val="14"/>
          <w:szCs w:val="14"/>
          <w:color w:val="auto"/>
        </w:rPr>
        <w:t>We have acted as counsel to Mobix Labs,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in connection with the filing of the Registration Statement on Form S-1 (the “</w:t>
      </w:r>
      <w:r>
        <w:rPr>
          <w:rFonts w:ascii="Times New Roman" w:cs="Times New Roman" w:eastAsia="Times New Roman" w:hAnsi="Times New Roman"/>
          <w:sz w:val="14"/>
          <w:szCs w:val="14"/>
          <w:u w:val="single" w:color="auto"/>
          <w:color w:val="auto"/>
        </w:rPr>
        <w:t>Registration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Statement</w:t>
      </w:r>
      <w:r>
        <w:rPr>
          <w:rFonts w:ascii="Times New Roman" w:cs="Times New Roman" w:eastAsia="Times New Roman" w:hAnsi="Times New Roman"/>
          <w:sz w:val="14"/>
          <w:szCs w:val="14"/>
          <w:color w:val="auto"/>
        </w:rPr>
        <w:t>”) including the related prospectus contained therein and forming a part thereof (the “</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The Registration Statement relates to the offer and resale by the selling securityholders named therein of up to 3,744,161 shares of the Company’s Class A common stock, par value $0.00001 per share (the “</w:t>
      </w:r>
      <w:r>
        <w:rPr>
          <w:rFonts w:ascii="Times New Roman" w:cs="Times New Roman" w:eastAsia="Times New Roman" w:hAnsi="Times New Roman"/>
          <w:sz w:val="14"/>
          <w:szCs w:val="14"/>
          <w:u w:val="single" w:color="auto"/>
          <w:color w:val="auto"/>
        </w:rPr>
        <w:t>Class A Common Stock</w:t>
      </w:r>
      <w:r>
        <w:rPr>
          <w:rFonts w:ascii="Times New Roman" w:cs="Times New Roman" w:eastAsia="Times New Roman" w:hAnsi="Times New Roman"/>
          <w:sz w:val="14"/>
          <w:szCs w:val="14"/>
          <w:color w:val="auto"/>
        </w:rPr>
        <w:t>”), consisting of up to: (a) 2,000,000 shares issuable to an investor (i) upon the conversion of 2,000 shares of Series A 10% Convertible Preferred Stock and 6,000 shares of Series A 10% Convertible Preferred Stock issuable upon exercise of a Preferred Stock Purchase Warrant (the “</w:t>
      </w:r>
      <w:r>
        <w:rPr>
          <w:rFonts w:ascii="Times New Roman" w:cs="Times New Roman" w:eastAsia="Times New Roman" w:hAnsi="Times New Roman"/>
          <w:sz w:val="14"/>
          <w:szCs w:val="14"/>
          <w:u w:val="single" w:color="auto"/>
          <w:color w:val="auto"/>
        </w:rPr>
        <w:t>Preferred Warrant</w:t>
      </w:r>
      <w:r>
        <w:rPr>
          <w:rFonts w:ascii="Times New Roman" w:cs="Times New Roman" w:eastAsia="Times New Roman" w:hAnsi="Times New Roman"/>
          <w:sz w:val="14"/>
          <w:szCs w:val="14"/>
          <w:color w:val="auto"/>
        </w:rPr>
        <w:t>”), (the shares of Class A Common Stock issuable upon conversion of the Series A 10% Convertible Preferred stock issued and underlying the Preferred Warrant, the “</w:t>
      </w:r>
      <w:r>
        <w:rPr>
          <w:rFonts w:ascii="Times New Roman" w:cs="Times New Roman" w:eastAsia="Times New Roman" w:hAnsi="Times New Roman"/>
          <w:sz w:val="14"/>
          <w:szCs w:val="14"/>
          <w:u w:val="single" w:color="auto"/>
          <w:color w:val="auto"/>
        </w:rPr>
        <w:t>Preferred Shares</w:t>
      </w:r>
      <w:r>
        <w:rPr>
          <w:rFonts w:ascii="Times New Roman" w:cs="Times New Roman" w:eastAsia="Times New Roman" w:hAnsi="Times New Roman"/>
          <w:sz w:val="14"/>
          <w:szCs w:val="14"/>
          <w:color w:val="auto"/>
        </w:rPr>
        <w:t>”), and (ii) shares issuable to an investor in connection with the issuance of the Series A 10% Convertible Preferred Stock (the “</w:t>
      </w:r>
      <w:r>
        <w:rPr>
          <w:rFonts w:ascii="Times New Roman" w:cs="Times New Roman" w:eastAsia="Times New Roman" w:hAnsi="Times New Roman"/>
          <w:sz w:val="14"/>
          <w:szCs w:val="14"/>
          <w:u w:val="single" w:color="auto"/>
          <w:color w:val="auto"/>
        </w:rPr>
        <w:t>Extension Shares</w:t>
      </w:r>
      <w:r>
        <w:rPr>
          <w:rFonts w:ascii="Times New Roman" w:cs="Times New Roman" w:eastAsia="Times New Roman" w:hAnsi="Times New Roman"/>
          <w:sz w:val="14"/>
          <w:szCs w:val="14"/>
          <w:color w:val="auto"/>
        </w:rPr>
        <w:t>”), (b) 1,207,942 shares issued to lenders in satisfaction of outstanding debt (the “</w:t>
      </w:r>
      <w:r>
        <w:rPr>
          <w:rFonts w:ascii="Times New Roman" w:cs="Times New Roman" w:eastAsia="Times New Roman" w:hAnsi="Times New Roman"/>
          <w:sz w:val="14"/>
          <w:szCs w:val="14"/>
          <w:u w:val="single" w:color="auto"/>
          <w:color w:val="auto"/>
        </w:rPr>
        <w:t>Debt Exchange Shares</w:t>
      </w:r>
      <w:r>
        <w:rPr>
          <w:rFonts w:ascii="Times New Roman" w:cs="Times New Roman" w:eastAsia="Times New Roman" w:hAnsi="Times New Roman"/>
          <w:sz w:val="14"/>
          <w:szCs w:val="14"/>
          <w:color w:val="auto"/>
        </w:rPr>
        <w:t>”), (c) 71,267 shares issued in connection with the settlement of litigation (the “</w:t>
      </w:r>
      <w:r>
        <w:rPr>
          <w:rFonts w:ascii="Times New Roman" w:cs="Times New Roman" w:eastAsia="Times New Roman" w:hAnsi="Times New Roman"/>
          <w:sz w:val="14"/>
          <w:szCs w:val="14"/>
          <w:u w:val="single" w:color="auto"/>
          <w:color w:val="auto"/>
        </w:rPr>
        <w:t>Settlement Shares</w:t>
      </w:r>
      <w:r>
        <w:rPr>
          <w:rFonts w:ascii="Times New Roman" w:cs="Times New Roman" w:eastAsia="Times New Roman" w:hAnsi="Times New Roman"/>
          <w:sz w:val="14"/>
          <w:szCs w:val="14"/>
          <w:color w:val="auto"/>
        </w:rPr>
        <w:t>”), and (d) up to 464,952 shares issued as earnout shares in connection with our acquisition of RaGE Systems, Inc. (the “</w:t>
      </w:r>
      <w:r>
        <w:rPr>
          <w:rFonts w:ascii="Times New Roman" w:cs="Times New Roman" w:eastAsia="Times New Roman" w:hAnsi="Times New Roman"/>
          <w:sz w:val="14"/>
          <w:szCs w:val="14"/>
          <w:u w:val="single" w:color="auto"/>
          <w:color w:val="auto"/>
        </w:rPr>
        <w:t>Earnout Shares</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Preferred Shares, the Extension Shares, the Debt Exchange Shares, the Settlement Shares, and the Earnout Shares are collectively referred to as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jc w:val="both"/>
        <w:ind w:firstLine="512"/>
        <w:spacing w:after="0" w:line="257" w:lineRule="auto"/>
        <w:rPr>
          <w:sz w:val="20"/>
          <w:szCs w:val="20"/>
          <w:color w:val="auto"/>
        </w:rPr>
      </w:pPr>
      <w:r>
        <w:rPr>
          <w:rFonts w:ascii="Times New Roman" w:cs="Times New Roman" w:eastAsia="Times New Roman" w:hAnsi="Times New Roman"/>
          <w:sz w:val="14"/>
          <w:szCs w:val="14"/>
          <w:color w:val="auto"/>
        </w:rPr>
        <w:t>In rendering the opinions set forth below, we have reviewed such certificates, corporate and public records, agreements and instruments and other documents, including, among other things, the documents delivered in connection with the issuance of the Securities as of the date hereof, as we have deemed appropriate as a basis for the opinions expressed below. In all such examinations we have assumed the genuineness of all signatures, the authenticity of all documents, agreements and instruments submitted to us as originals, the conformity to original documents, agreements and instruments of all documents, agreements and instruments submitted to us as copies or specimens, the authenticity of the originals of such documents, agreements and instruments submitted to us as copies or specimens, the conformity of the text of each document filed with the Commission through the Commission’s Electronic Data Gathering, Analysis and Retrieval System to the printed document reviewed by us, the accuracy of the matters set forth in the documents, agreements and instruments we reviewed, and that such documents, agreements and instruments evidence the entire understanding between the parties thereto and have not been amended, modified or supplemented in any manner material to the opinions expressed herein. As to matters of fact relevant to the opinions expressed herein, we have relied upon, and assumed the accuracy of, the representations and warranties contained in the Registration Statement, and we have relied upon certificates and oral or written statements and other information obtained from the Company, the other parties to the transactions referenced herein, and public officials. Except as expressly set forth herein, we have not undertaken any independent investigation (including, without limitation, conducting any review, search or investigation of any public files, records or dockets) to determine the existence or absence of the facts that are material to our opinions, and no inference as to our knowledge concerning such facts should be drawn from our reliance on the representations of the Company and others in connection with the preparation and delivery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6089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90" w:name="page191"/>
    <w:bookmarkEnd w:id="190"/>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We have also assumed (x) the legal capacity of all natural persons and (y) (except to the extent expressly opined on herein) that all documents, agreements and instruments have been duly authorized, executed and delivered by all parties thereto, other than the Company, that all such parties are validly existing and in good standing under the laws of their respective jurisdictions of organization, that all such parties had the power and legal right to execute and deliver all such documents, agreements and instruments, and that such documents, agreements and instruments constitute the legal, valid and binding obligations of such parties, enforceable against such parties in accordance with their respective terms.</w:t>
      </w:r>
    </w:p>
    <w:p>
      <w:pPr>
        <w:spacing w:after="0" w:line="140" w:lineRule="exact"/>
        <w:rPr>
          <w:sz w:val="20"/>
          <w:szCs w:val="20"/>
          <w:color w:val="auto"/>
        </w:rPr>
      </w:pPr>
    </w:p>
    <w:p>
      <w:pPr>
        <w:jc w:val="both"/>
        <w:ind w:firstLine="512"/>
        <w:spacing w:after="0" w:line="289" w:lineRule="auto"/>
        <w:rPr>
          <w:sz w:val="20"/>
          <w:szCs w:val="20"/>
          <w:color w:val="auto"/>
        </w:rPr>
      </w:pPr>
      <w:r>
        <w:rPr>
          <w:rFonts w:ascii="Times New Roman" w:cs="Times New Roman" w:eastAsia="Times New Roman" w:hAnsi="Times New Roman"/>
          <w:sz w:val="14"/>
          <w:szCs w:val="14"/>
          <w:color w:val="auto"/>
        </w:rPr>
        <w:t>We express no opinion concerning the laws of any jurisdiction other than the federal laws of the United States of America, and the General Corporation Law of the State of Delaware, including the applicable provisions of the Delaware Constitution and the reported judicial decisions interpreting such law, in each case as currently in effect.</w:t>
      </w:r>
    </w:p>
    <w:p>
      <w:pPr>
        <w:spacing w:after="0" w:line="124" w:lineRule="exact"/>
        <w:rPr>
          <w:sz w:val="20"/>
          <w:szCs w:val="20"/>
          <w:color w:val="auto"/>
        </w:rPr>
      </w:pPr>
    </w:p>
    <w:p>
      <w:pPr>
        <w:jc w:val="both"/>
        <w:ind w:firstLine="512"/>
        <w:spacing w:after="0" w:line="266" w:lineRule="auto"/>
        <w:rPr>
          <w:sz w:val="20"/>
          <w:szCs w:val="20"/>
          <w:color w:val="auto"/>
        </w:rPr>
      </w:pPr>
      <w:r>
        <w:rPr>
          <w:rFonts w:ascii="Times New Roman" w:cs="Times New Roman" w:eastAsia="Times New Roman" w:hAnsi="Times New Roman"/>
          <w:sz w:val="14"/>
          <w:szCs w:val="14"/>
          <w:color w:val="auto"/>
        </w:rPr>
        <w:t>Based upon and subject to the foregoing, we are of the opinion that: (i) the Preferred Shares have been duly authorized, and when issued and delivered upon the valid conversion of the Series A 10% Convertible Preferred Stock in accordance with its Certificate of Designation, the Preferred Shares will be validly issued, fully paid and non-assessable, (ii) the Extension Shares have been duly authorized, and when issued and delivers will be validly issued, fully paid and non-assessable, and (ii) the Debt Exchange Shares, the Settlement Shares, and the Earnout Shares have been duly authorized and are validly issued, fully paid and non-assessable.</w:t>
      </w:r>
    </w:p>
    <w:p>
      <w:pPr>
        <w:spacing w:after="0" w:line="140" w:lineRule="exact"/>
        <w:rPr>
          <w:sz w:val="20"/>
          <w:szCs w:val="20"/>
          <w:color w:val="auto"/>
        </w:rPr>
      </w:pPr>
    </w:p>
    <w:p>
      <w:pPr>
        <w:jc w:val="both"/>
        <w:ind w:firstLine="512"/>
        <w:spacing w:after="0" w:line="272"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In addition, we consent to the reference to our name under the caption “Legal Matters” in the Registration Statement. In giving this consent, we do not admit that we are in the category of persons whose consent is required under Section 7 of the Securities Act. In addition, we disclaim any obligation to update this letter or communicate with or advise you as to any changes in fact or law, or otherwise.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Greenberg Traurig,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Greenberg Traurig,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358394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3">
                      <a:extLst>
                        <a:ext uri="{28A0092B-C50C-407E-A947-70E740481C1C}"/>
                      </a:extLst>
                    </a:blip>
                    <a:srcRect/>
                    <a:stretch>
                      <a:fillRect/>
                    </a:stretch>
                  </pic:blipFill>
                  <pic:spPr bwMode="auto">
                    <a:xfrm>
                      <a:off x="0" y="0"/>
                      <a:ext cx="358394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232410</wp:posOffset>
            </wp:positionV>
            <wp:extent cx="716089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4"/>
          <w:szCs w:val="14"/>
          <w:b w:val="1"/>
          <w:bCs w:val="1"/>
          <w:color w:val="auto"/>
        </w:rPr>
        <w:t>Exhibit 10.62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NO. 1 TO REGISTRATION RIGHTS AGREEMENT</w:t>
      </w:r>
    </w:p>
    <w:p>
      <w:pPr>
        <w:spacing w:after="0" w:line="1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This Amendment No. 1 to Registration Rights Agreement (this “Amendment”) is dated as of June 18, 2026, and is entered into by and between Mobix Labs, Inc., a Delaware corporation (the “Company”), and Kips Bay Select LP, a limited partnership organized under the laws of the State of Delaware (the “Investor”). Capitalized terms used but not otherwise defined herein have the meanings ascribed to them in the Registration Rights Agreement, dated as of May 19, 2026, between the Company and the Investor (the “Registration Rights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WHEREAS, the Company and the Investor are party to the Registration Rights Agreement; and</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WHEREAS, the Company and the Investor desire to extend the Filing Deadline thereunder, to make a conforming change to the Effectiveness Deadline, and to provide for the related waiver set forth herein.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NOW, THEREFORE, in consideration of the mutual covenants contained herein, and for other good and valuable consideration, the receipt and adequacy of which are hereby acknowledged,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and the Investor agree as follows:</w:t>
      </w:r>
    </w:p>
    <w:p>
      <w:pPr>
        <w:spacing w:after="0" w:line="166" w:lineRule="exact"/>
        <w:rPr>
          <w:sz w:val="20"/>
          <w:szCs w:val="20"/>
          <w:color w:val="auto"/>
        </w:rPr>
      </w:pPr>
    </w:p>
    <w:p>
      <w:pPr>
        <w:jc w:val="both"/>
        <w:ind w:firstLine="5"/>
        <w:spacing w:after="0" w:line="272" w:lineRule="auto"/>
        <w:tabs>
          <w:tab w:leader="none" w:pos="14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Extension of Filing Deadline</w:t>
      </w:r>
      <w:r>
        <w:rPr>
          <w:rFonts w:ascii="Times New Roman" w:cs="Times New Roman" w:eastAsia="Times New Roman" w:hAnsi="Times New Roman"/>
          <w:sz w:val="14"/>
          <w:szCs w:val="14"/>
          <w:color w:val="auto"/>
        </w:rPr>
        <w:t>. Section 2(a) of the Registration Rights Agreement is hereby amended so that the “Filing Deadline” shall be the third (3rd) Business Day following the date of this Amendment, and the Company shall prepare and file with the SEC the Initial Registration Statement on or before such date. The Investor hereby consents, pursuant to Section 9 of the Registration Rights Agreement, to the foregoing amendment of the definition of “Filing Deadline.”</w:t>
      </w:r>
    </w:p>
    <w:p>
      <w:pPr>
        <w:spacing w:after="0" w:line="135" w:lineRule="exact"/>
        <w:rPr>
          <w:rFonts w:ascii="Times New Roman" w:cs="Times New Roman" w:eastAsia="Times New Roman" w:hAnsi="Times New Roman"/>
          <w:sz w:val="14"/>
          <w:szCs w:val="14"/>
          <w:color w:val="auto"/>
        </w:rPr>
      </w:pPr>
    </w:p>
    <w:p>
      <w:pPr>
        <w:jc w:val="both"/>
        <w:ind w:firstLine="5"/>
        <w:spacing w:after="0" w:line="266" w:lineRule="auto"/>
        <w:tabs>
          <w:tab w:leader="none" w:pos="14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Conforming Extension of Effectiveness Deadline</w:t>
      </w:r>
      <w:r>
        <w:rPr>
          <w:rFonts w:ascii="Times New Roman" w:cs="Times New Roman" w:eastAsia="Times New Roman" w:hAnsi="Times New Roman"/>
          <w:sz w:val="14"/>
          <w:szCs w:val="14"/>
          <w:color w:val="auto"/>
        </w:rPr>
        <w:t>. Section 2(b) of the Registration Rights Agreement is hereby amended so that the “Effectiveness Deadline” shall be the earlier of (a) the 30th calendar day following the date on which the Initial Registration Statement is filed with the SEC and (b) the third (3rd) Business Day after the date the Company is notified (orally or in writing, whichever is earlier) by the SEC that the Initial Registration Statement will not be “reviewed” or will not be subject to further review, in each case subject to the Shutdown Extension as provided in Section 2(b). The Investor hereby consents, pursuant to Section 9 of the Registration Rights Agreement, to the foregoing amendment of the definition of “Effectiveness Deadline.”</w:t>
      </w:r>
    </w:p>
    <w:p>
      <w:pPr>
        <w:spacing w:after="0" w:line="139" w:lineRule="exact"/>
        <w:rPr>
          <w:rFonts w:ascii="Times New Roman" w:cs="Times New Roman" w:eastAsia="Times New Roman" w:hAnsi="Times New Roman"/>
          <w:sz w:val="14"/>
          <w:szCs w:val="14"/>
          <w:color w:val="auto"/>
        </w:rPr>
      </w:pPr>
    </w:p>
    <w:p>
      <w:pPr>
        <w:jc w:val="both"/>
        <w:ind w:firstLine="5"/>
        <w:spacing w:after="0" w:line="272" w:lineRule="auto"/>
        <w:tabs>
          <w:tab w:leader="none" w:pos="153"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Registration-Failure Damages</w:t>
      </w:r>
      <w:r>
        <w:rPr>
          <w:rFonts w:ascii="Times New Roman" w:cs="Times New Roman" w:eastAsia="Times New Roman" w:hAnsi="Times New Roman"/>
          <w:sz w:val="14"/>
          <w:szCs w:val="14"/>
          <w:color w:val="auto"/>
        </w:rPr>
        <w:t>. The Investor hereby waives, solely with respect to the period through the date of this Amendment, any liquidated damages under Section 2(c) of the Registration Rights Agreement and any other remedy arising from any failure to file the Initial Registration Statement on or prior to the Filing Deadline as in effect prior to this Amendment, and the Company and the Investor acknowledge and agree that no such failure shall constitute a breach of, a default under, or a Triggering Event under, any Transaction Document.</w:t>
      </w:r>
    </w:p>
    <w:p>
      <w:pPr>
        <w:spacing w:after="0" w:line="135" w:lineRule="exact"/>
        <w:rPr>
          <w:rFonts w:ascii="Times New Roman" w:cs="Times New Roman" w:eastAsia="Times New Roman" w:hAnsi="Times New Roman"/>
          <w:sz w:val="14"/>
          <w:szCs w:val="14"/>
          <w:color w:val="auto"/>
        </w:rPr>
      </w:pPr>
    </w:p>
    <w:p>
      <w:pPr>
        <w:jc w:val="both"/>
        <w:ind w:firstLine="5"/>
        <w:spacing w:after="0" w:line="257" w:lineRule="auto"/>
        <w:tabs>
          <w:tab w:leader="none" w:pos="153"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Extension Fee</w:t>
      </w:r>
      <w:r>
        <w:rPr>
          <w:rFonts w:ascii="Times New Roman" w:cs="Times New Roman" w:eastAsia="Times New Roman" w:hAnsi="Times New Roman"/>
          <w:sz w:val="14"/>
          <w:szCs w:val="14"/>
          <w:color w:val="auto"/>
        </w:rPr>
        <w:t>. In consideration of the Investor’s entry into this Amendment and the extensions and accommodations provided herein, the Company shall issue to the Investor shares of the Company’s Common Stock (the “Extension Shares”) having an aggregate value of $600,000 (the “Extension Fee”), with the number of Extension Shares determined by dividing the Extension Fee by $2.04 per share, which is greater than the “Minimum Price” (as defined in Nasdaq Listing Rule 5635(d)), which the parties agree is $2.036 (the average closing price of the Common Stock on Nasdaq for the five (5) trading days immediately preceding the date of this Amendment), resulting in 294,117 Extension Shares. The Extension Shares shall be issued to the Investor in one or more issuances, at such times and in such amounts as the Investor may elect in its sole discretion. Notwithstanding the foregoing, no Extension Shares shall be issued to the extent that the issuance would cause the Investor to beneficially own Common Stock in excess of the Beneficial Ownership Limitation set forth in, and determined in accordance with, Section 6(d) of the Certificate of Designation; and any Extension Shares not issuable by reason of the foregoing shall be held in abeyance for the Investor and issued, without further consideration, at such later time or times as, and only to the extent that, the issuance would not cause the Investor to exceed the Beneficial Ownership Limitation. When issued in accordance with this Amendment, the Extension Shares shall be duly authorized, validly issued, fully paid and non-assessable, and free and clear of all Liens imposed by the Company (other than restrictions on transfer arising under applicable securities laws). The Extension Shares are fully earned upon execution of this Amendment and are non-refundable. The Extension Shares shall constitute Registrable Securities for all purposes under the Registration Rights Agreement, and the Company shall include the Extension Shares for registration under the Securities Act at the same time, and on the same terms, as it registers the other Registrable Securities held by the Investor as required under the Transaction Documents.</w:t>
      </w:r>
    </w:p>
    <w:p>
      <w:pPr>
        <w:spacing w:after="0" w:line="150" w:lineRule="exact"/>
        <w:rPr>
          <w:rFonts w:ascii="Times New Roman" w:cs="Times New Roman" w:eastAsia="Times New Roman" w:hAnsi="Times New Roman"/>
          <w:sz w:val="14"/>
          <w:szCs w:val="14"/>
          <w:color w:val="auto"/>
        </w:rPr>
      </w:pPr>
    </w:p>
    <w:p>
      <w:pPr>
        <w:jc w:val="both"/>
        <w:ind w:firstLine="5"/>
        <w:spacing w:after="0" w:line="272" w:lineRule="auto"/>
        <w:tabs>
          <w:tab w:leader="none" w:pos="14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Other Amendment; Ratification</w:t>
      </w:r>
      <w:r>
        <w:rPr>
          <w:rFonts w:ascii="Times New Roman" w:cs="Times New Roman" w:eastAsia="Times New Roman" w:hAnsi="Times New Roman"/>
          <w:sz w:val="14"/>
          <w:szCs w:val="14"/>
          <w:color w:val="auto"/>
        </w:rPr>
        <w:t>. Except as expressly amended hereby, the Registration Rights Agreement remains in full force and effect and is hereby ratified and confirmed. The provisions of Section 10 of the Registration Rights Agreement, including Section 10(c) (governing law) and Section 10(e) (counterparts), apply to this Amendment mutatis mutandis. This Amendment may be executed in counterparts (including by electronic or DocuSign signature), each of which shall be deemed an original and all of which together shall constitute one and the same instrument.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color w:val="auto"/>
        </w:rPr>
        <w:t>IN WITNESS WHEREOF, the parties have executed this Amendment as of the date first written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MOBIX LABS,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Keyvan Samini</w:t>
            </w:r>
          </w:p>
        </w:tc>
      </w:tr>
      <w:tr>
        <w:trPr>
          <w:trHeight w:val="147"/>
        </w:trPr>
        <w:tc>
          <w:tcPr>
            <w:tcW w:w="5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Keyvan Samini</w:t>
            </w:r>
          </w:p>
        </w:tc>
      </w:tr>
      <w:tr>
        <w:trPr>
          <w:trHeight w:val="18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President, CFO and Acting General Counsel</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KIPS BAY SELECT LP</w:t>
      </w:r>
    </w:p>
    <w:p>
      <w:pPr>
        <w:spacing w:after="0" w:line="17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John Miller</w:t>
      </w:r>
    </w:p>
    <w:p>
      <w:pPr>
        <w:spacing w:after="0" w:line="2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Name:</w:t>
        <w:tab/>
        <w:t>John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-100965</wp:posOffset>
            </wp:positionV>
            <wp:extent cx="322516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6">
                      <a:extLst>
                        <a:ext uri="{28A0092B-C50C-407E-A947-70E740481C1C}"/>
                      </a:extLst>
                    </a:blip>
                    <a:srcRect/>
                    <a:stretch>
                      <a:fillRect/>
                    </a:stretch>
                  </pic:blipFill>
                  <pic:spPr bwMode="auto">
                    <a:xfrm>
                      <a:off x="0" y="0"/>
                      <a:ext cx="3225165" cy="6985"/>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Authorized Signatory</w:t>
      </w:r>
    </w:p>
    <w:p>
      <w:pPr>
        <w:spacing w:after="0" w:line="166" w:lineRule="exact"/>
        <w:rPr>
          <w:sz w:val="20"/>
          <w:szCs w:val="20"/>
          <w:color w:val="auto"/>
        </w:rPr>
      </w:pPr>
    </w:p>
    <w:p>
      <w:pPr>
        <w:jc w:val="right"/>
        <w:ind w:right="4199"/>
        <w:spacing w:after="0"/>
        <w:rPr>
          <w:sz w:val="20"/>
          <w:szCs w:val="20"/>
          <w:color w:val="auto"/>
        </w:rPr>
      </w:pPr>
      <w:r>
        <w:rPr>
          <w:rFonts w:ascii="Times New Roman" w:cs="Times New Roman" w:eastAsia="Times New Roman" w:hAnsi="Times New Roman"/>
          <w:sz w:val="14"/>
          <w:szCs w:val="14"/>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159"/>
          </w:cols>
          <w:pgMar w:left="300" w:top="573" w:right="1440"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8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hereby consent to the use in this Registration Statement on Form S-1 of Mobix Labs, Inc. of our report dated January 12, 2026, except for the effects of the reverse stock split discussed in Note 21 to the consolidated financial statements, as to which the date is April 27, 2026, relating to the financial statements of Mobix Labs, Inc., which appears in this Registration Statement. We also consent to the reference to us under the heading “Experts” in such Registration Statement.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Irvine, California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16089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94" w:name="page195"/>
    <w:bookmarkEnd w:id="194"/>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79"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105"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MOBIX LABS, INC</w:t>
      </w:r>
    </w:p>
    <w:p>
      <w:pPr>
        <w:spacing w:after="0" w:line="107"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92"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35"/>
              <w:spacing w:after="0" w:line="192" w:lineRule="exact"/>
              <w:rPr>
                <w:sz w:val="20"/>
                <w:szCs w:val="20"/>
                <w:color w:val="auto"/>
              </w:rPr>
            </w:pPr>
            <w:r>
              <w:rPr>
                <w:rFonts w:ascii="Arial" w:cs="Arial" w:eastAsia="Arial" w:hAnsi="Arial"/>
                <w:sz w:val="17"/>
                <w:szCs w:val="17"/>
                <w:b w:val="1"/>
                <w:bCs w:val="1"/>
                <w:color w:val="auto"/>
              </w:rPr>
              <w:t>Amount</w:t>
            </w:r>
          </w:p>
        </w:tc>
        <w:tc>
          <w:tcPr>
            <w:tcW w:w="4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60"/>
              <w:spacing w:after="0" w:line="192"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92" w:lineRule="exact"/>
              <w:rPr>
                <w:sz w:val="20"/>
                <w:szCs w:val="20"/>
                <w:color w:val="auto"/>
              </w:rPr>
            </w:pPr>
            <w:r>
              <w:rPr>
                <w:rFonts w:ascii="Arial" w:cs="Arial" w:eastAsia="Arial" w:hAnsi="Arial"/>
                <w:sz w:val="17"/>
                <w:szCs w:val="17"/>
                <w:b w:val="1"/>
                <w:bCs w:val="1"/>
                <w:color w:val="auto"/>
              </w:rPr>
              <w:t>Class</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92" w:lineRule="exact"/>
              <w:rPr>
                <w:sz w:val="20"/>
                <w:szCs w:val="20"/>
                <w:color w:val="auto"/>
              </w:rPr>
            </w:pPr>
            <w:r>
              <w:rPr>
                <w:rFonts w:ascii="Arial" w:cs="Arial" w:eastAsia="Arial" w:hAnsi="Arial"/>
                <w:sz w:val="17"/>
                <w:szCs w:val="17"/>
                <w:b w:val="1"/>
                <w:bCs w:val="1"/>
                <w:color w:val="auto"/>
              </w:rPr>
              <w:t>Registered</w:t>
            </w:r>
          </w:p>
        </w:tc>
        <w:tc>
          <w:tcPr>
            <w:tcW w:w="4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92"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00" w:type="dxa"/>
            <w:vAlign w:val="bottom"/>
            <w:gridSpan w:val="5"/>
          </w:tcPr>
          <w:p>
            <w:pPr>
              <w:jc w:val="center"/>
              <w:ind w:right="55"/>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Class A</w:t>
            </w: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common</w:t>
            </w: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stock,</w:t>
            </w: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4"/>
                <w:szCs w:val="14"/>
                <w:color w:val="auto"/>
              </w:rPr>
            </w:pPr>
          </w:p>
        </w:tc>
        <w:tc>
          <w:tcPr>
            <w:tcW w:w="720" w:type="dxa"/>
            <w:vAlign w:val="bottom"/>
            <w:shd w:val="clear" w:color="auto" w:fill="E7E7E2"/>
          </w:tcPr>
          <w:p>
            <w:pPr>
              <w:ind w:left="20"/>
              <w:spacing w:after="0" w:line="171"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72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par value</w:t>
            </w:r>
          </w:p>
        </w:tc>
        <w:tc>
          <w:tcPr>
            <w:tcW w:w="40" w:type="dxa"/>
            <w:vAlign w:val="bottom"/>
          </w:tcPr>
          <w:p>
            <w:pPr>
              <w:spacing w:after="0"/>
              <w:rPr>
                <w:sz w:val="14"/>
                <w:szCs w:val="14"/>
                <w:color w:val="auto"/>
              </w:rPr>
            </w:pPr>
          </w:p>
        </w:tc>
        <w:tc>
          <w:tcPr>
            <w:tcW w:w="940" w:type="dxa"/>
            <w:vAlign w:val="bottom"/>
            <w:shd w:val="clear" w:color="auto" w:fill="E7E7E2"/>
          </w:tcPr>
          <w:p>
            <w:pPr>
              <w:jc w:val="center"/>
              <w:spacing w:after="0" w:line="171" w:lineRule="exact"/>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4"/>
                <w:szCs w:val="14"/>
                <w:color w:val="auto"/>
              </w:rPr>
            </w:pPr>
          </w:p>
        </w:tc>
        <w:tc>
          <w:tcPr>
            <w:tcW w:w="90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3,744,161</w:t>
            </w:r>
          </w:p>
        </w:tc>
        <w:tc>
          <w:tcPr>
            <w:tcW w:w="40" w:type="dxa"/>
            <w:vAlign w:val="bottom"/>
          </w:tcPr>
          <w:p>
            <w:pPr>
              <w:spacing w:after="0"/>
              <w:rPr>
                <w:sz w:val="14"/>
                <w:szCs w:val="14"/>
                <w:color w:val="auto"/>
              </w:rPr>
            </w:pPr>
          </w:p>
        </w:tc>
        <w:tc>
          <w:tcPr>
            <w:tcW w:w="80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$ 2.075</w:t>
            </w: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4"/>
                <w:szCs w:val="14"/>
                <w:color w:val="auto"/>
              </w:rPr>
            </w:pPr>
          </w:p>
        </w:tc>
        <w:tc>
          <w:tcPr>
            <w:tcW w:w="10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$ 1,072.92</w:t>
            </w: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8"/>
              </w:rPr>
              <w:t>$0.00001</w:t>
            </w: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jc w:val="right"/>
              <w:spacing w:after="0" w:line="192" w:lineRule="exact"/>
              <w:rPr>
                <w:sz w:val="20"/>
                <w:szCs w:val="20"/>
                <w:color w:val="auto"/>
              </w:rPr>
            </w:pPr>
            <w:r>
              <w:rPr>
                <w:rFonts w:ascii="Arial" w:cs="Arial" w:eastAsia="Arial" w:hAnsi="Arial"/>
                <w:sz w:val="17"/>
                <w:szCs w:val="17"/>
                <w:color w:val="auto"/>
              </w:rPr>
              <w:t>7,769,134.08</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vMerge w:val="continue"/>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per</w:t>
            </w: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00" w:type="dxa"/>
            <w:vAlign w:val="bottom"/>
            <w:gridSpan w:val="5"/>
          </w:tcPr>
          <w:p>
            <w:pPr>
              <w:jc w:val="center"/>
              <w:ind w:right="35"/>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$ 1,072.92</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7,769,134.08</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$ 1,072.92</w:t>
            </w: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5" w:lineRule="exact"/>
        <w:rPr>
          <w:sz w:val="20"/>
          <w:szCs w:val="20"/>
          <w:color w:val="auto"/>
        </w:rPr>
      </w:pPr>
    </w:p>
    <w:p>
      <w:pPr>
        <w:ind w:left="220" w:right="140"/>
        <w:spacing w:after="0" w:line="244" w:lineRule="auto"/>
        <w:rPr>
          <w:sz w:val="20"/>
          <w:szCs w:val="20"/>
          <w:color w:val="auto"/>
        </w:rPr>
      </w:pPr>
      <w:r>
        <w:rPr>
          <w:rFonts w:ascii="Arial" w:cs="Arial" w:eastAsia="Arial" w:hAnsi="Arial"/>
          <w:sz w:val="17"/>
          <w:szCs w:val="17"/>
          <w:color w:val="auto"/>
        </w:rPr>
        <w:t>Pursuant to Rule 416(a) under the Securities Act of 1933, as amended (the "Securities Act"), this registration statement shall be deemed to cover any additional securities to be offered or issued from stock splits, stock dividends or similar transactions with respect to the shares being registered. The proposed maximum offering price per unit is estimated solely for purposes of calculating the registration fee according to Rule 457(c) under the Securities Act based on the average of the high and low prices of the registrant's Class A Common Stock quoted on The Nasdaq Capital Market on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60960</wp:posOffset>
            </wp:positionV>
            <wp:extent cx="714565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9">
                      <a:extLst>
                        <a:ext uri="{28A0092B-C50C-407E-A947-70E740481C1C}"/>
                      </a:extLst>
                    </a:blip>
                    <a:srcRect/>
                    <a:stretch>
                      <a:fillRect/>
                    </a:stretch>
                  </pic:blipFill>
                  <pic:spPr bwMode="auto">
                    <a:xfrm>
                      <a:off x="0" y="0"/>
                      <a:ext cx="7145655" cy="387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10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ind w:right="20"/>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tcBorders>
              <w:right w:val="single" w:sz="8" w:color="9ADAF6"/>
            </w:tcBorders>
            <w:gridSpan w:val="2"/>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Offset</w:t>
            </w:r>
          </w:p>
        </w:tc>
        <w:tc>
          <w:tcPr>
            <w:tcW w:w="80" w:type="dxa"/>
            <w:vAlign w:val="bottom"/>
            <w:tcBorders>
              <w:right w:val="single" w:sz="8" w:color="9ADAF6"/>
            </w:tcBorders>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9ADAF6"/>
            </w:tcBorders>
            <w:gridSpan w:val="2"/>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jc w:val="center"/>
              <w:ind w:right="295"/>
              <w:spacing w:after="0" w:line="192"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700" w:type="dxa"/>
            <w:vAlign w:val="bottom"/>
            <w:tcBorders>
              <w:right w:val="single" w:sz="8" w:color="9ADAF6"/>
            </w:tcBorders>
            <w:gridSpan w:val="4"/>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ind w:right="20"/>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tcBorders>
              <w:right w:val="single" w:sz="8" w:color="9ADAF6"/>
            </w:tcBorders>
            <w:gridSpan w:val="2"/>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10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5"/>
          </w:tcPr>
          <w:p>
            <w:pPr>
              <w:jc w:val="center"/>
              <w:ind w:right="217"/>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8"/>
          </w:tcPr>
          <w:p>
            <w:pPr>
              <w:jc w:val="center"/>
              <w:ind w:right="22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1240" w:type="dxa"/>
            <w:vAlign w:val="bottom"/>
            <w:gridSpan w:val="5"/>
            <w:shd w:val="clear" w:color="auto" w:fill="9ADAF6"/>
          </w:tcPr>
          <w:p>
            <w:pPr>
              <w:ind w:left="2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1820" w:type="dxa"/>
            <w:vAlign w:val="bottom"/>
            <w:gridSpan w:val="4"/>
            <w:shd w:val="clear" w:color="auto" w:fill="9ADAF6"/>
          </w:tcPr>
          <w:p>
            <w:pPr>
              <w:jc w:val="center"/>
              <w:ind w:right="78"/>
              <w:spacing w:after="0"/>
              <w:rPr>
                <w:sz w:val="20"/>
                <w:szCs w:val="20"/>
                <w:color w:val="auto"/>
              </w:rPr>
            </w:pPr>
            <w:r>
              <w:rPr>
                <w:rFonts w:ascii="Arial" w:cs="Arial" w:eastAsia="Arial" w:hAnsi="Arial"/>
                <w:sz w:val="17"/>
                <w:szCs w:val="17"/>
                <w:b w:val="1"/>
                <w:bCs w:val="1"/>
                <w:color w:val="auto"/>
                <w:w w:val="99"/>
              </w:rPr>
              <w:t>Maximum Aggregate</w:t>
            </w:r>
          </w:p>
        </w:tc>
        <w:tc>
          <w:tcPr>
            <w:tcW w:w="10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1240" w:type="dxa"/>
            <w:vAlign w:val="bottom"/>
            <w:gridSpan w:val="5"/>
            <w:vMerge w:val="restart"/>
            <w:shd w:val="clear" w:color="auto" w:fill="9ADAF6"/>
          </w:tcPr>
          <w:p>
            <w:pPr>
              <w:ind w:left="40"/>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0" w:type="dxa"/>
            <w:vAlign w:val="bottom"/>
            <w:gridSpan w:val="3"/>
            <w:vMerge w:val="restart"/>
            <w:shd w:val="clear" w:color="auto" w:fill="9ADAF6"/>
          </w:tcPr>
          <w:p>
            <w:pPr>
              <w:jc w:val="center"/>
              <w:ind w:right="118"/>
              <w:spacing w:after="0" w:line="192" w:lineRule="exact"/>
              <w:rPr>
                <w:sz w:val="20"/>
                <w:szCs w:val="20"/>
                <w:color w:val="auto"/>
              </w:rPr>
            </w:pPr>
            <w:r>
              <w:rPr>
                <w:rFonts w:ascii="Arial" w:cs="Arial" w:eastAsia="Arial" w:hAnsi="Arial"/>
                <w:sz w:val="17"/>
                <w:szCs w:val="17"/>
                <w:b w:val="1"/>
                <w:bCs w:val="1"/>
                <w:color w:val="auto"/>
                <w:w w:val="99"/>
              </w:rPr>
              <w:t>Offering Price of</w:t>
            </w: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40"/>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2"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00" w:type="dxa"/>
            <w:vAlign w:val="bottom"/>
            <w:gridSpan w:val="5"/>
            <w:vMerge w:val="restart"/>
            <w:shd w:val="clear" w:color="auto" w:fill="9ADAF6"/>
          </w:tcPr>
          <w:p>
            <w:pPr>
              <w:ind w:left="620"/>
              <w:spacing w:after="0" w:line="192"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0" w:type="dxa"/>
            <w:vAlign w:val="bottom"/>
            <w:gridSpan w:val="3"/>
            <w:vMerge w:val="continue"/>
            <w:shd w:val="clear" w:color="auto" w:fill="9ADAF6"/>
          </w:tcPr>
          <w:p>
            <w:pPr>
              <w:spacing w:after="0"/>
              <w:rPr>
                <w:sz w:val="8"/>
                <w:szCs w:val="8"/>
                <w:color w:val="auto"/>
              </w:rPr>
            </w:pP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60"/>
              <w:spacing w:after="0" w:line="192"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2"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1240" w:type="dxa"/>
            <w:vAlign w:val="bottom"/>
            <w:gridSpan w:val="5"/>
            <w:vMerge w:val="restart"/>
            <w:shd w:val="clear" w:color="auto" w:fill="9ADAF6"/>
          </w:tcPr>
          <w:p>
            <w:pPr>
              <w:ind w:left="20"/>
              <w:spacing w:after="0" w:line="192"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1900" w:type="dxa"/>
            <w:vAlign w:val="bottom"/>
            <w:gridSpan w:val="5"/>
            <w:vMerge w:val="restart"/>
            <w:shd w:val="clear" w:color="auto" w:fill="9ADAF6"/>
          </w:tcPr>
          <w:p>
            <w:pPr>
              <w:jc w:val="center"/>
              <w:ind w:right="18"/>
              <w:spacing w:after="0" w:line="192" w:lineRule="exact"/>
              <w:rPr>
                <w:sz w:val="20"/>
                <w:szCs w:val="20"/>
                <w:color w:val="auto"/>
              </w:rPr>
            </w:pPr>
            <w:r>
              <w:rPr>
                <w:rFonts w:ascii="Arial" w:cs="Arial" w:eastAsia="Arial" w:hAnsi="Arial"/>
                <w:sz w:val="17"/>
                <w:szCs w:val="17"/>
                <w:b w:val="1"/>
                <w:bCs w:val="1"/>
                <w:color w:val="auto"/>
                <w:w w:val="99"/>
              </w:rPr>
              <w:t>Securities Previously</w:t>
            </w: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60"/>
              <w:spacing w:after="0" w:line="192"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1900" w:type="dxa"/>
            <w:vAlign w:val="bottom"/>
            <w:gridSpan w:val="5"/>
            <w:vMerge w:val="continue"/>
            <w:shd w:val="clear" w:color="auto" w:fill="9ADAF6"/>
          </w:tcPr>
          <w:p>
            <w:pPr>
              <w:spacing w:after="0"/>
              <w:rPr>
                <w:sz w:val="8"/>
                <w:szCs w:val="8"/>
                <w:color w:val="auto"/>
              </w:rPr>
            </w:pP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8"/>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1240" w:type="dxa"/>
            <w:vAlign w:val="bottom"/>
            <w:gridSpan w:val="5"/>
            <w:vMerge w:val="restart"/>
            <w:shd w:val="clear" w:color="auto" w:fill="9ADAF6"/>
          </w:tcPr>
          <w:p>
            <w:pP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00" w:type="dxa"/>
            <w:vAlign w:val="bottom"/>
            <w:shd w:val="clear" w:color="auto" w:fill="9ADAF6"/>
          </w:tcPr>
          <w:p>
            <w:pPr>
              <w:spacing w:after="0"/>
              <w:rPr>
                <w:sz w:val="12"/>
                <w:szCs w:val="12"/>
                <w:color w:val="auto"/>
              </w:rPr>
            </w:pPr>
          </w:p>
        </w:tc>
        <w:tc>
          <w:tcPr>
            <w:tcW w:w="8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00" w:type="dxa"/>
            <w:vAlign w:val="bottom"/>
            <w:gridSpan w:val="3"/>
            <w:vMerge w:val="restart"/>
            <w:shd w:val="clear" w:color="auto" w:fill="9ADAF6"/>
          </w:tcPr>
          <w:p>
            <w:pPr>
              <w:jc w:val="center"/>
              <w:ind w:right="118"/>
              <w:spacing w:after="0"/>
              <w:rPr>
                <w:sz w:val="20"/>
                <w:szCs w:val="20"/>
                <w:color w:val="auto"/>
              </w:rPr>
            </w:pPr>
            <w:r>
              <w:rPr>
                <w:rFonts w:ascii="Arial" w:cs="Arial" w:eastAsia="Arial" w:hAnsi="Arial"/>
                <w:sz w:val="17"/>
                <w:szCs w:val="17"/>
                <w:b w:val="1"/>
                <w:bCs w:val="1"/>
                <w:color w:val="auto"/>
              </w:rPr>
              <w:t>Registered</w:t>
            </w:r>
          </w:p>
        </w:tc>
        <w:tc>
          <w:tcPr>
            <w:tcW w:w="100" w:type="dxa"/>
            <w:vAlign w:val="bottom"/>
            <w:tcBorders>
              <w:right w:val="single" w:sz="8" w:color="9ADAF6"/>
            </w:tcBorders>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00" w:type="dxa"/>
            <w:vAlign w:val="bottom"/>
            <w:tcBorders>
              <w:right w:val="single" w:sz="8" w:color="auto"/>
            </w:tcBorders>
            <w:gridSpan w:val="2"/>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8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00" w:type="dxa"/>
            <w:vAlign w:val="bottom"/>
            <w:gridSpan w:val="3"/>
            <w:vMerge w:val="continue"/>
            <w:shd w:val="clear" w:color="auto" w:fill="9ADAF6"/>
          </w:tcPr>
          <w:p>
            <w:pPr>
              <w:spacing w:after="0"/>
              <w:rPr>
                <w:sz w:val="7"/>
                <w:szCs w:val="7"/>
                <w:color w:val="auto"/>
              </w:rPr>
            </w:pPr>
          </w:p>
        </w:tc>
        <w:tc>
          <w:tcPr>
            <w:tcW w:w="10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62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1."/>
      <w:numFmt w:val="decimal"/>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lvl w:ilvl="1">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1)"/>
      <w:numFmt w:val="decimal"/>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1)"/>
      <w:numFmt w:val="decimal"/>
      <w:start w:val="1"/>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1)"/>
      <w:numFmt w:val="decimal"/>
      <w:start w:val="1"/>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1)"/>
      <w:numFmt w:val="upperLetter"/>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1)"/>
      <w:numFmt w:val="lowerRoman"/>
      <w:start w:val="3"/>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1"/>
      <w:numFmt w:val="decimal"/>
      <w:start w:val="104"/>
    </w:lvl>
  </w:abstractNum>
  <w:abstractNum w:abstractNumId="59">
    <w:nsid w:val="540A471C"/>
    <w:multiLevelType w:val="hybridMultilevel"/>
    <w:lvl w:ilvl="0">
      <w:lvlJc w:val="left"/>
      <w:lvlText w:val="%1"/>
      <w:numFmt w:val="decimal"/>
      <w:start w:val="107"/>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lowerLetter"/>
      <w:start w:val="1"/>
    </w:lvl>
  </w:abstractNum>
  <w:abstractNum w:abstractNumId="66">
    <w:nsid w:val="A0382C5"/>
    <w:multiLevelType w:val="hybridMultilevel"/>
    <w:lvl w:ilvl="0">
      <w:lvlJc w:val="left"/>
      <w:lvlText w:val="%1."/>
      <w:numFmt w:val="decimal"/>
      <w:start w:val="1"/>
    </w:lvl>
  </w:abstractNum>
  <w:abstractNum w:abstractNumId="67">
    <w:nsid w:val="8F2B15E"/>
    <w:multiLevelType w:val="hybridMultilevel"/>
    <w:lvl w:ilvl="0">
      <w:lvlJc w:val="left"/>
      <w:lvlText w:val="(%1)"/>
      <w:numFmt w:val="lowerLetter"/>
      <w:start w:val="25"/>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1)"/>
      <w:numFmt w:val="lowerLetter"/>
      <w:start w:val="3"/>
    </w:lvl>
  </w:abstractNum>
  <w:abstractNum w:abstractNumId="70">
    <w:nsid w:val="68EB2F63"/>
    <w:multiLevelType w:val="hybridMultilevel"/>
    <w:lvl w:ilvl="0">
      <w:lvlJc w:val="left"/>
      <w:lvlText w:val="(%1)"/>
      <w:numFmt w:val="lowerLetter"/>
      <w:start w:val="1"/>
    </w:lvl>
    <w:lvl w:ilvl="1">
      <w:lvlJc w:val="left"/>
      <w:lvlText w:val="(%2)"/>
      <w:numFmt w:val="lowerRoman"/>
      <w:start w:val="1"/>
    </w:lvl>
  </w:abstractNum>
  <w:abstractNum w:abstractNumId="71">
    <w:nsid w:val="4962813B"/>
    <w:multiLevelType w:val="hybridMultilevel"/>
    <w:lvl w:ilvl="0">
      <w:lvlJc w:val="left"/>
      <w:lvlText w:val="(%1)"/>
      <w:numFmt w:val="lowerRoman"/>
      <w:start w:val="3"/>
    </w:lvl>
  </w:abstractNum>
  <w:abstractNum w:abstractNumId="72">
    <w:nsid w:val="60B6DF70"/>
    <w:multiLevelType w:val="hybridMultilevel"/>
    <w:lvl w:ilvl="0">
      <w:lvlJc w:val="left"/>
      <w:lvlText w:val="(%1)"/>
      <w:numFmt w:val="lowerRoman"/>
      <w:start w:val="5"/>
    </w:lvl>
  </w:abstractNum>
  <w:abstractNum w:abstractNumId="73">
    <w:nsid w:val="6A5EE64"/>
    <w:multiLevelType w:val="hybridMultilevel"/>
    <w:lvl w:ilvl="0">
      <w:lvlJc w:val="left"/>
      <w:lvlText w:val="(%1)"/>
      <w:numFmt w:val="lowerLetter"/>
      <w:start w:val="4"/>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lowerLetter"/>
      <w:start w:val="2"/>
    </w:lvl>
  </w:abstractNum>
  <w:abstractNum w:abstractNumId="76">
    <w:nsid w:val="1A27709E"/>
    <w:multiLevelType w:val="hybridMultilevel"/>
    <w:lvl w:ilvl="0">
      <w:lvlJc w:val="left"/>
      <w:lvlText w:val="(%1)"/>
      <w:numFmt w:val="lowerLetter"/>
      <w:start w:val="6"/>
    </w:lvl>
  </w:abstractNum>
  <w:abstractNum w:abstractNumId="77">
    <w:nsid w:val="71EA1109"/>
    <w:multiLevelType w:val="hybridMultilevel"/>
    <w:lvl w:ilvl="0">
      <w:lvlJc w:val="left"/>
      <w:lvlText w:val="(%1)"/>
      <w:numFmt w:val="lowerLetter"/>
      <w:start w:val="7"/>
    </w:lvl>
    <w:lvl w:ilvl="1">
      <w:lvlJc w:val="left"/>
      <w:lvlText w:val="(%2)"/>
      <w:numFmt w:val="lowerRoman"/>
      <w:start w:val="1"/>
    </w:lvl>
  </w:abstractNum>
  <w:abstractNum w:abstractNumId="78">
    <w:nsid w:val="100F59DC"/>
    <w:multiLevelType w:val="hybridMultilevel"/>
    <w:lvl w:ilvl="0">
      <w:lvlJc w:val="left"/>
      <w:lvlText w:val="(%1)"/>
      <w:numFmt w:val="lowerLetter"/>
      <w:start w:val="1"/>
    </w:lvl>
  </w:abstractNum>
  <w:abstractNum w:abstractNumId="79">
    <w:nsid w:val="7FB7E0AA"/>
    <w:multiLevelType w:val="hybridMultilevel"/>
    <w:lvl w:ilvl="0">
      <w:lvlJc w:val="left"/>
      <w:lvlText w:val="(%1)"/>
      <w:numFmt w:val="lowerLetter"/>
      <w:start w:val="1"/>
    </w:lvl>
  </w:abstractNum>
  <w:abstractNum w:abstractNumId="80">
    <w:nsid w:val="6EB5BD4"/>
    <w:multiLevelType w:val="hybridMultilevel"/>
    <w:lvl w:ilvl="0">
      <w:lvlJc w:val="left"/>
      <w:lvlText w:val="(%1)"/>
      <w:numFmt w:val="lowerLetter"/>
      <w:start w:val="5"/>
    </w:lvl>
  </w:abstractNum>
  <w:abstractNum w:abstractNumId="81">
    <w:nsid w:val="6F6DD9AC"/>
    <w:multiLevelType w:val="hybridMultilevel"/>
    <w:lvl w:ilvl="0">
      <w:lvlJc w:val="left"/>
      <w:lvlText w:val="(%1)"/>
      <w:numFmt w:val="lowerLetter"/>
      <w:start w:val="1"/>
    </w:lvl>
    <w:lvl w:ilvl="1">
      <w:lvlJc w:val="left"/>
      <w:lvlText w:val="(%2)"/>
      <w:numFmt w:val="lowerRoman"/>
      <w:start w:val="1"/>
    </w:lvl>
  </w:abstractNum>
  <w:abstractNum w:abstractNumId="82">
    <w:nsid w:val="94211F2"/>
    <w:multiLevelType w:val="hybridMultilevel"/>
    <w:lvl w:ilvl="0">
      <w:lvlJc w:val="left"/>
      <w:lvlText w:val="%1"/>
      <w:numFmt w:val="lowerLetter"/>
      <w:start w:val="1"/>
    </w:lvl>
    <w:lvl w:ilvl="1">
      <w:lvlJc w:val="left"/>
      <w:lvlText w:val="(%2)"/>
      <w:numFmt w:val="lowerRoman"/>
      <w:start w:val="10"/>
    </w:lvl>
  </w:abstractNum>
  <w:abstractNum w:abstractNumId="83">
    <w:nsid w:val="885E1B"/>
    <w:multiLevelType w:val="hybridMultilevel"/>
    <w:lvl w:ilvl="0">
      <w:lvlJc w:val="left"/>
      <w:lvlText w:val="(%1)"/>
      <w:numFmt w:val="lowerLetter"/>
      <w:start w:val="2"/>
    </w:lvl>
    <w:lvl w:ilvl="1">
      <w:lvlJc w:val="left"/>
      <w:lvlText w:val="%2"/>
      <w:numFmt w:val="lowerRoman"/>
      <w:start w:val="1"/>
    </w:lvl>
  </w:abstractNum>
  <w:abstractNum w:abstractNumId="84">
    <w:nsid w:val="76272110"/>
    <w:multiLevelType w:val="hybridMultilevel"/>
    <w:lvl w:ilvl="0">
      <w:lvlJc w:val="left"/>
      <w:lvlText w:val="(%1)"/>
      <w:numFmt w:val="lowerLetter"/>
      <w:start w:val="3"/>
    </w:lvl>
  </w:abstractNum>
  <w:abstractNum w:abstractNumId="85">
    <w:nsid w:val="4C04A8AF"/>
    <w:multiLevelType w:val="hybridMultilevel"/>
    <w:lvl w:ilvl="0">
      <w:lvlJc w:val="left"/>
      <w:lvlText w:val="(%1)"/>
      <w:numFmt w:val="lowerLetter"/>
      <w:start w:val="1"/>
    </w:lvl>
  </w:abstractNum>
  <w:abstractNum w:abstractNumId="86">
    <w:nsid w:val="1716703B"/>
    <w:multiLevelType w:val="hybridMultilevel"/>
    <w:lvl w:ilvl="0">
      <w:lvlJc w:val="left"/>
      <w:lvlText w:val="(%1)"/>
      <w:numFmt w:val="lowerLetter"/>
      <w:start w:val="6"/>
    </w:lvl>
  </w:abstractNum>
  <w:abstractNum w:abstractNumId="87">
    <w:nsid w:val="14E17E33"/>
    <w:multiLevelType w:val="hybridMultilevel"/>
    <w:lvl w:ilvl="0">
      <w:lvlJc w:val="left"/>
      <w:lvlText w:val="1"/>
      <w:numFmt w:val="bullet"/>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2" Type="http://schemas.openxmlformats.org/officeDocument/2006/relationships/image" Target="media/image174.png"/><Relationship Id="rId199" Type="http://schemas.openxmlformats.org/officeDocument/2006/relationships/image" Target="media/image175.png"/><Relationship Id="rId222" Type="http://schemas.openxmlformats.org/officeDocument/2006/relationships/image" Target="media/image176.png"/><Relationship Id="rId239" Type="http://schemas.openxmlformats.org/officeDocument/2006/relationships/image" Target="media/image177.png"/><Relationship Id="rId261" Type="http://schemas.openxmlformats.org/officeDocument/2006/relationships/image" Target="media/image178.png"/><Relationship Id="rId276" Type="http://schemas.openxmlformats.org/officeDocument/2006/relationships/image" Target="media/image179.png"/><Relationship Id="rId277" Type="http://schemas.openxmlformats.org/officeDocument/2006/relationships/image" Target="media/image180.png"/><Relationship Id="rId278" Type="http://schemas.openxmlformats.org/officeDocument/2006/relationships/image" Target="media/image181.png"/><Relationship Id="rId279" Type="http://schemas.openxmlformats.org/officeDocument/2006/relationships/image" Target="media/image182.png"/><Relationship Id="rId280" Type="http://schemas.openxmlformats.org/officeDocument/2006/relationships/image" Target="media/image183.png"/><Relationship Id="rId281" Type="http://schemas.openxmlformats.org/officeDocument/2006/relationships/image" Target="media/image184.png"/><Relationship Id="rId282" Type="http://schemas.openxmlformats.org/officeDocument/2006/relationships/image" Target="media/image185.png"/><Relationship Id="rId283" Type="http://schemas.openxmlformats.org/officeDocument/2006/relationships/image" Target="media/image186.png"/><Relationship Id="rId284" Type="http://schemas.openxmlformats.org/officeDocument/2006/relationships/image" Target="media/image187.png"/><Relationship Id="rId285" Type="http://schemas.openxmlformats.org/officeDocument/2006/relationships/image" Target="media/image188.png"/><Relationship Id="rId286" Type="http://schemas.openxmlformats.org/officeDocument/2006/relationships/image" Target="media/image189.png"/><Relationship Id="rId287" Type="http://schemas.openxmlformats.org/officeDocument/2006/relationships/image" Target="media/image190.png"/><Relationship Id="rId288" Type="http://schemas.openxmlformats.org/officeDocument/2006/relationships/image" Target="media/image191.png"/><Relationship Id="rId289" Type="http://schemas.openxmlformats.org/officeDocument/2006/relationships/image" Target="media/image192.png"/><Relationship Id="rId290" Type="http://schemas.openxmlformats.org/officeDocument/2006/relationships/image" Target="media/image193.png"/><Relationship Id="rId291" Type="http://schemas.openxmlformats.org/officeDocument/2006/relationships/image" Target="media/image194.png"/><Relationship Id="rId292" Type="http://schemas.openxmlformats.org/officeDocument/2006/relationships/image" Target="media/image195.png"/><Relationship Id="rId293" Type="http://schemas.openxmlformats.org/officeDocument/2006/relationships/image" Target="media/image196.png"/><Relationship Id="rId294" Type="http://schemas.openxmlformats.org/officeDocument/2006/relationships/image" Target="media/image197.png"/><Relationship Id="rId295" Type="http://schemas.openxmlformats.org/officeDocument/2006/relationships/image" Target="media/image198.png"/><Relationship Id="rId296" Type="http://schemas.openxmlformats.org/officeDocument/2006/relationships/image" Target="media/image199.png"/><Relationship Id="rId297" Type="http://schemas.openxmlformats.org/officeDocument/2006/relationships/image" Target="media/image200.png"/><Relationship Id="rId298" Type="http://schemas.openxmlformats.org/officeDocument/2006/relationships/image" Target="media/image201.png"/><Relationship Id="rId299" Type="http://schemas.openxmlformats.org/officeDocument/2006/relationships/image" Target="media/image202.png"/><Relationship Id="rId300" Type="http://schemas.openxmlformats.org/officeDocument/2006/relationships/image" Target="media/image203.png"/><Relationship Id="rId301" Type="http://schemas.openxmlformats.org/officeDocument/2006/relationships/image" Target="media/image204.jpeg"/><Relationship Id="rId302" Type="http://schemas.openxmlformats.org/officeDocument/2006/relationships/image" Target="media/image205.png"/><Relationship Id="rId303" Type="http://schemas.openxmlformats.org/officeDocument/2006/relationships/image" Target="media/image206.png"/><Relationship Id="rId304" Type="http://schemas.openxmlformats.org/officeDocument/2006/relationships/image" Target="media/image207.png"/><Relationship Id="rId305" Type="http://schemas.openxmlformats.org/officeDocument/2006/relationships/image" Target="media/image208.png"/><Relationship Id="rId306" Type="http://schemas.openxmlformats.org/officeDocument/2006/relationships/image" Target="media/image209.png"/><Relationship Id="rId307" Type="http://schemas.openxmlformats.org/officeDocument/2006/relationships/image" Target="media/image210.png"/><Relationship Id="rId308" Type="http://schemas.openxmlformats.org/officeDocument/2006/relationships/image" Target="media/image211.png"/><Relationship Id="rId309" Type="http://schemas.openxmlformats.org/officeDocument/2006/relationships/image" Target="media/image212.png"/><Relationship Id="rId181" Type="http://schemas.openxmlformats.org/officeDocument/2006/relationships/hyperlink" Target="https://www.sec.gov/Archives/edgar/data/1855467/000110465923116469/clay-20230630xs4a.htm#AnnexA1_255698" TargetMode="External"/><Relationship Id="rId183" Type="http://schemas.openxmlformats.org/officeDocument/2006/relationships/hyperlink" Target="https://www.sec.gov/Archives/edgar/data/1855467/000110465923116469/clay-20230630xs4a.htm#AnnexA2_688945" TargetMode="External"/><Relationship Id="rId184" Type="http://schemas.openxmlformats.org/officeDocument/2006/relationships/hyperlink" Target="https://www.sec.gov/Archives/edgar/data/1855467/000110465923122449/tm2331792d1_ex2-1.htm" TargetMode="External"/><Relationship Id="rId185" Type="http://schemas.openxmlformats.org/officeDocument/2006/relationships/hyperlink" Target="https://www.sec.gov/Archives/edgar/data/1855467/000121390024029035/ea020156601ex2-4_mobix.htm" TargetMode="External"/><Relationship Id="rId186" Type="http://schemas.openxmlformats.org/officeDocument/2006/relationships/hyperlink" Target="https://www.sec.gov/Archives/edgar/data/1855467/000110465923130104/tm2333672d1_ex2-4.htm" TargetMode="External"/><Relationship Id="rId187" Type="http://schemas.openxmlformats.org/officeDocument/2006/relationships/hyperlink" Target="https://www.sec.gov/Archives/edgar/data/1855467/000110465923130104/tm2333672d1_ex2-5.htm" TargetMode="External"/><Relationship Id="rId188" Type="http://schemas.openxmlformats.org/officeDocument/2006/relationships/hyperlink" Target="https://www.sec.gov/Archives/edgar/data/1855467/000110465923130104/tm2333672d1_ex3-1.htm" TargetMode="External"/><Relationship Id="rId189" Type="http://schemas.openxmlformats.org/officeDocument/2006/relationships/hyperlink" Target="https://www.sec.gov/Archives/edgar/data/1855467/000121390024029035/ea020156601ex3-2_mobix.htm" TargetMode="External"/><Relationship Id="rId190" Type="http://schemas.openxmlformats.org/officeDocument/2006/relationships/hyperlink" Target="https://www.sec.gov/Archives/edgar/data/1855467/000110465923130104/tm2333672d1_ex3-2.htm" TargetMode="External"/><Relationship Id="rId191" Type="http://schemas.openxmlformats.org/officeDocument/2006/relationships/hyperlink" Target="https://www.sec.gov/Archives/edgar/data/1855467/000110465923130104/tm2333672d1_ex4-1.htm" TargetMode="External"/><Relationship Id="rId192" Type="http://schemas.openxmlformats.org/officeDocument/2006/relationships/hyperlink" Target="https://www.sec.gov/Archives/edgar/data/1855467/000110465923130104/tm2333672d1_ex4-2.htm" TargetMode="External"/><Relationship Id="rId193" Type="http://schemas.openxmlformats.org/officeDocument/2006/relationships/hyperlink" Target="https://www.sec.gov/Archives/edgar/data/1855467/000110465921095311/tm2112269d9_ex4-1.htm" TargetMode="External"/><Relationship Id="rId194" Type="http://schemas.openxmlformats.org/officeDocument/2006/relationships/hyperlink" Target="https://www.sec.gov/Archives/edgar/data/1855467/000110465923130104/tm2333672d1_ex4-4.htm" TargetMode="External"/><Relationship Id="rId195" Type="http://schemas.openxmlformats.org/officeDocument/2006/relationships/hyperlink" Target="https://www.sec.gov/Archives/edgar/data/1855467/000101376224000772/ea020989801ex4-1_mobix.htm" TargetMode="External"/><Relationship Id="rId196" Type="http://schemas.openxmlformats.org/officeDocument/2006/relationships/hyperlink" Target="https://www.sec.gov/Archives/edgar/data/1855467/000101376224000772/ea020989801ex4-4_mobix.htm" TargetMode="External"/><Relationship Id="rId197" Type="http://schemas.openxmlformats.org/officeDocument/2006/relationships/hyperlink" Target="https://www.sec.gov/Archives/edgar/data/1855467/000164117225002885/ex4-2.htm" TargetMode="External"/><Relationship Id="rId198" Type="http://schemas.openxmlformats.org/officeDocument/2006/relationships/hyperlink" Target="https://www.sec.gov/Archives/edgar/data/1855467/000164117225002885/ex4-3.htm" TargetMode="External"/><Relationship Id="rId200" Type="http://schemas.openxmlformats.org/officeDocument/2006/relationships/hyperlink" Target="https://www.sec.gov/Archives/edgar/data/1855467/000149315225012596/ex4-3.htm" TargetMode="External"/><Relationship Id="rId201" Type="http://schemas.openxmlformats.org/officeDocument/2006/relationships/hyperlink" Target="https://www.sec.gov/Archives/edgar/data/1855467/000149315225017858/ex4-15.htm" TargetMode="External"/><Relationship Id="rId202" Type="http://schemas.openxmlformats.org/officeDocument/2006/relationships/hyperlink" Target="https://www.sec.gov/Archives/edgar/data/1855467/000149315225020249/ex4-1.htm" TargetMode="External"/><Relationship Id="rId203" Type="http://schemas.openxmlformats.org/officeDocument/2006/relationships/hyperlink" Target="https://www.sec.gov/Archives/edgar/data/1855467/000149315225020249/ex4-2.htm" TargetMode="External"/><Relationship Id="rId204" Type="http://schemas.openxmlformats.org/officeDocument/2006/relationships/hyperlink" Target="https://www.sec.gov/Archives/edgar/data/1855467/000149315226001921/ex4-13.htm" TargetMode="External"/><Relationship Id="rId205" Type="http://schemas.openxmlformats.org/officeDocument/2006/relationships/hyperlink" Target="https://www.sec.gov/Archives/edgar/data/1855467/000149315225020249/ex4-4.htm" TargetMode="External"/><Relationship Id="rId206" Type="http://schemas.openxmlformats.org/officeDocument/2006/relationships/hyperlink" Target="https://www.sec.gov/Archives/edgar/data/1855467/000149315225020249/ex4-5.htm" TargetMode="External"/><Relationship Id="rId207" Type="http://schemas.openxmlformats.org/officeDocument/2006/relationships/hyperlink" Target="https://www.sec.gov/Archives/edgar/data/1855467/000149315224051917/ex4-9.htm" TargetMode="External"/><Relationship Id="rId208" Type="http://schemas.openxmlformats.org/officeDocument/2006/relationships/hyperlink" Target="https://www.sec.gov/Archives/edgar/data/1855467/000149315226019180/ex4-17.htm" TargetMode="External"/><Relationship Id="rId209" Type="http://schemas.openxmlformats.org/officeDocument/2006/relationships/hyperlink" Target="https://www.sec.gov/Archives/edgar/data/1855467/000149315226024661/ex4-2.htm" TargetMode="External"/><Relationship Id="rId210" Type="http://schemas.openxmlformats.org/officeDocument/2006/relationships/hyperlink" Target="https://www.sec.gov/Archives/edgar/data/1855467/000149315226024661/ex4-3.htm" TargetMode="External"/><Relationship Id="rId211" Type="http://schemas.openxmlformats.org/officeDocument/2006/relationships/hyperlink" Target="https://www.sec.gov/Archives/edgar/data/1855467/000110465921095311/tm2112269d9_ex10-1.htm" TargetMode="External"/><Relationship Id="rId212" Type="http://schemas.openxmlformats.org/officeDocument/2006/relationships/hyperlink" Target="https://www.sec.gov/Archives/edgar/data/1855467/000110465923130104/tm2333672d1_ex10-2.htm" TargetMode="External"/><Relationship Id="rId213" Type="http://schemas.openxmlformats.org/officeDocument/2006/relationships/hyperlink" Target="https://www.sec.gov/Archives/edgar/data/1855467/000110465923130104/tm2333672d1_ex10-3.htm" TargetMode="External"/><Relationship Id="rId214" Type="http://schemas.openxmlformats.org/officeDocument/2006/relationships/hyperlink" Target="https://www.sec.gov/Archives/edgar/data/1855467/000110465923130104/tm2333672d1_ex10-4.htm" TargetMode="External"/><Relationship Id="rId215" Type="http://schemas.openxmlformats.org/officeDocument/2006/relationships/hyperlink" Target="https://www.sec.gov/Archives/edgar/data/1855467/000110465923130104/tm2333672d1_ex10-5.htm" TargetMode="External"/><Relationship Id="rId216" Type="http://schemas.openxmlformats.org/officeDocument/2006/relationships/hyperlink" Target="https://www.sec.gov/Archives/edgar/data/1855467/000110465923113943/clay-20230630xex10d14.htm" TargetMode="External"/><Relationship Id="rId217" Type="http://schemas.openxmlformats.org/officeDocument/2006/relationships/hyperlink" Target="https://www.sec.gov/Archives/edgar/data/1855467/000110465923113943/clay-20230630xex10d15.htm" TargetMode="External"/><Relationship Id="rId218" Type="http://schemas.openxmlformats.org/officeDocument/2006/relationships/hyperlink" Target="https://www.sec.gov/Archives/edgar/data/1855467/000110465923113943/clay-20230630xex10d16.htm" TargetMode="External"/><Relationship Id="rId219" Type="http://schemas.openxmlformats.org/officeDocument/2006/relationships/hyperlink" Target="https://www.sec.gov/Archives/edgar/data/1855467/000110465923113943/clay-20230630xex10d17.htm" TargetMode="External"/><Relationship Id="rId220" Type="http://schemas.openxmlformats.org/officeDocument/2006/relationships/hyperlink" Target="https://www.sec.gov/Archives/edgar/data/1855467/000110465923043213/clay-20220930xex10d16.htm" TargetMode="External"/><Relationship Id="rId221" Type="http://schemas.openxmlformats.org/officeDocument/2006/relationships/hyperlink" Target="https://www.sec.gov/Archives/edgar/data/1855467/000110465923043213/clay-20220930xex10d18.htm" TargetMode="External"/><Relationship Id="rId223" Type="http://schemas.openxmlformats.org/officeDocument/2006/relationships/hyperlink" Target="https://www.sec.gov/Archives/edgar/data/1855467/000110465923043213/clay-20220930xex10d19.htm" TargetMode="External"/><Relationship Id="rId224" Type="http://schemas.openxmlformats.org/officeDocument/2006/relationships/hyperlink" Target="https://www.sec.gov/Archives/edgar/data/1855467/000110465923043213/clay-20220930xex10d20.htm" TargetMode="External"/><Relationship Id="rId225" Type="http://schemas.openxmlformats.org/officeDocument/2006/relationships/hyperlink" Target="https://www.sec.gov/Archives/edgar/data/1855467/000110465923043213/clay-20220930xex10d21.htm" TargetMode="External"/><Relationship Id="rId226" Type="http://schemas.openxmlformats.org/officeDocument/2006/relationships/hyperlink" Target="https://www.sec.gov/Archives/edgar/data/1855467/000110465923043213/clay-20220930xex10d22.htm" TargetMode="External"/><Relationship Id="rId227" Type="http://schemas.openxmlformats.org/officeDocument/2006/relationships/hyperlink" Target="https://www.sec.gov/Archives/edgar/data/1855467/000110465923043213/clay-20220930xex10d23.htm" TargetMode="External"/><Relationship Id="rId228" Type="http://schemas.openxmlformats.org/officeDocument/2006/relationships/hyperlink" Target="https://www.sec.gov/Archives/edgar/data/1855467/000110465923043213/clay-20220930xex10d24.htm" TargetMode="External"/><Relationship Id="rId229" Type="http://schemas.openxmlformats.org/officeDocument/2006/relationships/hyperlink" Target="https://www.sec.gov/Archives/edgar/data/1855467/000110465923043213/clay-20220930xex10d25.htm" TargetMode="External"/><Relationship Id="rId230" Type="http://schemas.openxmlformats.org/officeDocument/2006/relationships/hyperlink" Target="https://www.sec.gov/Archives/edgar/data/1855467/000110465923127135/tm2333098d1_ex10-1.htm" TargetMode="External"/><Relationship Id="rId231" Type="http://schemas.openxmlformats.org/officeDocument/2006/relationships/hyperlink" Target="https://www.sec.gov/Archives/edgar/data/1855467/000110465923127135/tm2333098d1_ex10-2.htm" TargetMode="External"/><Relationship Id="rId232" Type="http://schemas.openxmlformats.org/officeDocument/2006/relationships/hyperlink" Target="https://www.sec.gov/Archives/edgar/data/1855467/000110465923129265/tm2333677d1_ex10-1.htm" TargetMode="External"/><Relationship Id="rId233" Type="http://schemas.openxmlformats.org/officeDocument/2006/relationships/hyperlink" Target="https://www.sec.gov/Archives/edgar/data/1855467/000110465923129265/tm2333677d1_ex10-2.htm" TargetMode="External"/><Relationship Id="rId234" Type="http://schemas.openxmlformats.org/officeDocument/2006/relationships/hyperlink" Target="https://www.sec.gov/Archives/edgar/data/1855467/000110465923129265/tm2333677d1_ex10-3.htm" TargetMode="External"/><Relationship Id="rId235" Type="http://schemas.openxmlformats.org/officeDocument/2006/relationships/hyperlink" Target="https://www.sec.gov/Archives/edgar/data/1855467/000110465923129265/tm2333677d1_ex10-4.htm" TargetMode="External"/><Relationship Id="rId236" Type="http://schemas.openxmlformats.org/officeDocument/2006/relationships/hyperlink" Target="https://www.sec.gov/Archives/edgar/data/1855467/000110465923129265/tm2333677d1_ex10-5.htm" TargetMode="External"/><Relationship Id="rId237" Type="http://schemas.openxmlformats.org/officeDocument/2006/relationships/hyperlink" Target="https://www.sec.gov/Archives/edgar/data/1855467/000110465923129265/tm2333677d1_ex10-6.htm" TargetMode="External"/><Relationship Id="rId238" Type="http://schemas.openxmlformats.org/officeDocument/2006/relationships/hyperlink" Target="https://www.sec.gov/Archives/edgar/data/1855467/000110465923129265/tm2333677d1_ex10-7.htm" TargetMode="External"/><Relationship Id="rId240" Type="http://schemas.openxmlformats.org/officeDocument/2006/relationships/hyperlink" Target="https://www.sec.gov/Archives/edgar/data/1855467/000110465923129265/tm2333677d1_ex10-8.htm" TargetMode="External"/><Relationship Id="rId241" Type="http://schemas.openxmlformats.org/officeDocument/2006/relationships/hyperlink" Target="https://www.sec.gov/Archives/edgar/data/1855467/000110465923130104/tm2333672d1_ex10-29.htm" TargetMode="External"/><Relationship Id="rId242" Type="http://schemas.openxmlformats.org/officeDocument/2006/relationships/hyperlink" Target="https://www.sec.gov/Archives/edgar/data/1855467/000121390024023741/ea020207901ex10-1_mobixlabs.htm" TargetMode="External"/><Relationship Id="rId243" Type="http://schemas.openxmlformats.org/officeDocument/2006/relationships/hyperlink" Target="https://www.sec.gov/Archives/edgar/data/1855467/000121390024023741/ea020207901ex10-2_mobixlabs.htm" TargetMode="External"/><Relationship Id="rId244" Type="http://schemas.openxmlformats.org/officeDocument/2006/relationships/hyperlink" Target="https://www.sec.gov/Archives/edgar/data/1855467/000121390024042582/ea020602001ex99-1_mobixlabs.htm" TargetMode="External"/><Relationship Id="rId245" Type="http://schemas.openxmlformats.org/officeDocument/2006/relationships/hyperlink" Target="https://www.sec.gov/Archives/edgar/data/1855467/000101376224000772/ea020989801ex10-1_mobix.htm" TargetMode="External"/><Relationship Id="rId246" Type="http://schemas.openxmlformats.org/officeDocument/2006/relationships/hyperlink" Target="https://www.sec.gov/Archives/edgar/data/1855467/000101376224000772/ea020989801ex10-2_mobix.htm" TargetMode="External"/><Relationship Id="rId247" Type="http://schemas.openxmlformats.org/officeDocument/2006/relationships/hyperlink" Target="https://www.sec.gov/Archives/edgar/data/1855467/000101376224000772/ea020989801ex10-3_mobix.htm" TargetMode="External"/><Relationship Id="rId248" Type="http://schemas.openxmlformats.org/officeDocument/2006/relationships/hyperlink" Target="https://www.sec.gov/Archives/edgar/data/1855467/000164117225002885/ex10-1.htm" TargetMode="External"/><Relationship Id="rId249" Type="http://schemas.openxmlformats.org/officeDocument/2006/relationships/hyperlink" Target="https://www.sec.gov/Archives/edgar/data/1855467/000164117225002885/ex10-2.htm" TargetMode="External"/><Relationship Id="rId250" Type="http://schemas.openxmlformats.org/officeDocument/2006/relationships/hyperlink" Target="https://www.sec.gov/Archives/edgar/data/1855467/000164117225010986/ex10-1.htm" TargetMode="External"/><Relationship Id="rId251" Type="http://schemas.openxmlformats.org/officeDocument/2006/relationships/hyperlink" Target="https://www.sec.gov/Archives/edgar/data/1855467/000164117225010986/ex10-2.htm" TargetMode="External"/><Relationship Id="rId252" Type="http://schemas.openxmlformats.org/officeDocument/2006/relationships/hyperlink" Target="https://www.sec.gov/Archives/edgar/data/1855467/000164117225000999/ex99-3.htm" TargetMode="External"/><Relationship Id="rId253" Type="http://schemas.openxmlformats.org/officeDocument/2006/relationships/hyperlink" Target="https://www.sec.gov/Archives/edgar/data/1855467/000164117225000999/ex99-4.htm" TargetMode="External"/><Relationship Id="rId254" Type="http://schemas.openxmlformats.org/officeDocument/2006/relationships/hyperlink" Target="https://www.sec.gov/Archives/edgar/data/1855467/000164117225000999/ex99-5.htm" TargetMode="External"/><Relationship Id="rId255" Type="http://schemas.openxmlformats.org/officeDocument/2006/relationships/hyperlink" Target="https://www.sec.gov/Archives/edgar/data/1855467/000164117225010986/ex10-6.htm" TargetMode="External"/><Relationship Id="rId256" Type="http://schemas.openxmlformats.org/officeDocument/2006/relationships/hyperlink" Target="https://www.sec.gov/Archives/edgar/data/1855467/000164117225010986/ex10-7.htm" TargetMode="External"/><Relationship Id="rId257" Type="http://schemas.openxmlformats.org/officeDocument/2006/relationships/hyperlink" Target="https://www.sec.gov/Archives/edgar/data/1855467/000164117225000999/ex99-11.htm" TargetMode="External"/><Relationship Id="rId258" Type="http://schemas.openxmlformats.org/officeDocument/2006/relationships/hyperlink" Target="https://www.sec.gov/Archives/edgar/data/1855467/000164117225022484/ex10-46.htm" TargetMode="External"/><Relationship Id="rId259" Type="http://schemas.openxmlformats.org/officeDocument/2006/relationships/hyperlink" Target="https://www.sec.gov/Archives/edgar/data/1855467/000149315225012596/ex10-1.htm" TargetMode="External"/><Relationship Id="rId260" Type="http://schemas.openxmlformats.org/officeDocument/2006/relationships/hyperlink" Target="https://www.sec.gov/Archives/edgar/data/1855467/000149315225017858/ex10-48.htm" TargetMode="External"/><Relationship Id="rId262" Type="http://schemas.openxmlformats.org/officeDocument/2006/relationships/hyperlink" Target="https://www.sec.gov/Archives/edgar/data/1855467/000149315225017858/ex10-49.htm" TargetMode="External"/><Relationship Id="rId263" Type="http://schemas.openxmlformats.org/officeDocument/2006/relationships/hyperlink" Target="https://www.sec.gov/Archives/edgar/data/1855467/000149315225017858/ex10-50.htm" TargetMode="External"/><Relationship Id="rId264" Type="http://schemas.openxmlformats.org/officeDocument/2006/relationships/hyperlink" Target="https://www.sec.gov/Archives/edgar/data/1855467/000149315225017858/ex10-51.htm" TargetMode="External"/><Relationship Id="rId265" Type="http://schemas.openxmlformats.org/officeDocument/2006/relationships/hyperlink" Target="https://www.sec.gov/Archives/edgar/data/1855467/000149315225017858/ex10-52.htm" TargetMode="External"/><Relationship Id="rId266" Type="http://schemas.openxmlformats.org/officeDocument/2006/relationships/hyperlink" Target="https://www.sec.gov/Archives/edgar/data/1855467/000149315225017858/ex10-53.htm" TargetMode="External"/><Relationship Id="rId267" Type="http://schemas.openxmlformats.org/officeDocument/2006/relationships/hyperlink" Target="https://www.sec.gov/Archives/edgar/data/1855467/000149315226000731/ex10-1.htm" TargetMode="External"/><Relationship Id="rId268" Type="http://schemas.openxmlformats.org/officeDocument/2006/relationships/hyperlink" Target="https://www.sec.gov/Archives/edgar/data/1855467/000149315226000731/ex10-2.htm" TargetMode="External"/><Relationship Id="rId269" Type="http://schemas.openxmlformats.org/officeDocument/2006/relationships/hyperlink" Target="https://www.sec.gov/Archives/edgar/data/1855467/000149315226000731/ex10-3.htm" TargetMode="External"/><Relationship Id="rId270" Type="http://schemas.openxmlformats.org/officeDocument/2006/relationships/hyperlink" Target="https://www.sec.gov/Archives/edgar/data/1855467/000149315226019180/ex10-57.htm" TargetMode="External"/><Relationship Id="rId271" Type="http://schemas.openxmlformats.org/officeDocument/2006/relationships/hyperlink" Target="https://www.sec.gov/Archives/edgar/data/1855467/000149315226019180/ex10-58.htm" TargetMode="External"/><Relationship Id="rId272" Type="http://schemas.openxmlformats.org/officeDocument/2006/relationships/hyperlink" Target="https://www.sec.gov/Archives/edgar/data/1855467/000149315226024661/ex10-3.htm" TargetMode="External"/><Relationship Id="rId273" Type="http://schemas.openxmlformats.org/officeDocument/2006/relationships/hyperlink" Target="https://www.sec.gov/Archives/edgar/data/1855467/000149315226024661/ex10-4.htm" TargetMode="External"/><Relationship Id="rId274" Type="http://schemas.openxmlformats.org/officeDocument/2006/relationships/hyperlink" Target="https://www.sec.gov/Archives/edgar/data/1855467/000149315226024661/ex10-5.htm" TargetMode="External"/><Relationship Id="rId275" Type="http://schemas.openxmlformats.org/officeDocument/2006/relationships/hyperlink" Target="https://www.sec.gov/Archives/edgar/data/1855467/000149315226001921/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2026-06-22T05:16:54Z</dcterms:created>
  <dcterms:modified xsi:type="dcterms:W3CDTF">2026-06-22T05:16:54Z</dcterms:modified>
</cp:coreProperties>
</file>