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SANSONE PHILIP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MOBIX LABS,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VENTURE, SUITE 220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MOBIX LABS, INC</w:t>
              </w:r>
            </w:hyperlink>
            <w:r>
              <w:rPr/>
              <w:t xml:space="preserve"> [ </w:t>
            </w:r>
            <w:r>
              <w:rPr>
                <w:rFonts w:ascii="Times;serif" w:hAnsi="Times;serif"/>
                <w:color w:val="0000FF"/>
                <w:sz w:val="24"/>
                <w:shd w:fill="FFFFFF" w:val="clear"/>
              </w:rPr>
              <w:t>MOBX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81"/>
        <w:gridCol w:w="448"/>
        <w:gridCol w:w="882"/>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2,614</w:t>
            </w:r>
            <w:r>
              <w:rPr>
                <w:rFonts w:ascii="Times;serif" w:hAnsi="Times;serif"/>
                <w:color w:val="008000"/>
                <w:position w:val="7"/>
                <w:sz w:val="16"/>
                <w:sz w:val="20"/>
                <w:shd w:fill="FFFFFF" w:val="clear"/>
              </w:rPr>
              <w:t>(1)</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1.1223</w:t>
            </w:r>
            <w:r>
              <w:rPr>
                <w:rFonts w:ascii="Times;serif" w:hAnsi="Times;serif"/>
                <w:color w:val="008000"/>
                <w:position w:val="7"/>
                <w:sz w:val="16"/>
                <w:sz w:val="20"/>
                <w:shd w:fill="FFFFFF" w:val="clear"/>
              </w:rPr>
              <w:t>(2)</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163,516</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shares were sold solely to cover the Reporting Person's tax liability associated with the restricted stock units that vested on October 1, 2026. These sales were made pursuant to an irrevocable election by the Reporting Person to satisfy tax withholding obligations through "sell to cover" transactions and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price of the shares sold. The prices of the shares sold pursuant to the transaction range from $1.1202 to $1.125 per share. The Reporting Person, upon request, will provide the Securities and Exchange Commission staff, the Issuer or a security holder of the Issuer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Terri Aprati,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7346" TargetMode="External"/><Relationship Id="rId5" Type="http://schemas.openxmlformats.org/officeDocument/2006/relationships/hyperlink" Target="http://www.sec.gov/cgi-bin/browse-edgar?action=getcompany&amp;CIK=00018554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688</Words>
  <Characters>3734</Characters>
  <CharactersWithSpaces>4353</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