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SANSONE PHILIP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MOBIX LABS,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VENTURE, SUITE 220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MOBIX LABS, INC</w:t>
              </w:r>
            </w:hyperlink>
            <w:r>
              <w:rPr/>
              <w:t xml:space="preserve"> [ </w:t>
            </w:r>
            <w:r>
              <w:rPr>
                <w:rFonts w:ascii="Times;serif" w:hAnsi="Times;serif"/>
                <w:color w:val="0000FF"/>
                <w:sz w:val="24"/>
                <w:shd w:fill="FFFFFF" w:val="clear"/>
              </w:rPr>
              <w:t>MOBX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881"/>
        <w:gridCol w:w="448"/>
        <w:gridCol w:w="882"/>
        <w:gridCol w:w="1152"/>
        <w:gridCol w:w="990"/>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9,301</w:t>
            </w:r>
            <w:r>
              <w:rPr>
                <w:rFonts w:ascii="Times;serif" w:hAnsi="Times;serif"/>
                <w:color w:val="008000"/>
                <w:position w:val="7"/>
                <w:sz w:val="16"/>
                <w:sz w:val="20"/>
                <w:shd w:fill="FFFFFF" w:val="clear"/>
              </w:rPr>
              <w:t>(1)</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1.8669</w:t>
            </w:r>
            <w:r>
              <w:rPr>
                <w:rFonts w:ascii="Times;serif" w:hAnsi="Times;serif"/>
                <w:color w:val="008000"/>
                <w:position w:val="7"/>
                <w:sz w:val="16"/>
                <w:sz w:val="20"/>
                <w:shd w:fill="FFFFFF" w:val="clear"/>
              </w:rPr>
              <w:t>(2)</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166,130</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shares were sold solely to cover the Reporting Person's tax liability associated with the restricted stock units that vested on July 16, 2026. These sales were made pursuant to an irrevocable election by the Reporting Person to satisfy tax withholding obligations through "sell to cover" transactions and do not represent discretionary trades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weighted average price of the shares sold. The prices of the shares sold pursuant to the transaction range from $1.85 to $1.875 per share. The Reporting Person, upon request, will provide the Securities and Exchange Commission staff, the Issuer or a security holder of the Issuer full information regarding the number of shares sold at each separate price.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Terri Aprati,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67346" TargetMode="External"/><Relationship Id="rId5" Type="http://schemas.openxmlformats.org/officeDocument/2006/relationships/hyperlink" Target="http://www.sec.gov/cgi-bin/browse-edgar?action=getcompany&amp;CIK=000185546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688</Words>
  <Characters>3730</Characters>
  <CharactersWithSpaces>4349</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