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9,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MOBIX LABS,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001-40621</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98-1591717</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50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8"/>
              </w:rPr>
              <w:t>1 Venture, Suite 220</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tcBorders>
              <w:bottom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Irvine, California</w:t>
            </w:r>
          </w:p>
        </w:tc>
        <w:tc>
          <w:tcPr>
            <w:tcW w:w="23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92618</w:t>
            </w:r>
          </w:p>
        </w:tc>
      </w:tr>
      <w:tr>
        <w:trPr>
          <w:trHeight w:val="22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(949) 808-8888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 </w:t>
      </w:r>
    </w:p>
    <w:p>
      <w:pPr>
        <w:spacing w:after="0" w:line="225" w:lineRule="exact"/>
        <w:rPr>
          <w:rFonts w:ascii="MS PGothic" w:cs="MS PGothic" w:eastAsia="MS PGothic" w:hAnsi="MS PGothic"/>
          <w:sz w:val="18"/>
          <w:szCs w:val="18"/>
          <w:color w:val="auto"/>
        </w:rPr>
      </w:pPr>
    </w:p>
    <w:p>
      <w:pPr>
        <w:ind w:right="310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MOBX</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7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warrant exercisable for one share</w:t>
            </w:r>
          </w:p>
        </w:tc>
        <w:tc>
          <w:tcPr>
            <w:tcW w:w="22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MOBXW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 Class A Common Stock</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Mobix Labs, Inc. (the “Company”) is providing the following business update regarding certain previously disclosed and anticipated corporate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Vision Aerial Letter of Intent and Ongoing Negotiations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announced, the Company has entered into a non-binding letter of intent with Vision Aerial, Inc. (“Vision Aerial”) regarding a potential acquisition of Vision Aerial by the Company. The Company is currently engaged in active negotiations with Vision Aerial regarding definitive transaction documents.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parties have not entered into a definitive acquisition agreement, and the proposed transaction remains subject to, among other things, completion of due diligence, negotiation and execution of definitive agreements, approval by the parties’ respective governing bodies, satisfaction of closing conditions to be set forth in any definitive agreements, and, if applicable, the availability of financing and receipt of any required stockholder, regulatory, exchange or third-party approvals.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Vision Aerial has publicly announced that it has experienced increasing revenue and backlog. The Company is continuing to conduct due diligence with respect to Vision Aerial, including with respect to its business, financial condition, operations, customer relationships, backlog, prospects and liabilities. There can be no assurance that the Company and Vision Aerial will enter into definitive agreements, that any proposed transaction will be consummated, or that any proposed transaction, if consummated, will be consummated on the terms currently contemplated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Kips Transaction; Anticipated Corrective Amendment and Resale Registration Statement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by the Company, on its Form 10-Q filed May 19, 2026 with the Securities and Exchange Commission, the Company entered into certain transaction documents with Kips Bay Select LP (“Kips”) relating to a financing transaction (the “Kips Transaction”). The Company expects to enter into an amendment to the previously disclosed transaction documents for the purpose of correcting certain scrivener’s errors.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expect the amendment to modify the material economic terms of the Kips Transaction, the number of securities issuable in the Kips Transaction, the consideration payable, or the principal rights and obligations of the parties.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expects to file a registration statement on Form S-1 to register the resale of shares of the Company’s common stock, including approximately 3,300,000 shares for Kips and an aggregate of approximately 1,239,613 shares for five other selling stockholders. The filing, timing and effectiveness of the registration statement will be subject to the requirements of the Securities Act of 1933, as amended, and review by the Securities and Exchange Commission. There can be no assurance as to when or whether the registration statement will be filed or declared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Expected Stockholder Meeting and Proxy Proposals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expects to hold a meeting of stockholders in July 2026. At the meeting, the Company expects to request that stockholders approve, among other matters:</w:t>
      </w:r>
    </w:p>
    <w:p>
      <w:pPr>
        <w:spacing w:after="0" w:line="162"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the Company’s common stock to Kips in connection with the Company’s previously disclosed May 19, 2026 transaction;</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to the Company’s certificate of incorporation to remove certain restrictions on the issuance of shares of the Company’s Class B common stock;</w:t>
      </w: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number of shares available for issuance under the Company’s equity incentive award plan; and</w:t>
      </w:r>
    </w:p>
    <w:p>
      <w:pPr>
        <w:spacing w:after="0" w:line="9"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 specified number of shares of the Company’s common stock, or securities convertible into or exercisable for common stock, for purposes of future fundraising transactions and acquisitions.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not yet filed preliminary or definitive proxy materials for the expected stockholder meeting. The specific terms of the proposals, including the number of shares subject to the proposals and the full text of any proposed charter amendment or equity incentive plan amendment, will be set forth in the Company’s proxy materials when filed with the Securities and Exchange Commission.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not provided any assurance that the expected stockholder meeting will occur on the anticipated timeline or that the proposals described above will be approved by stockholders. If the Company does not obtain the required stockholder approvals, the Company’s ability to complete certain financing transactions, issue securities in connection with acquisitions, including the potential Vision Aerial transaction, or implement certain corporate-governance and compensation-related matters may be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Financing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seek to raise additional capital in the near future to support potential mergers and acquisitions activity, including the potential Vision Aerial transaction, and for working capital and general corporate purposes. The Company has not entered into definitive agreements for any such financing transactions, and the structures, terms, timing, size, pricing, investors, securities to be issued and conditions of any such transactions are currently unknown and subject to market conditions and further negotiation.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such financing transactions may involve the issuance of equity, equity-linked securities, debt securities, convertible securities, warrants or other instruments, and may result in dilution to existing stockholders. There can be no assurance that the Company will be able to raise capital on acceptable terms, in a timely manner, or at all.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Settlements and Debt Reduction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recently settled two lawsuits and satisfied approximately $3.74 million of debt liabilities. The Company believes these settlements and debt satisfaction transactions reduce outstanding liabilities and related uncertainty. Except as previously disclosed by the Company, there have been no material developments in the Company’s related litigation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Forward-looking statements include, but are not limited to, statements regarding the Company’s potential acquisition of Vision Aerial; negotiations regarding definitive transaction documents; completion of due diligence; the potential execution of definitive agreements; potential financing transactions; anticipated use of proceeds; the anticipated filing of a resale registration statement; the anticipated timing and effectiveness of any registration statement; the anticipated stockholder meeting; anticipated proxy proposals; potential issuances of securities; potential amendments to the Company’s certificate of incorporation and equity incentive plan; the potential impact of stockholder approvals or failure to obtain stockholder approvals; the expected impact of litigation settlements and debt reduction; and the Company’s expectations, plans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and assumptions and are subject to risks and uncertainties that could cause actual results to differ materially from those expressed or implied by such statements. These risks and uncertainties include, among others, risks related to the Company’s ability to negotiate and enter into definitive agreements with Vision Aerial; complete due diligence; obtain required approvals; satisfy closing conditions; obtain financing; raise additional capital on acceptable terms or at all; file and obtain effectiveness of a registration statement; obtain stockholder approval of the anticipated proxy proposals; complete future acquisitions or financing transactions; integrate any acquired business; realize expected benefits from any transaction; manage litigation, liabilities, liquidity and working capital requirements; comply with applicable Nasdaq listing requirements; and maintain adequate internal and external resources to execute its business plan.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risks and uncertainties are described in the Company’s filings with the Securities and Exchange Commission (“SEC”), including the Company’s most recent Annual Report on Form 10-K, Quarterly Reports on Form 10-Q and other reports filed with the Securities and Exchange Commission.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Current Report on Form 8-K. The Company undertakes no obligation to update any forward-looking statements, except as required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plans to file with the SEC and furnish to its stockholders a definitive proxy statement and an accompanying proxy card in connection with the solicitation of proxies for the stockholder meeting discussed above (the “Special Meeting”). BEFORE MAKING ANY VOTING DECISION, STOCKHOLDERS ARE URGED TO READ THE DEFINITIVE PROXY STATEMENT AND OTHER RELEVANT DOCUMENTS FILED WITH THE SEC CAREFULLY AND IN THEIR ENTIRETY WHEN THEY BECOME AVAILABLE BECAUSE THEY WILL CONTAIN IMPORTANT INFORMATION. Stockholders will be able to obtain, free of charge, copies of the definitive proxy statement, any amendments or supplements to the proxy statement, and other relevant documents filed by the Company with the SEC at the SEC’s website at www.sec.gov. In addition, copies of the proxy statement and other relevant documents filed by the Company with the SEC may be obtained, free of charge from Mobix Labs’ investor relations website.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its directors, and certain of its executive officers may be deemed to be participants in the solicitation of proxies from stockholders in connection with the Special Meeting. Information regarding the names, affiliations, and interests of these individuals will be set forth in the definitive proxy statement for the Special Meeting. Stockholders can find more information about the Company’s directors and executive officers in the Company’s annual report on Form 10-K and its most recent proxy statement filed with the SEC on March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Mobix Labs,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June 9,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Keyvan Samini</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Keyvan Samini</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2026-06-10T05:04:03Z</dcterms:created>
  <dcterms:modified xsi:type="dcterms:W3CDTF">2026-06-10T05:04:03Z</dcterms:modified>
</cp:coreProperties>
</file>